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3133" w:rsidRPr="00E20701" w:rsidRDefault="00E33133" w:rsidP="00E33133">
      <w:pPr>
        <w:jc w:val="center"/>
        <w:rPr>
          <w:b/>
          <w:spacing w:val="-2"/>
          <w:sz w:val="20"/>
          <w:szCs w:val="20"/>
          <w:lang w:val="en-GB"/>
        </w:rPr>
      </w:pPr>
      <w:r w:rsidRPr="00E20701">
        <w:rPr>
          <w:b/>
          <w:spacing w:val="-2"/>
          <w:sz w:val="20"/>
          <w:szCs w:val="20"/>
          <w:lang w:val="en-GB"/>
        </w:rPr>
        <w:t>"NUCLEAR FISSION"</w:t>
      </w:r>
    </w:p>
    <w:p w:rsidR="00E33133" w:rsidRPr="00E20701" w:rsidRDefault="00E33133" w:rsidP="00E33133">
      <w:pPr>
        <w:jc w:val="center"/>
        <w:rPr>
          <w:b/>
          <w:bCs/>
          <w:sz w:val="20"/>
          <w:szCs w:val="20"/>
          <w:lang w:val="en-GB"/>
        </w:rPr>
      </w:pPr>
      <w:r w:rsidRPr="00E20701">
        <w:rPr>
          <w:b/>
          <w:bCs/>
          <w:sz w:val="20"/>
          <w:szCs w:val="20"/>
          <w:lang w:val="en-GB"/>
        </w:rPr>
        <w:t>Safety of Existing Nuclear Installations</w:t>
      </w:r>
    </w:p>
    <w:p w:rsidR="00E33133" w:rsidRPr="00E20701" w:rsidRDefault="00E33133" w:rsidP="00E33133">
      <w:pPr>
        <w:jc w:val="center"/>
        <w:rPr>
          <w:b/>
          <w:spacing w:val="-2"/>
          <w:sz w:val="20"/>
          <w:szCs w:val="20"/>
          <w:lang w:val="en-GB"/>
        </w:rPr>
      </w:pPr>
    </w:p>
    <w:p w:rsidR="005164F9" w:rsidRPr="00E20701" w:rsidRDefault="005164F9" w:rsidP="005164F9">
      <w:pPr>
        <w:spacing w:line="120" w:lineRule="atLeast"/>
        <w:jc w:val="center"/>
        <w:rPr>
          <w:b/>
          <w:sz w:val="20"/>
          <w:szCs w:val="20"/>
          <w:lang w:val="en-GB"/>
        </w:rPr>
      </w:pPr>
      <w:r w:rsidRPr="00E20701">
        <w:rPr>
          <w:b/>
          <w:sz w:val="20"/>
          <w:szCs w:val="20"/>
          <w:lang w:val="en-GB"/>
        </w:rPr>
        <w:t xml:space="preserve">Contract </w:t>
      </w:r>
      <w:r w:rsidR="009A1C44" w:rsidRPr="00E20701">
        <w:rPr>
          <w:b/>
          <w:sz w:val="20"/>
          <w:szCs w:val="20"/>
          <w:lang w:val="en-GB"/>
        </w:rPr>
        <w:t>605001</w:t>
      </w:r>
    </w:p>
    <w:p w:rsidR="005164F9" w:rsidRPr="00E20701" w:rsidRDefault="005164F9" w:rsidP="005164F9">
      <w:pPr>
        <w:jc w:val="center"/>
        <w:rPr>
          <w:b/>
          <w:sz w:val="20"/>
          <w:lang w:val="en-GB"/>
        </w:rPr>
      </w:pPr>
    </w:p>
    <w:p w:rsidR="009A1C44" w:rsidRPr="00E20701" w:rsidRDefault="009A1C44" w:rsidP="0084787C">
      <w:pPr>
        <w:pBdr>
          <w:top w:val="double" w:sz="4" w:space="1" w:color="auto"/>
          <w:left w:val="double" w:sz="4" w:space="0" w:color="auto"/>
          <w:bottom w:val="double" w:sz="4" w:space="1" w:color="auto"/>
          <w:right w:val="double" w:sz="4" w:space="0" w:color="auto"/>
        </w:pBdr>
        <w:jc w:val="center"/>
        <w:rPr>
          <w:rFonts w:ascii="CG Times" w:hAnsi="CG Times"/>
          <w:b/>
          <w:bCs/>
          <w:sz w:val="28"/>
          <w:szCs w:val="28"/>
          <w:lang w:val="en-GB"/>
        </w:rPr>
      </w:pPr>
      <w:bookmarkStart w:id="0" w:name="OLE_LINK1"/>
      <w:bookmarkStart w:id="1" w:name="OLE_LINK2"/>
    </w:p>
    <w:p w:rsidR="009A1C44" w:rsidRPr="00E20701" w:rsidRDefault="009A1C44" w:rsidP="0084787C">
      <w:pPr>
        <w:pBdr>
          <w:top w:val="double" w:sz="4" w:space="1" w:color="auto"/>
          <w:left w:val="double" w:sz="4" w:space="0" w:color="auto"/>
          <w:bottom w:val="double" w:sz="4" w:space="1" w:color="auto"/>
          <w:right w:val="double" w:sz="4" w:space="0" w:color="auto"/>
        </w:pBdr>
        <w:jc w:val="center"/>
        <w:rPr>
          <w:rFonts w:ascii="CG Times" w:hAnsi="CG Times"/>
          <w:b/>
          <w:bCs/>
          <w:sz w:val="28"/>
          <w:szCs w:val="28"/>
          <w:lang w:val="en-GB"/>
        </w:rPr>
      </w:pPr>
    </w:p>
    <w:p w:rsidR="009A1C44" w:rsidRPr="00E20701" w:rsidRDefault="00E70E61" w:rsidP="0084787C">
      <w:pPr>
        <w:pBdr>
          <w:top w:val="double" w:sz="4" w:space="1" w:color="auto"/>
          <w:left w:val="double" w:sz="4" w:space="0" w:color="auto"/>
          <w:bottom w:val="double" w:sz="4" w:space="1" w:color="auto"/>
          <w:right w:val="double" w:sz="4" w:space="0" w:color="auto"/>
        </w:pBdr>
        <w:jc w:val="center"/>
        <w:rPr>
          <w:rFonts w:ascii="CG Times" w:hAnsi="CG Times"/>
          <w:b/>
          <w:bCs/>
          <w:sz w:val="28"/>
          <w:szCs w:val="28"/>
          <w:lang w:val="en-GB"/>
        </w:rPr>
      </w:pPr>
      <w:r w:rsidRPr="00E20701">
        <w:rPr>
          <w:rFonts w:ascii="CG Times" w:hAnsi="CG Times"/>
          <w:b/>
          <w:bCs/>
          <w:sz w:val="28"/>
          <w:szCs w:val="28"/>
          <w:lang w:val="en-GB"/>
        </w:rPr>
        <w:t xml:space="preserve">Methodology for Selecting Initiating Events </w:t>
      </w:r>
      <w:r w:rsidR="007975B4" w:rsidRPr="00E20701">
        <w:rPr>
          <w:rFonts w:ascii="CG Times" w:hAnsi="CG Times"/>
          <w:b/>
          <w:bCs/>
          <w:sz w:val="28"/>
          <w:szCs w:val="28"/>
          <w:lang w:val="en-GB"/>
        </w:rPr>
        <w:t xml:space="preserve">and Hazards </w:t>
      </w:r>
      <w:r w:rsidRPr="00E20701">
        <w:rPr>
          <w:rFonts w:ascii="CG Times" w:hAnsi="CG Times"/>
          <w:b/>
          <w:bCs/>
          <w:sz w:val="28"/>
          <w:szCs w:val="28"/>
          <w:lang w:val="en-GB"/>
        </w:rPr>
        <w:t>for Consideration in an Extended PSA</w:t>
      </w:r>
    </w:p>
    <w:p w:rsidR="009A1C44" w:rsidRPr="00E20701" w:rsidRDefault="009A1C44" w:rsidP="0084787C">
      <w:pPr>
        <w:pBdr>
          <w:top w:val="double" w:sz="4" w:space="1" w:color="auto"/>
          <w:left w:val="double" w:sz="4" w:space="0" w:color="auto"/>
          <w:bottom w:val="double" w:sz="4" w:space="1" w:color="auto"/>
          <w:right w:val="double" w:sz="4" w:space="0" w:color="auto"/>
        </w:pBdr>
        <w:jc w:val="center"/>
        <w:rPr>
          <w:rFonts w:ascii="CG Times" w:hAnsi="CG Times"/>
          <w:b/>
          <w:bCs/>
          <w:sz w:val="32"/>
          <w:szCs w:val="32"/>
          <w:lang w:val="en-GB"/>
        </w:rPr>
      </w:pPr>
    </w:p>
    <w:bookmarkEnd w:id="0"/>
    <w:bookmarkEnd w:id="1"/>
    <w:p w:rsidR="00892091" w:rsidRDefault="00892091" w:rsidP="009803F6">
      <w:pPr>
        <w:ind w:left="1429"/>
        <w:jc w:val="left"/>
        <w:rPr>
          <w:rFonts w:ascii="CG Times" w:hAnsi="CG Times"/>
          <w:bCs/>
          <w:i/>
          <w:sz w:val="24"/>
          <w:lang w:val="en-GB"/>
        </w:rPr>
      </w:pPr>
    </w:p>
    <w:p w:rsidR="000E7B29" w:rsidRDefault="000E7B29" w:rsidP="009803F6">
      <w:pPr>
        <w:ind w:left="1429"/>
        <w:jc w:val="left"/>
        <w:rPr>
          <w:rFonts w:ascii="CG Times" w:hAnsi="CG Times"/>
          <w:bCs/>
          <w:i/>
          <w:sz w:val="24"/>
          <w:lang w:val="en-GB"/>
        </w:rPr>
      </w:pPr>
    </w:p>
    <w:p w:rsidR="000E7B29" w:rsidRPr="009803F6" w:rsidRDefault="000E7B29" w:rsidP="009803F6">
      <w:pPr>
        <w:ind w:left="1429"/>
        <w:jc w:val="left"/>
        <w:rPr>
          <w:rFonts w:ascii="CG Times" w:hAnsi="CG Times"/>
          <w:bCs/>
          <w:i/>
          <w:sz w:val="24"/>
          <w:lang w:val="en-GB"/>
        </w:rPr>
      </w:pPr>
    </w:p>
    <w:p w:rsidR="00892091" w:rsidRPr="00C35C2C" w:rsidRDefault="00892091" w:rsidP="009803F6">
      <w:pPr>
        <w:ind w:left="1429"/>
        <w:jc w:val="left"/>
        <w:rPr>
          <w:rFonts w:ascii="CG Times" w:hAnsi="CG Times"/>
          <w:bCs/>
          <w:i/>
          <w:sz w:val="28"/>
          <w:szCs w:val="28"/>
          <w:lang w:val="en-GB"/>
        </w:rPr>
      </w:pPr>
    </w:p>
    <w:p w:rsidR="00C24D41" w:rsidRPr="00E20701" w:rsidRDefault="00F51A0C" w:rsidP="00C24D41">
      <w:pPr>
        <w:pBdr>
          <w:top w:val="double" w:sz="4" w:space="1" w:color="auto"/>
          <w:left w:val="double" w:sz="4" w:space="0" w:color="auto"/>
          <w:bottom w:val="double" w:sz="4" w:space="1" w:color="auto"/>
          <w:right w:val="double" w:sz="4" w:space="0" w:color="auto"/>
        </w:pBdr>
        <w:jc w:val="center"/>
        <w:rPr>
          <w:b/>
          <w:bCs/>
          <w:lang w:val="en-GB"/>
        </w:rPr>
      </w:pPr>
      <w:r w:rsidRPr="00E20701">
        <w:rPr>
          <w:b/>
          <w:bCs/>
          <w:lang w:val="en-GB"/>
        </w:rPr>
        <w:t>Reference ASAMPSA_E</w:t>
      </w:r>
    </w:p>
    <w:p w:rsidR="00C24D41" w:rsidRPr="00E20701" w:rsidRDefault="0050507E" w:rsidP="00C24D41">
      <w:pPr>
        <w:pBdr>
          <w:top w:val="double" w:sz="4" w:space="1" w:color="auto"/>
          <w:left w:val="double" w:sz="4" w:space="0" w:color="auto"/>
          <w:bottom w:val="double" w:sz="4" w:space="1" w:color="auto"/>
          <w:right w:val="double" w:sz="4" w:space="0" w:color="auto"/>
        </w:pBdr>
        <w:jc w:val="center"/>
        <w:rPr>
          <w:b/>
          <w:bCs/>
          <w:lang w:val="en-GB"/>
        </w:rPr>
      </w:pPr>
      <w:r w:rsidRPr="00E20701">
        <w:rPr>
          <w:b/>
          <w:bCs/>
          <w:lang w:val="en-GB"/>
        </w:rPr>
        <w:t xml:space="preserve">Technical report </w:t>
      </w:r>
      <w:r w:rsidR="000E7B29" w:rsidRPr="000E7B29">
        <w:rPr>
          <w:b/>
          <w:bCs/>
          <w:lang w:val="en-GB"/>
        </w:rPr>
        <w:t>ASAMPSA_E/WP30/D30.7/2017-31 volume 2</w:t>
      </w:r>
    </w:p>
    <w:p w:rsidR="009A1C44" w:rsidRPr="00E20701" w:rsidRDefault="00C24D41" w:rsidP="0084787C">
      <w:pPr>
        <w:pBdr>
          <w:top w:val="double" w:sz="4" w:space="1" w:color="auto"/>
          <w:left w:val="double" w:sz="4" w:space="0" w:color="auto"/>
          <w:bottom w:val="double" w:sz="4" w:space="1" w:color="auto"/>
          <w:right w:val="double" w:sz="4" w:space="0" w:color="auto"/>
        </w:pBdr>
        <w:jc w:val="center"/>
        <w:rPr>
          <w:b/>
          <w:bCs/>
          <w:lang w:val="en-GB"/>
        </w:rPr>
      </w:pPr>
      <w:r w:rsidRPr="00E20701">
        <w:rPr>
          <w:b/>
          <w:color w:val="000000"/>
          <w:lang w:val="en-GB"/>
        </w:rPr>
        <w:t>Reference</w:t>
      </w:r>
      <w:r w:rsidR="0050507E" w:rsidRPr="00E20701">
        <w:rPr>
          <w:b/>
          <w:color w:val="000000"/>
          <w:lang w:val="en-GB"/>
        </w:rPr>
        <w:t xml:space="preserve"> IRSN</w:t>
      </w:r>
      <w:r w:rsidR="0084787C" w:rsidRPr="00E20701">
        <w:rPr>
          <w:b/>
          <w:bCs/>
          <w:lang w:val="en-GB"/>
        </w:rPr>
        <w:t xml:space="preserve"> </w:t>
      </w:r>
      <w:r w:rsidR="000E7B29" w:rsidRPr="000E7B29">
        <w:rPr>
          <w:b/>
          <w:lang w:val="en-GB"/>
        </w:rPr>
        <w:t>PSN-RES/SAG/2017-00017</w:t>
      </w:r>
    </w:p>
    <w:p w:rsidR="009E5CD1" w:rsidRDefault="009E5CD1" w:rsidP="005164F9">
      <w:pPr>
        <w:rPr>
          <w:b/>
          <w:lang w:val="en-GB"/>
        </w:rPr>
      </w:pPr>
    </w:p>
    <w:p w:rsidR="000E7B29" w:rsidRPr="00E20701" w:rsidRDefault="000E7B29" w:rsidP="005164F9">
      <w:pPr>
        <w:rPr>
          <w:b/>
          <w:lang w:val="en-GB"/>
        </w:rPr>
      </w:pPr>
    </w:p>
    <w:p w:rsidR="005164F9" w:rsidRPr="00E57E9B" w:rsidRDefault="000E7B29" w:rsidP="005164F9">
      <w:pPr>
        <w:tabs>
          <w:tab w:val="center" w:pos="4309"/>
        </w:tabs>
        <w:jc w:val="center"/>
        <w:rPr>
          <w:sz w:val="24"/>
          <w:lang w:val="en-GB"/>
        </w:rPr>
      </w:pPr>
      <w:r w:rsidRPr="00E57E9B">
        <w:rPr>
          <w:sz w:val="24"/>
          <w:lang w:val="en-GB"/>
        </w:rPr>
        <w:t>A. Wielenberg (GRS)</w:t>
      </w:r>
      <w:r>
        <w:rPr>
          <w:sz w:val="24"/>
          <w:lang w:val="en-GB"/>
        </w:rPr>
        <w:t xml:space="preserve">, </w:t>
      </w:r>
      <w:r w:rsidR="00CD443F" w:rsidRPr="00E57E9B">
        <w:rPr>
          <w:sz w:val="24"/>
          <w:lang w:val="en-GB"/>
        </w:rPr>
        <w:t xml:space="preserve">R. Alzbutas (LEI), </w:t>
      </w:r>
      <w:r w:rsidR="00EF620A" w:rsidRPr="00E57E9B">
        <w:rPr>
          <w:sz w:val="24"/>
          <w:lang w:val="en-GB"/>
        </w:rPr>
        <w:t xml:space="preserve">M. Apostol (ICN), </w:t>
      </w:r>
      <w:r w:rsidR="00230484" w:rsidRPr="00E57E9B">
        <w:rPr>
          <w:sz w:val="24"/>
          <w:lang w:val="en-GB"/>
        </w:rPr>
        <w:t xml:space="preserve">A. Bareith (NUBIKI), </w:t>
      </w:r>
      <w:r w:rsidR="00E57E9B" w:rsidRPr="00E57E9B">
        <w:rPr>
          <w:sz w:val="24"/>
          <w:lang w:val="en-GB"/>
        </w:rPr>
        <w:t xml:space="preserve">P. Brac (EDF), </w:t>
      </w:r>
      <w:r w:rsidR="005B160C" w:rsidRPr="00E57E9B">
        <w:rPr>
          <w:sz w:val="24"/>
          <w:lang w:val="en-GB"/>
        </w:rPr>
        <w:t>L. Burgazzi (ENEA),</w:t>
      </w:r>
      <w:r w:rsidR="00772D91" w:rsidRPr="00E57E9B">
        <w:rPr>
          <w:sz w:val="24"/>
          <w:lang w:val="en-GB"/>
        </w:rPr>
        <w:t xml:space="preserve"> E. Cazzoli (CCA),</w:t>
      </w:r>
      <w:r w:rsidR="005B160C" w:rsidRPr="00E57E9B">
        <w:rPr>
          <w:sz w:val="24"/>
          <w:lang w:val="en-GB"/>
        </w:rPr>
        <w:t xml:space="preserve"> </w:t>
      </w:r>
      <w:r w:rsidR="00C9066E" w:rsidRPr="00E57E9B">
        <w:rPr>
          <w:sz w:val="24"/>
          <w:lang w:val="en-GB"/>
        </w:rPr>
        <w:t>L. Cizel</w:t>
      </w:r>
      <w:r w:rsidR="007A02D3">
        <w:rPr>
          <w:sz w:val="24"/>
          <w:lang w:val="en-GB"/>
        </w:rPr>
        <w:t>j</w:t>
      </w:r>
      <w:r w:rsidR="00C9066E" w:rsidRPr="00E57E9B">
        <w:rPr>
          <w:sz w:val="24"/>
          <w:lang w:val="en-GB"/>
        </w:rPr>
        <w:t xml:space="preserve"> (IJS), </w:t>
      </w:r>
      <w:r w:rsidR="001D54F7" w:rsidRPr="00E57E9B">
        <w:rPr>
          <w:sz w:val="24"/>
          <w:lang w:val="en-GB"/>
        </w:rPr>
        <w:t xml:space="preserve">M. Hage (GRS), </w:t>
      </w:r>
      <w:r w:rsidR="007D3946" w:rsidRPr="00E57E9B">
        <w:rPr>
          <w:sz w:val="24"/>
          <w:lang w:val="en-GB"/>
        </w:rPr>
        <w:t xml:space="preserve">Hashimoto K. (JANSI), </w:t>
      </w:r>
      <w:r w:rsidR="00E57E9B" w:rsidRPr="00E57E9B">
        <w:rPr>
          <w:sz w:val="24"/>
          <w:lang w:val="en-GB"/>
        </w:rPr>
        <w:t xml:space="preserve">F. Godefroy (AREVA), M. Gonzalez (US-NRC), </w:t>
      </w:r>
      <w:r w:rsidR="00B73858" w:rsidRPr="00E57E9B">
        <w:rPr>
          <w:sz w:val="24"/>
          <w:lang w:val="en-GB"/>
        </w:rPr>
        <w:t xml:space="preserve">P. Groudev (INRNE), </w:t>
      </w:r>
      <w:r w:rsidR="00772D91" w:rsidRPr="00E57E9B">
        <w:rPr>
          <w:sz w:val="24"/>
          <w:lang w:val="en-GB"/>
        </w:rPr>
        <w:t xml:space="preserve">H. Löffler (GRS), </w:t>
      </w:r>
      <w:r w:rsidR="006B4D8A" w:rsidRPr="00E57E9B">
        <w:rPr>
          <w:sz w:val="24"/>
          <w:lang w:val="en-GB"/>
        </w:rPr>
        <w:t>L</w:t>
      </w:r>
      <w:r w:rsidR="005820A5" w:rsidRPr="00E57E9B">
        <w:rPr>
          <w:sz w:val="24"/>
          <w:lang w:val="en-GB"/>
        </w:rPr>
        <w:t>.</w:t>
      </w:r>
      <w:r w:rsidR="006B4D8A" w:rsidRPr="00E57E9B">
        <w:rPr>
          <w:sz w:val="24"/>
          <w:lang w:val="en-GB"/>
        </w:rPr>
        <w:t xml:space="preserve"> Kolar (UJV), </w:t>
      </w:r>
      <w:r w:rsidR="00D71A4E" w:rsidRPr="00E57E9B">
        <w:rPr>
          <w:sz w:val="24"/>
          <w:lang w:val="en-GB"/>
        </w:rPr>
        <w:t>M. Kumar</w:t>
      </w:r>
      <w:r w:rsidR="00B73858" w:rsidRPr="00E57E9B">
        <w:rPr>
          <w:sz w:val="24"/>
          <w:lang w:val="en-GB"/>
        </w:rPr>
        <w:t xml:space="preserve"> (LRC)</w:t>
      </w:r>
      <w:r w:rsidR="00D71A4E" w:rsidRPr="00E57E9B">
        <w:rPr>
          <w:sz w:val="24"/>
          <w:lang w:val="en-GB"/>
        </w:rPr>
        <w:t xml:space="preserve">, </w:t>
      </w:r>
      <w:r w:rsidR="0040180B" w:rsidRPr="00E57E9B">
        <w:rPr>
          <w:sz w:val="24"/>
          <w:lang w:val="en-GB"/>
        </w:rPr>
        <w:t>M. Nitoi (INR)</w:t>
      </w:r>
      <w:r w:rsidR="00C9066E" w:rsidRPr="00E57E9B">
        <w:rPr>
          <w:sz w:val="24"/>
          <w:lang w:val="en-GB"/>
        </w:rPr>
        <w:t xml:space="preserve">, A. Prošek (IJS), E. Raimond (IRSN), </w:t>
      </w:r>
      <w:r w:rsidR="002D30B3" w:rsidRPr="00E57E9B">
        <w:rPr>
          <w:sz w:val="24"/>
          <w:lang w:val="en-GB"/>
        </w:rPr>
        <w:t xml:space="preserve">T. Siklóssy (NUBIKI), </w:t>
      </w:r>
      <w:r w:rsidR="00772D91" w:rsidRPr="00E57E9B">
        <w:rPr>
          <w:sz w:val="24"/>
          <w:lang w:val="en-GB"/>
        </w:rPr>
        <w:t xml:space="preserve">J. Vitazkova (CCA), </w:t>
      </w:r>
      <w:r w:rsidR="00E80DB2" w:rsidRPr="00E57E9B">
        <w:rPr>
          <w:sz w:val="24"/>
          <w:lang w:val="en-GB"/>
        </w:rPr>
        <w:t>A. Volkanovski (IJS)</w:t>
      </w:r>
    </w:p>
    <w:p w:rsidR="00B44967" w:rsidRPr="005079A3" w:rsidRDefault="00B44967" w:rsidP="005079A3">
      <w:pPr>
        <w:rPr>
          <w:sz w:val="28"/>
          <w:lang w:val="en-GB"/>
        </w:rPr>
      </w:pPr>
    </w:p>
    <w:p w:rsidR="00363700" w:rsidRDefault="00363700" w:rsidP="005079A3">
      <w:pPr>
        <w:rPr>
          <w:highlight w:val="yellow"/>
          <w:lang w:val="en-GB"/>
        </w:rPr>
      </w:pPr>
    </w:p>
    <w:p w:rsidR="00E57E9B" w:rsidRPr="005079A3" w:rsidRDefault="00E57E9B" w:rsidP="005079A3">
      <w:pPr>
        <w:rPr>
          <w:highlight w:val="yellow"/>
          <w:lang w:val="en-GB"/>
        </w:rPr>
      </w:pPr>
    </w:p>
    <w:tbl>
      <w:tblPr>
        <w:tblW w:w="1016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20"/>
        <w:gridCol w:w="2040"/>
        <w:gridCol w:w="2520"/>
        <w:gridCol w:w="3680"/>
      </w:tblGrid>
      <w:tr w:rsidR="005164F9" w:rsidRPr="00E57E9B">
        <w:trPr>
          <w:cantSplit/>
        </w:trPr>
        <w:tc>
          <w:tcPr>
            <w:tcW w:w="3960" w:type="dxa"/>
            <w:gridSpan w:val="2"/>
          </w:tcPr>
          <w:p w:rsidR="005164F9" w:rsidRPr="00E20701" w:rsidRDefault="00DF058D">
            <w:pPr>
              <w:rPr>
                <w:sz w:val="16"/>
                <w:szCs w:val="16"/>
                <w:lang w:val="en-GB"/>
              </w:rPr>
            </w:pPr>
            <w:r w:rsidRPr="00E20701">
              <w:rPr>
                <w:sz w:val="16"/>
                <w:szCs w:val="16"/>
                <w:lang w:val="en-GB"/>
              </w:rPr>
              <w:t xml:space="preserve">Period covered: </w:t>
            </w:r>
            <w:r w:rsidRPr="008260C9">
              <w:rPr>
                <w:sz w:val="16"/>
                <w:szCs w:val="16"/>
                <w:lang w:val="en-GB"/>
              </w:rPr>
              <w:t xml:space="preserve">from  </w:t>
            </w:r>
            <w:r w:rsidR="008260C9" w:rsidRPr="001B7918">
              <w:rPr>
                <w:sz w:val="16"/>
                <w:szCs w:val="16"/>
                <w:lang w:val="en-GB"/>
              </w:rPr>
              <w:t>01</w:t>
            </w:r>
            <w:r w:rsidR="00F51A0C" w:rsidRPr="001B7918">
              <w:rPr>
                <w:sz w:val="16"/>
                <w:szCs w:val="16"/>
                <w:lang w:val="en-GB"/>
              </w:rPr>
              <w:t>/</w:t>
            </w:r>
            <w:r w:rsidR="008260C9" w:rsidRPr="001B7918">
              <w:rPr>
                <w:sz w:val="16"/>
                <w:szCs w:val="16"/>
                <w:lang w:val="en-GB"/>
              </w:rPr>
              <w:t>01</w:t>
            </w:r>
            <w:r w:rsidR="00F51A0C" w:rsidRPr="001B7918">
              <w:rPr>
                <w:sz w:val="16"/>
                <w:szCs w:val="16"/>
                <w:lang w:val="en-GB"/>
              </w:rPr>
              <w:t>/201</w:t>
            </w:r>
            <w:r w:rsidR="008260C9" w:rsidRPr="001B7918">
              <w:rPr>
                <w:sz w:val="16"/>
                <w:szCs w:val="16"/>
                <w:lang w:val="en-GB"/>
              </w:rPr>
              <w:t>5</w:t>
            </w:r>
            <w:r w:rsidR="0050507E" w:rsidRPr="001B7918">
              <w:rPr>
                <w:sz w:val="16"/>
                <w:szCs w:val="16"/>
                <w:lang w:val="en-GB"/>
              </w:rPr>
              <w:t xml:space="preserve"> </w:t>
            </w:r>
            <w:r w:rsidRPr="001B7918">
              <w:rPr>
                <w:sz w:val="16"/>
                <w:szCs w:val="16"/>
                <w:lang w:val="en-GB"/>
              </w:rPr>
              <w:t>to</w:t>
            </w:r>
            <w:r w:rsidR="0050507E" w:rsidRPr="001B7918">
              <w:rPr>
                <w:sz w:val="16"/>
                <w:szCs w:val="16"/>
                <w:lang w:val="en-GB"/>
              </w:rPr>
              <w:t xml:space="preserve"> </w:t>
            </w:r>
            <w:r w:rsidR="008260C9" w:rsidRPr="001B7918">
              <w:rPr>
                <w:sz w:val="16"/>
                <w:szCs w:val="16"/>
                <w:lang w:val="en-GB"/>
              </w:rPr>
              <w:t>31</w:t>
            </w:r>
            <w:r w:rsidR="0050507E" w:rsidRPr="001B7918">
              <w:rPr>
                <w:sz w:val="16"/>
                <w:szCs w:val="16"/>
                <w:lang w:val="en-GB"/>
              </w:rPr>
              <w:t>/</w:t>
            </w:r>
            <w:r w:rsidR="00E57E9B">
              <w:rPr>
                <w:sz w:val="16"/>
                <w:szCs w:val="16"/>
                <w:lang w:val="en-GB"/>
              </w:rPr>
              <w:t>12</w:t>
            </w:r>
            <w:r w:rsidR="0050507E" w:rsidRPr="001B7918">
              <w:rPr>
                <w:sz w:val="16"/>
                <w:szCs w:val="16"/>
                <w:lang w:val="en-GB"/>
              </w:rPr>
              <w:t>/201</w:t>
            </w:r>
            <w:r w:rsidR="008260C9" w:rsidRPr="001B7918">
              <w:rPr>
                <w:sz w:val="16"/>
                <w:szCs w:val="16"/>
                <w:lang w:val="en-GB"/>
              </w:rPr>
              <w:t>6</w:t>
            </w:r>
          </w:p>
        </w:tc>
        <w:tc>
          <w:tcPr>
            <w:tcW w:w="6200" w:type="dxa"/>
            <w:gridSpan w:val="2"/>
          </w:tcPr>
          <w:p w:rsidR="005164F9" w:rsidRPr="00E20701" w:rsidRDefault="005164F9" w:rsidP="000E7B29">
            <w:pPr>
              <w:rPr>
                <w:sz w:val="16"/>
                <w:szCs w:val="16"/>
                <w:lang w:val="en-GB"/>
              </w:rPr>
            </w:pPr>
            <w:r w:rsidRPr="00E20701">
              <w:rPr>
                <w:sz w:val="16"/>
                <w:szCs w:val="16"/>
                <w:lang w:val="en-GB"/>
              </w:rPr>
              <w:t xml:space="preserve">Actual submission </w:t>
            </w:r>
            <w:r w:rsidRPr="000E7B29">
              <w:rPr>
                <w:sz w:val="16"/>
                <w:szCs w:val="16"/>
                <w:lang w:val="en-GB"/>
              </w:rPr>
              <w:t xml:space="preserve">date: </w:t>
            </w:r>
            <w:r w:rsidR="000E7B29" w:rsidRPr="00E62976">
              <w:rPr>
                <w:sz w:val="16"/>
                <w:szCs w:val="16"/>
                <w:lang w:val="en-GB"/>
              </w:rPr>
              <w:t>31</w:t>
            </w:r>
            <w:r w:rsidR="00600F32" w:rsidRPr="00E62976">
              <w:rPr>
                <w:sz w:val="16"/>
                <w:szCs w:val="16"/>
                <w:lang w:val="en-GB"/>
              </w:rPr>
              <w:t>/12</w:t>
            </w:r>
            <w:r w:rsidR="00E57E9B" w:rsidRPr="00E62976">
              <w:rPr>
                <w:sz w:val="16"/>
                <w:szCs w:val="16"/>
                <w:lang w:val="en-GB"/>
              </w:rPr>
              <w:t>/2016</w:t>
            </w:r>
          </w:p>
        </w:tc>
      </w:tr>
      <w:tr w:rsidR="005164F9" w:rsidRPr="00E20701">
        <w:trPr>
          <w:cantSplit/>
        </w:trPr>
        <w:tc>
          <w:tcPr>
            <w:tcW w:w="3960" w:type="dxa"/>
            <w:gridSpan w:val="2"/>
          </w:tcPr>
          <w:p w:rsidR="005164F9" w:rsidRPr="00E20701" w:rsidRDefault="005164F9" w:rsidP="00ED29FA">
            <w:pPr>
              <w:rPr>
                <w:sz w:val="16"/>
                <w:szCs w:val="16"/>
                <w:lang w:val="en-GB"/>
              </w:rPr>
            </w:pPr>
            <w:r w:rsidRPr="00E20701">
              <w:rPr>
                <w:sz w:val="16"/>
                <w:szCs w:val="16"/>
                <w:lang w:val="en-GB"/>
              </w:rPr>
              <w:t>Star</w:t>
            </w:r>
            <w:r w:rsidR="00DF058D" w:rsidRPr="00E20701">
              <w:rPr>
                <w:sz w:val="16"/>
                <w:szCs w:val="16"/>
                <w:lang w:val="en-GB"/>
              </w:rPr>
              <w:t>t date of ASAMPSA</w:t>
            </w:r>
            <w:r w:rsidR="00F51A0C" w:rsidRPr="00E20701">
              <w:rPr>
                <w:sz w:val="16"/>
                <w:szCs w:val="16"/>
                <w:lang w:val="en-GB"/>
              </w:rPr>
              <w:t>_E</w:t>
            </w:r>
            <w:r w:rsidR="00DF058D" w:rsidRPr="00E20701">
              <w:rPr>
                <w:sz w:val="16"/>
                <w:szCs w:val="16"/>
                <w:lang w:val="en-GB"/>
              </w:rPr>
              <w:t xml:space="preserve">:  </w:t>
            </w:r>
            <w:r w:rsidR="00F51A0C" w:rsidRPr="00E20701">
              <w:rPr>
                <w:sz w:val="16"/>
                <w:szCs w:val="16"/>
                <w:lang w:val="en-GB"/>
              </w:rPr>
              <w:t>01/07</w:t>
            </w:r>
            <w:r w:rsidR="0050507E" w:rsidRPr="00E20701">
              <w:rPr>
                <w:sz w:val="16"/>
                <w:szCs w:val="16"/>
                <w:lang w:val="en-GB"/>
              </w:rPr>
              <w:t>/20</w:t>
            </w:r>
            <w:r w:rsidR="00F51A0C" w:rsidRPr="00E20701">
              <w:rPr>
                <w:sz w:val="16"/>
                <w:szCs w:val="16"/>
                <w:lang w:val="en-GB"/>
              </w:rPr>
              <w:t>13</w:t>
            </w:r>
          </w:p>
        </w:tc>
        <w:tc>
          <w:tcPr>
            <w:tcW w:w="6200" w:type="dxa"/>
            <w:gridSpan w:val="2"/>
          </w:tcPr>
          <w:p w:rsidR="005164F9" w:rsidRPr="00E20701" w:rsidRDefault="005164F9" w:rsidP="00E57E9B">
            <w:pPr>
              <w:rPr>
                <w:sz w:val="16"/>
                <w:szCs w:val="16"/>
                <w:lang w:val="en-GB"/>
              </w:rPr>
            </w:pPr>
            <w:r w:rsidRPr="00E20701">
              <w:rPr>
                <w:sz w:val="16"/>
                <w:szCs w:val="16"/>
                <w:lang w:val="en-GB"/>
              </w:rPr>
              <w:t xml:space="preserve">Duration: </w:t>
            </w:r>
            <w:r w:rsidR="00E57E9B">
              <w:rPr>
                <w:sz w:val="16"/>
                <w:szCs w:val="16"/>
                <w:lang w:val="en-GB"/>
              </w:rPr>
              <w:t>42</w:t>
            </w:r>
            <w:r w:rsidR="00DF058D" w:rsidRPr="00E20701">
              <w:rPr>
                <w:sz w:val="16"/>
                <w:szCs w:val="16"/>
                <w:lang w:val="en-GB"/>
              </w:rPr>
              <w:t xml:space="preserve"> months</w:t>
            </w:r>
          </w:p>
        </w:tc>
      </w:tr>
      <w:tr w:rsidR="00DF058D" w:rsidRPr="00E20701">
        <w:tc>
          <w:tcPr>
            <w:tcW w:w="1920" w:type="dxa"/>
          </w:tcPr>
          <w:p w:rsidR="00DF058D" w:rsidRPr="00E20701" w:rsidRDefault="00DF058D" w:rsidP="00801BDF">
            <w:pPr>
              <w:rPr>
                <w:sz w:val="16"/>
                <w:szCs w:val="16"/>
                <w:lang w:val="en-GB"/>
              </w:rPr>
            </w:pPr>
            <w:r w:rsidRPr="00E20701">
              <w:rPr>
                <w:sz w:val="16"/>
                <w:szCs w:val="16"/>
                <w:lang w:val="en-GB"/>
              </w:rPr>
              <w:t>WP No:</w:t>
            </w:r>
            <w:r w:rsidR="0050507E" w:rsidRPr="00E20701">
              <w:rPr>
                <w:sz w:val="16"/>
                <w:szCs w:val="16"/>
                <w:lang w:val="en-GB"/>
              </w:rPr>
              <w:t xml:space="preserve"> </w:t>
            </w:r>
            <w:r w:rsidR="00801BDF" w:rsidRPr="00E20701">
              <w:rPr>
                <w:sz w:val="16"/>
                <w:szCs w:val="16"/>
                <w:lang w:val="en-GB"/>
              </w:rPr>
              <w:t>30</w:t>
            </w:r>
          </w:p>
        </w:tc>
        <w:tc>
          <w:tcPr>
            <w:tcW w:w="4560" w:type="dxa"/>
            <w:gridSpan w:val="2"/>
          </w:tcPr>
          <w:p w:rsidR="00DF058D" w:rsidRPr="00E20701" w:rsidRDefault="00DF058D" w:rsidP="00E11EBB">
            <w:pPr>
              <w:rPr>
                <w:sz w:val="16"/>
                <w:szCs w:val="16"/>
                <w:lang w:val="en-GB"/>
              </w:rPr>
            </w:pPr>
            <w:r w:rsidRPr="00E20701">
              <w:rPr>
                <w:sz w:val="16"/>
                <w:szCs w:val="16"/>
                <w:lang w:val="en-GB"/>
              </w:rPr>
              <w:t>Lead topical coordinator :</w:t>
            </w:r>
            <w:r w:rsidR="0050507E" w:rsidRPr="00E20701">
              <w:rPr>
                <w:sz w:val="16"/>
                <w:szCs w:val="16"/>
                <w:lang w:val="en-GB"/>
              </w:rPr>
              <w:t xml:space="preserve"> </w:t>
            </w:r>
            <w:r w:rsidR="00801BDF" w:rsidRPr="00E20701">
              <w:rPr>
                <w:sz w:val="16"/>
                <w:szCs w:val="16"/>
                <w:lang w:val="en-GB"/>
              </w:rPr>
              <w:t>A. Wielenberg</w:t>
            </w:r>
            <w:r w:rsidR="00B44265">
              <w:rPr>
                <w:sz w:val="16"/>
                <w:szCs w:val="16"/>
                <w:lang w:val="en-GB"/>
              </w:rPr>
              <w:t xml:space="preserve"> then H. L</w:t>
            </w:r>
            <w:r w:rsidR="00E11EBB">
              <w:rPr>
                <w:sz w:val="16"/>
                <w:szCs w:val="16"/>
                <w:lang w:val="en-GB"/>
              </w:rPr>
              <w:t>ö</w:t>
            </w:r>
            <w:r w:rsidR="00B44265">
              <w:rPr>
                <w:sz w:val="16"/>
                <w:szCs w:val="16"/>
                <w:lang w:val="en-GB"/>
              </w:rPr>
              <w:t>ffler</w:t>
            </w:r>
          </w:p>
        </w:tc>
        <w:tc>
          <w:tcPr>
            <w:tcW w:w="3680" w:type="dxa"/>
          </w:tcPr>
          <w:p w:rsidR="00DF058D" w:rsidRPr="00E20701" w:rsidRDefault="00DF058D" w:rsidP="00801BDF">
            <w:pPr>
              <w:rPr>
                <w:sz w:val="16"/>
                <w:szCs w:val="16"/>
                <w:lang w:val="en-GB"/>
              </w:rPr>
            </w:pPr>
            <w:r w:rsidRPr="00E20701">
              <w:rPr>
                <w:sz w:val="16"/>
                <w:szCs w:val="16"/>
                <w:lang w:val="en-GB"/>
              </w:rPr>
              <w:t>His organization name :</w:t>
            </w:r>
            <w:r w:rsidR="0050507E" w:rsidRPr="00E20701">
              <w:rPr>
                <w:sz w:val="16"/>
                <w:szCs w:val="16"/>
                <w:lang w:val="en-GB"/>
              </w:rPr>
              <w:t xml:space="preserve"> </w:t>
            </w:r>
            <w:r w:rsidR="00801BDF" w:rsidRPr="00E20701">
              <w:rPr>
                <w:sz w:val="16"/>
                <w:szCs w:val="16"/>
                <w:lang w:val="en-GB"/>
              </w:rPr>
              <w:t>GRS</w:t>
            </w:r>
          </w:p>
        </w:tc>
      </w:tr>
    </w:tbl>
    <w:p w:rsidR="005164F9" w:rsidRPr="00E20701" w:rsidRDefault="005164F9" w:rsidP="005164F9">
      <w:pPr>
        <w:rPr>
          <w:lang w:val="en-GB"/>
        </w:rPr>
      </w:pPr>
    </w:p>
    <w:tbl>
      <w:tblPr>
        <w:tblW w:w="0" w:type="auto"/>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3"/>
        <w:gridCol w:w="6135"/>
        <w:gridCol w:w="1975"/>
      </w:tblGrid>
      <w:tr w:rsidR="00DF058D" w:rsidRPr="00304D8A" w:rsidTr="00B2386E">
        <w:tc>
          <w:tcPr>
            <w:tcW w:w="10240" w:type="dxa"/>
            <w:gridSpan w:val="3"/>
            <w:shd w:val="clear" w:color="auto" w:fill="auto"/>
          </w:tcPr>
          <w:p w:rsidR="00DF058D" w:rsidRPr="00E20701" w:rsidRDefault="00DF058D" w:rsidP="00B2386E">
            <w:pPr>
              <w:tabs>
                <w:tab w:val="center" w:pos="4536"/>
                <w:tab w:val="right" w:pos="9072"/>
              </w:tabs>
              <w:jc w:val="center"/>
              <w:rPr>
                <w:b/>
                <w:lang w:val="en-GB"/>
              </w:rPr>
            </w:pPr>
            <w:r w:rsidRPr="00E20701">
              <w:rPr>
                <w:b/>
                <w:lang w:val="en-GB"/>
              </w:rPr>
              <w:t>Project co-funded by the European Commission Within the S</w:t>
            </w:r>
            <w:r w:rsidR="00813151" w:rsidRPr="00E20701">
              <w:rPr>
                <w:b/>
                <w:lang w:val="en-GB"/>
              </w:rPr>
              <w:t>eventh</w:t>
            </w:r>
            <w:r w:rsidRPr="00E20701">
              <w:rPr>
                <w:b/>
                <w:lang w:val="en-GB"/>
              </w:rPr>
              <w:t xml:space="preserve"> Framework Programme (20</w:t>
            </w:r>
            <w:r w:rsidR="00F51A0C" w:rsidRPr="00E20701">
              <w:rPr>
                <w:b/>
                <w:lang w:val="en-GB"/>
              </w:rPr>
              <w:t>13-2016</w:t>
            </w:r>
            <w:r w:rsidRPr="00E20701">
              <w:rPr>
                <w:b/>
                <w:lang w:val="en-GB"/>
              </w:rPr>
              <w:t>)</w:t>
            </w:r>
          </w:p>
        </w:tc>
      </w:tr>
      <w:tr w:rsidR="00DF058D" w:rsidRPr="00E20701" w:rsidTr="00B2386E">
        <w:tc>
          <w:tcPr>
            <w:tcW w:w="10240" w:type="dxa"/>
            <w:gridSpan w:val="3"/>
            <w:shd w:val="clear" w:color="auto" w:fill="auto"/>
          </w:tcPr>
          <w:p w:rsidR="00DF058D" w:rsidRPr="00E20701" w:rsidRDefault="00DF058D" w:rsidP="00B2386E">
            <w:pPr>
              <w:tabs>
                <w:tab w:val="center" w:pos="4536"/>
                <w:tab w:val="right" w:pos="9072"/>
              </w:tabs>
              <w:jc w:val="center"/>
              <w:rPr>
                <w:b/>
                <w:lang w:val="en-GB"/>
              </w:rPr>
            </w:pPr>
            <w:r w:rsidRPr="00E20701">
              <w:rPr>
                <w:b/>
                <w:lang w:val="en-GB"/>
              </w:rPr>
              <w:t>Dissemination Level</w:t>
            </w:r>
          </w:p>
        </w:tc>
      </w:tr>
      <w:tr w:rsidR="00DF058D" w:rsidRPr="00E20701" w:rsidTr="00B2386E">
        <w:tc>
          <w:tcPr>
            <w:tcW w:w="1818" w:type="dxa"/>
            <w:shd w:val="clear" w:color="auto" w:fill="auto"/>
          </w:tcPr>
          <w:p w:rsidR="00DF058D" w:rsidRPr="00E20701" w:rsidRDefault="00DF058D" w:rsidP="00B2386E">
            <w:pPr>
              <w:tabs>
                <w:tab w:val="center" w:pos="4536"/>
                <w:tab w:val="right" w:pos="9072"/>
              </w:tabs>
              <w:rPr>
                <w:lang w:val="en-GB"/>
              </w:rPr>
            </w:pPr>
            <w:r w:rsidRPr="00E20701">
              <w:rPr>
                <w:lang w:val="en-GB"/>
              </w:rPr>
              <w:t>PU</w:t>
            </w:r>
          </w:p>
        </w:tc>
        <w:tc>
          <w:tcPr>
            <w:tcW w:w="6374" w:type="dxa"/>
            <w:shd w:val="clear" w:color="auto" w:fill="auto"/>
          </w:tcPr>
          <w:p w:rsidR="00DF058D" w:rsidRPr="00E20701" w:rsidRDefault="00DF058D" w:rsidP="00B2386E">
            <w:pPr>
              <w:tabs>
                <w:tab w:val="center" w:pos="4536"/>
                <w:tab w:val="right" w:pos="9072"/>
              </w:tabs>
              <w:rPr>
                <w:lang w:val="en-GB"/>
              </w:rPr>
            </w:pPr>
            <w:r w:rsidRPr="00E20701">
              <w:rPr>
                <w:lang w:val="en-GB"/>
              </w:rPr>
              <w:t>Public</w:t>
            </w:r>
          </w:p>
        </w:tc>
        <w:tc>
          <w:tcPr>
            <w:tcW w:w="2048" w:type="dxa"/>
            <w:shd w:val="clear" w:color="auto" w:fill="auto"/>
          </w:tcPr>
          <w:p w:rsidR="00DF058D" w:rsidRPr="00E20701" w:rsidRDefault="000E7B29" w:rsidP="00B2386E">
            <w:pPr>
              <w:tabs>
                <w:tab w:val="center" w:pos="4536"/>
                <w:tab w:val="right" w:pos="9072"/>
              </w:tabs>
              <w:rPr>
                <w:lang w:val="en-GB"/>
              </w:rPr>
            </w:pPr>
            <w:r>
              <w:rPr>
                <w:lang w:val="en-GB"/>
              </w:rPr>
              <w:t>Yes</w:t>
            </w:r>
          </w:p>
        </w:tc>
      </w:tr>
      <w:tr w:rsidR="00DF058D" w:rsidRPr="00E20701" w:rsidTr="00B2386E">
        <w:tc>
          <w:tcPr>
            <w:tcW w:w="1818" w:type="dxa"/>
            <w:shd w:val="clear" w:color="auto" w:fill="auto"/>
          </w:tcPr>
          <w:p w:rsidR="00DF058D" w:rsidRPr="00E20701" w:rsidRDefault="00DF058D" w:rsidP="00B2386E">
            <w:pPr>
              <w:tabs>
                <w:tab w:val="center" w:pos="4536"/>
                <w:tab w:val="right" w:pos="9072"/>
              </w:tabs>
              <w:rPr>
                <w:lang w:val="en-GB"/>
              </w:rPr>
            </w:pPr>
            <w:r w:rsidRPr="00E20701">
              <w:rPr>
                <w:lang w:val="en-GB"/>
              </w:rPr>
              <w:t>RE</w:t>
            </w:r>
          </w:p>
        </w:tc>
        <w:tc>
          <w:tcPr>
            <w:tcW w:w="6374" w:type="dxa"/>
            <w:shd w:val="clear" w:color="auto" w:fill="auto"/>
          </w:tcPr>
          <w:p w:rsidR="00DF058D" w:rsidRPr="00E20701" w:rsidRDefault="00DF058D" w:rsidP="00B2386E">
            <w:pPr>
              <w:tabs>
                <w:tab w:val="center" w:pos="4536"/>
                <w:tab w:val="right" w:pos="9072"/>
              </w:tabs>
              <w:rPr>
                <w:lang w:val="en-GB"/>
              </w:rPr>
            </w:pPr>
            <w:r w:rsidRPr="00E20701">
              <w:rPr>
                <w:lang w:val="en-GB"/>
              </w:rPr>
              <w:t>Restricted to a group specified</w:t>
            </w:r>
            <w:r w:rsidR="00F51A0C" w:rsidRPr="00E20701">
              <w:rPr>
                <w:lang w:val="en-GB"/>
              </w:rPr>
              <w:t xml:space="preserve"> by the partners of the ASAMPSA_E</w:t>
            </w:r>
            <w:r w:rsidRPr="00E20701">
              <w:rPr>
                <w:lang w:val="en-GB"/>
              </w:rPr>
              <w:t xml:space="preserve"> project</w:t>
            </w:r>
          </w:p>
        </w:tc>
        <w:tc>
          <w:tcPr>
            <w:tcW w:w="2048" w:type="dxa"/>
            <w:shd w:val="clear" w:color="auto" w:fill="auto"/>
          </w:tcPr>
          <w:p w:rsidR="00DF058D" w:rsidRPr="00E20701" w:rsidRDefault="000E7B29" w:rsidP="000E7B29">
            <w:pPr>
              <w:tabs>
                <w:tab w:val="center" w:pos="4536"/>
                <w:tab w:val="right" w:pos="9072"/>
              </w:tabs>
              <w:rPr>
                <w:lang w:val="en-GB"/>
              </w:rPr>
            </w:pPr>
            <w:r>
              <w:rPr>
                <w:lang w:val="en-GB"/>
              </w:rPr>
              <w:t>No</w:t>
            </w:r>
          </w:p>
        </w:tc>
      </w:tr>
      <w:tr w:rsidR="00DF058D" w:rsidRPr="00E20701" w:rsidTr="00B2386E">
        <w:tc>
          <w:tcPr>
            <w:tcW w:w="1818" w:type="dxa"/>
            <w:shd w:val="clear" w:color="auto" w:fill="auto"/>
          </w:tcPr>
          <w:p w:rsidR="00DF058D" w:rsidRPr="00E20701" w:rsidRDefault="00DF058D" w:rsidP="00B2386E">
            <w:pPr>
              <w:tabs>
                <w:tab w:val="center" w:pos="4536"/>
                <w:tab w:val="right" w:pos="9072"/>
              </w:tabs>
              <w:rPr>
                <w:lang w:val="en-GB"/>
              </w:rPr>
            </w:pPr>
            <w:r w:rsidRPr="00E20701">
              <w:rPr>
                <w:lang w:val="en-GB"/>
              </w:rPr>
              <w:t>CO</w:t>
            </w:r>
          </w:p>
        </w:tc>
        <w:tc>
          <w:tcPr>
            <w:tcW w:w="6374" w:type="dxa"/>
            <w:shd w:val="clear" w:color="auto" w:fill="auto"/>
          </w:tcPr>
          <w:p w:rsidR="00DF058D" w:rsidRPr="00E20701" w:rsidRDefault="00DF058D" w:rsidP="00B2386E">
            <w:pPr>
              <w:tabs>
                <w:tab w:val="center" w:pos="4536"/>
                <w:tab w:val="right" w:pos="9072"/>
              </w:tabs>
              <w:rPr>
                <w:lang w:val="en-GB"/>
              </w:rPr>
            </w:pPr>
            <w:r w:rsidRPr="00E20701">
              <w:rPr>
                <w:lang w:val="en-GB"/>
              </w:rPr>
              <w:t>Confidential, o</w:t>
            </w:r>
            <w:r w:rsidR="00F51A0C" w:rsidRPr="00E20701">
              <w:rPr>
                <w:lang w:val="en-GB"/>
              </w:rPr>
              <w:t>nly for partners of the ASAMPSA_E</w:t>
            </w:r>
            <w:r w:rsidRPr="00E20701">
              <w:rPr>
                <w:lang w:val="en-GB"/>
              </w:rPr>
              <w:t xml:space="preserve"> project</w:t>
            </w:r>
          </w:p>
        </w:tc>
        <w:tc>
          <w:tcPr>
            <w:tcW w:w="2048" w:type="dxa"/>
            <w:shd w:val="clear" w:color="auto" w:fill="auto"/>
          </w:tcPr>
          <w:p w:rsidR="00DF058D" w:rsidRPr="00E20701" w:rsidRDefault="00892091" w:rsidP="00B2386E">
            <w:pPr>
              <w:tabs>
                <w:tab w:val="center" w:pos="4536"/>
                <w:tab w:val="right" w:pos="9072"/>
              </w:tabs>
              <w:rPr>
                <w:lang w:val="en-GB"/>
              </w:rPr>
            </w:pPr>
            <w:r>
              <w:rPr>
                <w:lang w:val="en-GB"/>
              </w:rPr>
              <w:t>No</w:t>
            </w:r>
          </w:p>
        </w:tc>
      </w:tr>
    </w:tbl>
    <w:p w:rsidR="000E7B29" w:rsidRDefault="000E7B29" w:rsidP="002B17ED">
      <w:pPr>
        <w:jc w:val="center"/>
        <w:rPr>
          <w:b/>
          <w:bCs/>
          <w:sz w:val="28"/>
          <w:lang w:val="en-GB"/>
        </w:rPr>
        <w:sectPr w:rsidR="000E7B29" w:rsidSect="000C7670">
          <w:headerReference w:type="default" r:id="rId9"/>
          <w:footerReference w:type="default" r:id="rId10"/>
          <w:footerReference w:type="first" r:id="rId11"/>
          <w:pgSz w:w="11907" w:h="16840" w:code="9"/>
          <w:pgMar w:top="1304" w:right="1134" w:bottom="907" w:left="567" w:header="567" w:footer="0" w:gutter="851"/>
          <w:cols w:space="380"/>
          <w:noEndnote/>
        </w:sectPr>
      </w:pPr>
    </w:p>
    <w:p w:rsidR="005164F9" w:rsidRDefault="00C126D7" w:rsidP="002B17ED">
      <w:pPr>
        <w:jc w:val="center"/>
        <w:rPr>
          <w:b/>
          <w:bCs/>
          <w:sz w:val="28"/>
          <w:lang w:val="en-GB"/>
        </w:rPr>
      </w:pPr>
      <w:r w:rsidRPr="00E20701">
        <w:rPr>
          <w:b/>
          <w:bCs/>
          <w:sz w:val="28"/>
          <w:lang w:val="en-GB"/>
        </w:rPr>
        <w:lastRenderedPageBreak/>
        <w:t>ASAMPSA</w:t>
      </w:r>
      <w:r w:rsidR="00892091">
        <w:rPr>
          <w:b/>
          <w:bCs/>
          <w:sz w:val="28"/>
          <w:lang w:val="en-GB"/>
        </w:rPr>
        <w:t>_E</w:t>
      </w:r>
      <w:r w:rsidRPr="00E20701">
        <w:rPr>
          <w:b/>
          <w:bCs/>
          <w:sz w:val="28"/>
          <w:lang w:val="en-GB"/>
        </w:rPr>
        <w:t xml:space="preserve"> Quality Assurance page</w:t>
      </w:r>
    </w:p>
    <w:p w:rsidR="007F6486" w:rsidRPr="00E20701" w:rsidRDefault="007F6486" w:rsidP="002B17ED">
      <w:pPr>
        <w:jc w:val="center"/>
        <w:rPr>
          <w:b/>
          <w:bCs/>
          <w:sz w:val="28"/>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7336"/>
      </w:tblGrid>
      <w:tr w:rsidR="00752C2D" w:rsidRPr="00304D8A" w:rsidTr="00E57E9B">
        <w:tc>
          <w:tcPr>
            <w:tcW w:w="9571" w:type="dxa"/>
            <w:gridSpan w:val="2"/>
            <w:shd w:val="clear" w:color="auto" w:fill="auto"/>
          </w:tcPr>
          <w:p w:rsidR="00752C2D" w:rsidRPr="00E20701" w:rsidRDefault="00752C2D" w:rsidP="00B2386E">
            <w:pPr>
              <w:tabs>
                <w:tab w:val="center" w:pos="4536"/>
                <w:tab w:val="right" w:pos="9072"/>
              </w:tabs>
              <w:rPr>
                <w:b/>
                <w:lang w:val="en-GB"/>
              </w:rPr>
            </w:pPr>
            <w:r w:rsidRPr="00E20701">
              <w:rPr>
                <w:b/>
                <w:lang w:val="en-GB"/>
              </w:rPr>
              <w:t>Partners responsible of the document :</w:t>
            </w:r>
            <w:r w:rsidR="0050507E" w:rsidRPr="00E20701">
              <w:rPr>
                <w:b/>
                <w:lang w:val="en-GB"/>
              </w:rPr>
              <w:t xml:space="preserve"> </w:t>
            </w:r>
            <w:r w:rsidR="00892091">
              <w:rPr>
                <w:b/>
                <w:lang w:val="en-GB"/>
              </w:rPr>
              <w:t xml:space="preserve">GRS, </w:t>
            </w:r>
            <w:r w:rsidR="0050507E" w:rsidRPr="00E20701">
              <w:rPr>
                <w:b/>
                <w:lang w:val="en-GB"/>
              </w:rPr>
              <w:t>IRSN</w:t>
            </w:r>
          </w:p>
        </w:tc>
      </w:tr>
      <w:tr w:rsidR="00752C2D" w:rsidRPr="00E20701" w:rsidTr="00E57E9B">
        <w:tc>
          <w:tcPr>
            <w:tcW w:w="2235" w:type="dxa"/>
            <w:shd w:val="clear" w:color="auto" w:fill="auto"/>
          </w:tcPr>
          <w:p w:rsidR="00752C2D" w:rsidRPr="00E20701" w:rsidRDefault="00752C2D" w:rsidP="00B2386E">
            <w:pPr>
              <w:tabs>
                <w:tab w:val="center" w:pos="4536"/>
                <w:tab w:val="right" w:pos="9072"/>
              </w:tabs>
              <w:rPr>
                <w:b/>
                <w:lang w:val="en-GB"/>
              </w:rPr>
            </w:pPr>
            <w:r w:rsidRPr="00E20701">
              <w:rPr>
                <w:b/>
                <w:lang w:val="en-GB"/>
              </w:rPr>
              <w:t>Nature of document</w:t>
            </w:r>
          </w:p>
        </w:tc>
        <w:tc>
          <w:tcPr>
            <w:tcW w:w="7336" w:type="dxa"/>
            <w:shd w:val="clear" w:color="auto" w:fill="auto"/>
          </w:tcPr>
          <w:p w:rsidR="00752C2D" w:rsidRPr="00E20701" w:rsidRDefault="00801BDF" w:rsidP="00B2386E">
            <w:pPr>
              <w:tabs>
                <w:tab w:val="center" w:pos="4536"/>
                <w:tab w:val="right" w:pos="9072"/>
              </w:tabs>
              <w:rPr>
                <w:lang w:val="en-GB"/>
              </w:rPr>
            </w:pPr>
            <w:r w:rsidRPr="00E20701">
              <w:rPr>
                <w:lang w:val="en-GB"/>
              </w:rPr>
              <w:t>Technical Report</w:t>
            </w:r>
          </w:p>
        </w:tc>
      </w:tr>
      <w:tr w:rsidR="00752C2D" w:rsidRPr="00342644" w:rsidTr="00E57E9B">
        <w:tc>
          <w:tcPr>
            <w:tcW w:w="2235" w:type="dxa"/>
            <w:shd w:val="clear" w:color="auto" w:fill="auto"/>
          </w:tcPr>
          <w:p w:rsidR="00752C2D" w:rsidRPr="00E20701" w:rsidRDefault="00752C2D" w:rsidP="00B2386E">
            <w:pPr>
              <w:tabs>
                <w:tab w:val="center" w:pos="4536"/>
                <w:tab w:val="right" w:pos="9072"/>
              </w:tabs>
              <w:rPr>
                <w:b/>
                <w:lang w:val="en-GB"/>
              </w:rPr>
            </w:pPr>
            <w:r w:rsidRPr="00E20701">
              <w:rPr>
                <w:b/>
                <w:lang w:val="en-GB"/>
              </w:rPr>
              <w:t>Reference(s)</w:t>
            </w:r>
          </w:p>
        </w:tc>
        <w:tc>
          <w:tcPr>
            <w:tcW w:w="7336" w:type="dxa"/>
            <w:shd w:val="clear" w:color="auto" w:fill="auto"/>
          </w:tcPr>
          <w:p w:rsidR="0050507E" w:rsidRPr="000E7B29" w:rsidRDefault="0050507E" w:rsidP="00B2386E">
            <w:pPr>
              <w:tabs>
                <w:tab w:val="center" w:pos="4536"/>
                <w:tab w:val="right" w:pos="9072"/>
              </w:tabs>
              <w:rPr>
                <w:bCs/>
                <w:lang w:val="en-GB"/>
              </w:rPr>
            </w:pPr>
            <w:r w:rsidRPr="000E7B29">
              <w:rPr>
                <w:bCs/>
                <w:lang w:val="en-GB"/>
              </w:rPr>
              <w:t>Technical repo</w:t>
            </w:r>
            <w:r w:rsidR="001F76B8" w:rsidRPr="000E7B29">
              <w:rPr>
                <w:bCs/>
                <w:lang w:val="en-GB"/>
              </w:rPr>
              <w:t xml:space="preserve">rt </w:t>
            </w:r>
            <w:r w:rsidR="000E7B29" w:rsidRPr="000E7B29">
              <w:rPr>
                <w:bCs/>
                <w:lang w:val="en-GB"/>
              </w:rPr>
              <w:t>ASAMPSA_E/WP30/D30.7/2017-31 volume 2</w:t>
            </w:r>
          </w:p>
          <w:p w:rsidR="00752C2D" w:rsidRPr="00E20701" w:rsidRDefault="00323C1B">
            <w:pPr>
              <w:tabs>
                <w:tab w:val="center" w:pos="4536"/>
                <w:tab w:val="right" w:pos="9072"/>
              </w:tabs>
              <w:rPr>
                <w:lang w:val="en-GB"/>
              </w:rPr>
            </w:pPr>
            <w:r w:rsidRPr="00E62976">
              <w:rPr>
                <w:lang w:val="en-GB"/>
              </w:rPr>
              <w:t xml:space="preserve">Rapport </w:t>
            </w:r>
            <w:r w:rsidR="000E7B29" w:rsidRPr="000E7B29">
              <w:rPr>
                <w:lang w:val="en-GB"/>
              </w:rPr>
              <w:t>IRSN PSN-RES/SAG/2017-00017</w:t>
            </w:r>
          </w:p>
        </w:tc>
      </w:tr>
      <w:tr w:rsidR="00752C2D" w:rsidRPr="00304D8A" w:rsidTr="00E57E9B">
        <w:tc>
          <w:tcPr>
            <w:tcW w:w="2235" w:type="dxa"/>
            <w:shd w:val="clear" w:color="auto" w:fill="auto"/>
          </w:tcPr>
          <w:p w:rsidR="00752C2D" w:rsidRPr="00E20701" w:rsidRDefault="00752C2D" w:rsidP="00B2386E">
            <w:pPr>
              <w:tabs>
                <w:tab w:val="center" w:pos="4536"/>
                <w:tab w:val="right" w:pos="9072"/>
              </w:tabs>
              <w:rPr>
                <w:b/>
                <w:lang w:val="en-GB"/>
              </w:rPr>
            </w:pPr>
            <w:r w:rsidRPr="00E20701">
              <w:rPr>
                <w:b/>
                <w:lang w:val="en-GB"/>
              </w:rPr>
              <w:t>Title</w:t>
            </w:r>
          </w:p>
        </w:tc>
        <w:tc>
          <w:tcPr>
            <w:tcW w:w="7336" w:type="dxa"/>
            <w:shd w:val="clear" w:color="auto" w:fill="auto"/>
          </w:tcPr>
          <w:p w:rsidR="00752C2D" w:rsidRPr="00E20701" w:rsidRDefault="00E70E61" w:rsidP="004A4434">
            <w:pPr>
              <w:tabs>
                <w:tab w:val="center" w:pos="4536"/>
                <w:tab w:val="right" w:pos="9072"/>
              </w:tabs>
              <w:rPr>
                <w:bCs/>
                <w:lang w:val="en-GB"/>
              </w:rPr>
            </w:pPr>
            <w:r w:rsidRPr="00E20701">
              <w:rPr>
                <w:bCs/>
                <w:lang w:val="en-GB"/>
              </w:rPr>
              <w:t xml:space="preserve">Methodology for Selecting Initiating Events </w:t>
            </w:r>
            <w:r w:rsidR="00986082" w:rsidRPr="00E20701">
              <w:rPr>
                <w:bCs/>
                <w:lang w:val="en-GB"/>
              </w:rPr>
              <w:t xml:space="preserve">and Hazards </w:t>
            </w:r>
            <w:r w:rsidRPr="00E20701">
              <w:rPr>
                <w:bCs/>
                <w:lang w:val="en-GB"/>
              </w:rPr>
              <w:t>for Consideration in an Extended PSA</w:t>
            </w:r>
          </w:p>
        </w:tc>
      </w:tr>
      <w:tr w:rsidR="00752C2D" w:rsidRPr="00304D8A" w:rsidTr="00E57E9B">
        <w:tc>
          <w:tcPr>
            <w:tcW w:w="2235" w:type="dxa"/>
            <w:shd w:val="clear" w:color="auto" w:fill="auto"/>
          </w:tcPr>
          <w:p w:rsidR="00752C2D" w:rsidRPr="00E20701" w:rsidRDefault="00752C2D" w:rsidP="00B2386E">
            <w:pPr>
              <w:tabs>
                <w:tab w:val="center" w:pos="4536"/>
                <w:tab w:val="right" w:pos="9072"/>
              </w:tabs>
              <w:rPr>
                <w:b/>
                <w:lang w:val="en-GB"/>
              </w:rPr>
            </w:pPr>
            <w:r w:rsidRPr="00E20701">
              <w:rPr>
                <w:b/>
                <w:lang w:val="en-GB"/>
              </w:rPr>
              <w:t>Author</w:t>
            </w:r>
            <w:r w:rsidR="009A1C44" w:rsidRPr="00E20701">
              <w:rPr>
                <w:b/>
                <w:lang w:val="en-GB"/>
              </w:rPr>
              <w:t>(s)</w:t>
            </w:r>
          </w:p>
        </w:tc>
        <w:tc>
          <w:tcPr>
            <w:tcW w:w="7336" w:type="dxa"/>
            <w:shd w:val="clear" w:color="auto" w:fill="auto"/>
          </w:tcPr>
          <w:p w:rsidR="00752C2D" w:rsidRPr="00E20701" w:rsidRDefault="000E7B29">
            <w:pPr>
              <w:tabs>
                <w:tab w:val="center" w:pos="4536"/>
                <w:tab w:val="right" w:pos="9072"/>
              </w:tabs>
              <w:spacing w:before="120" w:after="120" w:line="240" w:lineRule="auto"/>
              <w:rPr>
                <w:lang w:val="en-GB"/>
              </w:rPr>
            </w:pPr>
            <w:r w:rsidRPr="00E57E9B">
              <w:rPr>
                <w:lang w:val="en-GB"/>
              </w:rPr>
              <w:t>A. Wielenberg (GRS)</w:t>
            </w:r>
            <w:r>
              <w:rPr>
                <w:lang w:val="en-GB"/>
              </w:rPr>
              <w:t xml:space="preserve">, </w:t>
            </w:r>
            <w:r w:rsidR="00E57E9B" w:rsidRPr="00E57E9B">
              <w:rPr>
                <w:lang w:val="en-GB"/>
              </w:rPr>
              <w:t>R. Alzbutas (LEI), M. Apostol (ICN), A. Bareith (NUBIKI), P. Brac (EDF), L. Burgazzi (ENEA), E. Cazzoli (CCA), L. Cizel</w:t>
            </w:r>
            <w:r w:rsidR="007A02D3">
              <w:rPr>
                <w:lang w:val="en-GB"/>
              </w:rPr>
              <w:t>j</w:t>
            </w:r>
            <w:r w:rsidR="00E57E9B" w:rsidRPr="00E57E9B">
              <w:rPr>
                <w:lang w:val="en-GB"/>
              </w:rPr>
              <w:t xml:space="preserve"> (IJS), M. Hage (GRS), Hashimoto K. (JANSI), F. Godefroy (AREVA), M. Gonzalez (US-NRC), P. Groudev (INRNE), H. Löffler (GRS), L. Kolar (UJV), M. Kumar (LRC), M. Nitoi (INR), A. Prošek (IJS), E. Raimond (IRSN), T. Siklóssy (NUBIKI), J. Vitazkova (CCA), A. Volkanovski (IJS)</w:t>
            </w:r>
          </w:p>
        </w:tc>
      </w:tr>
      <w:tr w:rsidR="00752C2D" w:rsidRPr="006C7C29" w:rsidTr="00E57E9B">
        <w:tc>
          <w:tcPr>
            <w:tcW w:w="2235" w:type="dxa"/>
            <w:shd w:val="clear" w:color="auto" w:fill="auto"/>
          </w:tcPr>
          <w:p w:rsidR="00752C2D" w:rsidRPr="00764AEC" w:rsidRDefault="00752C2D" w:rsidP="00B2386E">
            <w:pPr>
              <w:tabs>
                <w:tab w:val="center" w:pos="4536"/>
                <w:tab w:val="right" w:pos="9072"/>
              </w:tabs>
              <w:rPr>
                <w:b/>
                <w:lang w:val="en-GB"/>
              </w:rPr>
            </w:pPr>
            <w:r w:rsidRPr="00764AEC">
              <w:rPr>
                <w:b/>
                <w:lang w:val="en-GB"/>
              </w:rPr>
              <w:t>Delivery date</w:t>
            </w:r>
          </w:p>
        </w:tc>
        <w:tc>
          <w:tcPr>
            <w:tcW w:w="7336" w:type="dxa"/>
            <w:shd w:val="clear" w:color="auto" w:fill="auto"/>
          </w:tcPr>
          <w:p w:rsidR="00752C2D" w:rsidRPr="00764AEC" w:rsidRDefault="00E57E9B">
            <w:pPr>
              <w:tabs>
                <w:tab w:val="center" w:pos="4536"/>
                <w:tab w:val="right" w:pos="9072"/>
              </w:tabs>
              <w:rPr>
                <w:color w:val="FF0000"/>
                <w:lang w:val="en-GB"/>
              </w:rPr>
            </w:pPr>
            <w:r w:rsidRPr="00764AEC">
              <w:rPr>
                <w:lang w:val="en-GB"/>
              </w:rPr>
              <w:t>2016-</w:t>
            </w:r>
            <w:r w:rsidR="00030403" w:rsidRPr="00764AEC">
              <w:rPr>
                <w:lang w:val="en-GB"/>
              </w:rPr>
              <w:t>12</w:t>
            </w:r>
            <w:r w:rsidRPr="00764AEC">
              <w:rPr>
                <w:lang w:val="en-GB"/>
              </w:rPr>
              <w:t>-</w:t>
            </w:r>
            <w:r w:rsidR="000E7B29">
              <w:rPr>
                <w:lang w:val="en-GB"/>
              </w:rPr>
              <w:t>31</w:t>
            </w:r>
          </w:p>
        </w:tc>
      </w:tr>
      <w:tr w:rsidR="00752C2D" w:rsidRPr="006C7C29" w:rsidTr="00E57E9B">
        <w:tc>
          <w:tcPr>
            <w:tcW w:w="2235" w:type="dxa"/>
            <w:shd w:val="clear" w:color="auto" w:fill="auto"/>
          </w:tcPr>
          <w:p w:rsidR="00752C2D" w:rsidRPr="00E20701" w:rsidRDefault="00752C2D" w:rsidP="00B2386E">
            <w:pPr>
              <w:tabs>
                <w:tab w:val="center" w:pos="4536"/>
                <w:tab w:val="right" w:pos="9072"/>
              </w:tabs>
              <w:rPr>
                <w:b/>
                <w:lang w:val="en-GB"/>
              </w:rPr>
            </w:pPr>
            <w:r w:rsidRPr="00E20701">
              <w:rPr>
                <w:b/>
                <w:lang w:val="en-GB"/>
              </w:rPr>
              <w:t>Topical area</w:t>
            </w:r>
          </w:p>
        </w:tc>
        <w:tc>
          <w:tcPr>
            <w:tcW w:w="7336" w:type="dxa"/>
            <w:shd w:val="clear" w:color="auto" w:fill="auto"/>
          </w:tcPr>
          <w:p w:rsidR="00752C2D" w:rsidRPr="00E20701" w:rsidRDefault="002F0B87" w:rsidP="00B2386E">
            <w:pPr>
              <w:tabs>
                <w:tab w:val="center" w:pos="4536"/>
                <w:tab w:val="right" w:pos="9072"/>
              </w:tabs>
              <w:rPr>
                <w:lang w:val="en-GB"/>
              </w:rPr>
            </w:pPr>
            <w:r w:rsidRPr="00E20701">
              <w:rPr>
                <w:lang w:val="en-GB"/>
              </w:rPr>
              <w:t>Initiating Events</w:t>
            </w:r>
          </w:p>
        </w:tc>
      </w:tr>
      <w:tr w:rsidR="002B17ED" w:rsidRPr="006C7C29" w:rsidTr="00E57E9B">
        <w:tc>
          <w:tcPr>
            <w:tcW w:w="2235" w:type="dxa"/>
            <w:vMerge w:val="restart"/>
            <w:shd w:val="clear" w:color="auto" w:fill="auto"/>
          </w:tcPr>
          <w:p w:rsidR="002B17ED" w:rsidRPr="00E20701" w:rsidRDefault="002B17ED" w:rsidP="00B2386E">
            <w:pPr>
              <w:tabs>
                <w:tab w:val="center" w:pos="4536"/>
                <w:tab w:val="right" w:pos="9072"/>
              </w:tabs>
              <w:jc w:val="left"/>
              <w:rPr>
                <w:b/>
                <w:lang w:val="en-GB"/>
              </w:rPr>
            </w:pPr>
            <w:r w:rsidRPr="00E20701">
              <w:rPr>
                <w:b/>
                <w:lang w:val="en-GB"/>
              </w:rPr>
              <w:t>For Journal &amp; Conf. papers</w:t>
            </w:r>
          </w:p>
        </w:tc>
        <w:tc>
          <w:tcPr>
            <w:tcW w:w="7336" w:type="dxa"/>
            <w:shd w:val="clear" w:color="auto" w:fill="auto"/>
          </w:tcPr>
          <w:p w:rsidR="002B17ED" w:rsidRPr="00E20701" w:rsidRDefault="00323C1B" w:rsidP="00B2386E">
            <w:pPr>
              <w:tabs>
                <w:tab w:val="center" w:pos="4536"/>
                <w:tab w:val="right" w:pos="9072"/>
              </w:tabs>
              <w:rPr>
                <w:lang w:val="en-GB"/>
              </w:rPr>
            </w:pPr>
            <w:r w:rsidRPr="00E20701">
              <w:rPr>
                <w:lang w:val="en-GB"/>
              </w:rPr>
              <w:t>No</w:t>
            </w:r>
          </w:p>
        </w:tc>
      </w:tr>
      <w:tr w:rsidR="002B17ED" w:rsidRPr="006C7C29" w:rsidTr="00E57E9B">
        <w:tc>
          <w:tcPr>
            <w:tcW w:w="2235" w:type="dxa"/>
            <w:vMerge/>
            <w:shd w:val="clear" w:color="auto" w:fill="auto"/>
          </w:tcPr>
          <w:p w:rsidR="002B17ED" w:rsidRPr="00E20701" w:rsidRDefault="002B17ED" w:rsidP="00B2386E">
            <w:pPr>
              <w:tabs>
                <w:tab w:val="center" w:pos="4536"/>
                <w:tab w:val="right" w:pos="9072"/>
              </w:tabs>
              <w:rPr>
                <w:lang w:val="en-GB"/>
              </w:rPr>
            </w:pPr>
          </w:p>
        </w:tc>
        <w:tc>
          <w:tcPr>
            <w:tcW w:w="7336" w:type="dxa"/>
            <w:shd w:val="clear" w:color="auto" w:fill="auto"/>
          </w:tcPr>
          <w:p w:rsidR="002B17ED" w:rsidRPr="00E20701" w:rsidRDefault="002B17ED" w:rsidP="00B2386E">
            <w:pPr>
              <w:tabs>
                <w:tab w:val="center" w:pos="4536"/>
                <w:tab w:val="right" w:pos="9072"/>
              </w:tabs>
              <w:rPr>
                <w:lang w:val="en-GB"/>
              </w:rPr>
            </w:pPr>
          </w:p>
        </w:tc>
      </w:tr>
      <w:tr w:rsidR="00752C2D" w:rsidRPr="00304D8A" w:rsidTr="00E57E9B">
        <w:tc>
          <w:tcPr>
            <w:tcW w:w="9571" w:type="dxa"/>
            <w:gridSpan w:val="2"/>
            <w:shd w:val="clear" w:color="auto" w:fill="auto"/>
          </w:tcPr>
          <w:p w:rsidR="003A5817" w:rsidRDefault="00752C2D" w:rsidP="00B2386E">
            <w:pPr>
              <w:tabs>
                <w:tab w:val="center" w:pos="4536"/>
                <w:tab w:val="right" w:pos="9072"/>
              </w:tabs>
              <w:rPr>
                <w:lang w:val="en-GB"/>
              </w:rPr>
            </w:pPr>
            <w:r w:rsidRPr="00E20701">
              <w:rPr>
                <w:b/>
                <w:u w:val="single"/>
                <w:lang w:val="en-GB"/>
              </w:rPr>
              <w:t>Summary</w:t>
            </w:r>
            <w:r w:rsidR="002B17ED" w:rsidRPr="00E20701">
              <w:rPr>
                <w:b/>
                <w:u w:val="single"/>
                <w:lang w:val="en-GB"/>
              </w:rPr>
              <w:t> </w:t>
            </w:r>
            <w:r w:rsidR="002B17ED" w:rsidRPr="00E20701">
              <w:rPr>
                <w:lang w:val="en-GB"/>
              </w:rPr>
              <w:t>:</w:t>
            </w:r>
          </w:p>
          <w:p w:rsidR="00E57E9B" w:rsidRDefault="00E57E9B" w:rsidP="00B2386E">
            <w:pPr>
              <w:tabs>
                <w:tab w:val="center" w:pos="4536"/>
                <w:tab w:val="right" w:pos="9072"/>
              </w:tabs>
              <w:rPr>
                <w:lang w:val="en-GB"/>
              </w:rPr>
            </w:pPr>
          </w:p>
          <w:p w:rsidR="00622A2E" w:rsidRDefault="00622A2E" w:rsidP="00E57E9B">
            <w:pPr>
              <w:spacing w:line="240" w:lineRule="auto"/>
              <w:rPr>
                <w:lang w:val="en-GB"/>
              </w:rPr>
            </w:pPr>
            <w:r w:rsidRPr="00DB119E">
              <w:rPr>
                <w:lang w:val="en-GB"/>
              </w:rPr>
              <w:t>An extended PSA applies to a site of one or several Nuclear Power Plant</w:t>
            </w:r>
            <w:r>
              <w:rPr>
                <w:lang w:val="en-GB"/>
              </w:rPr>
              <w:t xml:space="preserve"> unit</w:t>
            </w:r>
            <w:r w:rsidRPr="00DB119E">
              <w:rPr>
                <w:lang w:val="en-GB"/>
              </w:rPr>
              <w:t>(s) and its environment. It intends to calculate the risk induced by the main sources of radioactivity (reactor core and spent fuel storages</w:t>
            </w:r>
            <w:r>
              <w:rPr>
                <w:lang w:val="en-GB"/>
              </w:rPr>
              <w:t>)</w:t>
            </w:r>
            <w:r w:rsidRPr="00DB119E">
              <w:rPr>
                <w:lang w:val="en-GB"/>
              </w:rPr>
              <w:t xml:space="preserve"> on the site, taking into account all operating states for each main source and all possible relevant accident initiating events (both internal and external) affec</w:t>
            </w:r>
            <w:r>
              <w:rPr>
                <w:lang w:val="en-GB"/>
              </w:rPr>
              <w:t>ting one unit or the whole site. The combination between hazards or initiating events and their impact on a unit or the whole site is a crucial issue for an extended PSA.</w:t>
            </w:r>
          </w:p>
          <w:p w:rsidR="00622A2E" w:rsidRDefault="00622A2E" w:rsidP="00E57E9B">
            <w:pPr>
              <w:spacing w:line="240" w:lineRule="auto"/>
              <w:rPr>
                <w:lang w:val="en-GB"/>
              </w:rPr>
            </w:pPr>
          </w:p>
          <w:p w:rsidR="00622A2E" w:rsidRPr="00E20701" w:rsidRDefault="00622A2E" w:rsidP="00E57E9B">
            <w:pPr>
              <w:spacing w:line="240" w:lineRule="auto"/>
              <w:rPr>
                <w:lang w:val="en-GB"/>
              </w:rPr>
            </w:pPr>
            <w:r w:rsidRPr="00861806">
              <w:rPr>
                <w:szCs w:val="18"/>
                <w:lang w:val="en-GB"/>
              </w:rPr>
              <w:t xml:space="preserve">The report </w:t>
            </w:r>
            <w:r>
              <w:rPr>
                <w:szCs w:val="18"/>
                <w:lang w:val="en-GB"/>
              </w:rPr>
              <w:t>tries to discuss relevant methodologies for this purpose. T</w:t>
            </w:r>
            <w:r>
              <w:rPr>
                <w:lang w:val="en-US"/>
              </w:rPr>
              <w:t>he report</w:t>
            </w:r>
            <w:r w:rsidRPr="001B7918">
              <w:rPr>
                <w:lang w:val="en-US"/>
              </w:rPr>
              <w:t xml:space="preserve"> proposes a methodology </w:t>
            </w:r>
            <w:r>
              <w:rPr>
                <w:lang w:val="en-US"/>
              </w:rPr>
              <w:t>to select initiating events and hazards for the development of an extended PSA.</w:t>
            </w:r>
            <w:r w:rsidRPr="00E20701">
              <w:rPr>
                <w:lang w:val="en-GB"/>
              </w:rPr>
              <w:t xml:space="preserve"> </w:t>
            </w:r>
            <w:r>
              <w:rPr>
                <w:lang w:val="en-GB"/>
              </w:rPr>
              <w:t>T</w:t>
            </w:r>
            <w:r w:rsidRPr="00E20701">
              <w:rPr>
                <w:lang w:val="en-GB"/>
              </w:rPr>
              <w:t xml:space="preserve">he </w:t>
            </w:r>
            <w:r>
              <w:rPr>
                <w:lang w:val="en-GB"/>
              </w:rPr>
              <w:t>proposed</w:t>
            </w:r>
            <w:r w:rsidRPr="00E20701">
              <w:rPr>
                <w:lang w:val="en-GB"/>
              </w:rPr>
              <w:t xml:space="preserve"> methodology for initiating events identification, screening and bounding analysis for an extended PSA consists of four major steps</w:t>
            </w:r>
            <w:r>
              <w:rPr>
                <w:lang w:val="en-GB"/>
              </w:rPr>
              <w:t>:</w:t>
            </w:r>
          </w:p>
          <w:p w:rsidR="00622A2E" w:rsidRPr="00C70893" w:rsidRDefault="00622A2E" w:rsidP="00E62976">
            <w:pPr>
              <w:numPr>
                <w:ilvl w:val="0"/>
                <w:numId w:val="37"/>
              </w:numPr>
              <w:spacing w:line="240" w:lineRule="auto"/>
              <w:rPr>
                <w:lang w:val="en-GB"/>
              </w:rPr>
            </w:pPr>
            <w:r>
              <w:rPr>
                <w:lang w:val="en-GB"/>
              </w:rPr>
              <w:t>a c</w:t>
            </w:r>
            <w:r w:rsidRPr="00C70893">
              <w:rPr>
                <w:lang w:val="en-GB"/>
              </w:rPr>
              <w:t>omprehensive identification of events and hazards and their respective combinations applicable to the plant and site</w:t>
            </w:r>
            <w:r>
              <w:rPr>
                <w:lang w:val="en-GB"/>
              </w:rPr>
              <w:t>. Qualitative screening criteria will be applied,</w:t>
            </w:r>
          </w:p>
          <w:p w:rsidR="00622A2E" w:rsidRPr="00C70893" w:rsidRDefault="00622A2E" w:rsidP="00E62976">
            <w:pPr>
              <w:numPr>
                <w:ilvl w:val="0"/>
                <w:numId w:val="37"/>
              </w:numPr>
              <w:spacing w:line="240" w:lineRule="auto"/>
              <w:rPr>
                <w:lang w:val="en-GB"/>
              </w:rPr>
            </w:pPr>
            <w:r>
              <w:rPr>
                <w:lang w:val="en-GB"/>
              </w:rPr>
              <w:t>the calculation of i</w:t>
            </w:r>
            <w:r w:rsidRPr="00C70893">
              <w:rPr>
                <w:lang w:val="en-GB"/>
              </w:rPr>
              <w:t xml:space="preserve">nitial </w:t>
            </w:r>
            <w:r>
              <w:rPr>
                <w:lang w:val="en-GB"/>
              </w:rPr>
              <w:t xml:space="preserve">(possibly conservative) </w:t>
            </w:r>
            <w:r w:rsidRPr="00C70893">
              <w:rPr>
                <w:lang w:val="en-GB"/>
              </w:rPr>
              <w:t>frequency claims for events and hazards and their respective combinations applicable to the plant and the site</w:t>
            </w:r>
            <w:r>
              <w:rPr>
                <w:lang w:val="en-GB"/>
              </w:rPr>
              <w:t>. Quantitative screening criteria will be applied,</w:t>
            </w:r>
          </w:p>
          <w:p w:rsidR="00622A2E" w:rsidRPr="00C70893" w:rsidRDefault="00622A2E" w:rsidP="00E62976">
            <w:pPr>
              <w:numPr>
                <w:ilvl w:val="0"/>
                <w:numId w:val="37"/>
              </w:numPr>
              <w:spacing w:line="240" w:lineRule="auto"/>
              <w:rPr>
                <w:lang w:val="en-GB"/>
              </w:rPr>
            </w:pPr>
            <w:r>
              <w:rPr>
                <w:lang w:val="en-GB"/>
              </w:rPr>
              <w:t>an i</w:t>
            </w:r>
            <w:r w:rsidRPr="00C70893">
              <w:rPr>
                <w:lang w:val="en-GB"/>
              </w:rPr>
              <w:t>mpact analysis and bounding assessment for all applicable events and scenarios. Events are either screened out from further more detailed analysis, or are assigned to a bounding event (group), or are retained for detailed analysis</w:t>
            </w:r>
            <w:r>
              <w:rPr>
                <w:lang w:val="en-GB"/>
              </w:rPr>
              <w:t>,</w:t>
            </w:r>
          </w:p>
          <w:p w:rsidR="00622A2E" w:rsidRPr="00C70893" w:rsidRDefault="00622A2E" w:rsidP="00E62976">
            <w:pPr>
              <w:numPr>
                <w:ilvl w:val="0"/>
                <w:numId w:val="37"/>
              </w:numPr>
              <w:spacing w:line="240" w:lineRule="auto"/>
              <w:rPr>
                <w:lang w:val="en-GB"/>
              </w:rPr>
            </w:pPr>
            <w:r>
              <w:rPr>
                <w:lang w:val="en-GB"/>
              </w:rPr>
              <w:t>the p</w:t>
            </w:r>
            <w:r w:rsidRPr="00C70893">
              <w:rPr>
                <w:lang w:val="en-GB"/>
              </w:rPr>
              <w:t>robabilistic analysis of all retained (bounding) events at the appropriate level of detail.</w:t>
            </w:r>
          </w:p>
          <w:p w:rsidR="009A1C44" w:rsidRPr="00E20701" w:rsidRDefault="009A1C44" w:rsidP="00B2386E">
            <w:pPr>
              <w:tabs>
                <w:tab w:val="center" w:pos="4536"/>
                <w:tab w:val="right" w:pos="9072"/>
              </w:tabs>
              <w:rPr>
                <w:lang w:val="en-GB"/>
              </w:rPr>
            </w:pPr>
          </w:p>
        </w:tc>
      </w:tr>
    </w:tbl>
    <w:p w:rsidR="00C126D7" w:rsidRPr="00E20701" w:rsidRDefault="00C126D7" w:rsidP="005164F9">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9"/>
        <w:gridCol w:w="2374"/>
        <w:gridCol w:w="2442"/>
        <w:gridCol w:w="2396"/>
      </w:tblGrid>
      <w:tr w:rsidR="002B17ED" w:rsidRPr="006C7C29" w:rsidTr="00B2386E">
        <w:tc>
          <w:tcPr>
            <w:tcW w:w="10051" w:type="dxa"/>
            <w:gridSpan w:val="4"/>
            <w:shd w:val="clear" w:color="auto" w:fill="auto"/>
          </w:tcPr>
          <w:p w:rsidR="002B17ED" w:rsidRPr="00E20701" w:rsidRDefault="002B17ED" w:rsidP="00B2386E">
            <w:pPr>
              <w:tabs>
                <w:tab w:val="center" w:pos="4536"/>
                <w:tab w:val="right" w:pos="9072"/>
              </w:tabs>
              <w:rPr>
                <w:lang w:val="en-GB"/>
              </w:rPr>
            </w:pPr>
            <w:r w:rsidRPr="00E20701">
              <w:rPr>
                <w:lang w:val="en-GB"/>
              </w:rPr>
              <w:t>Visa grid</w:t>
            </w:r>
          </w:p>
        </w:tc>
      </w:tr>
      <w:tr w:rsidR="00752C2D" w:rsidRPr="00E20701" w:rsidTr="00B2386E">
        <w:tc>
          <w:tcPr>
            <w:tcW w:w="2512" w:type="dxa"/>
            <w:shd w:val="clear" w:color="auto" w:fill="auto"/>
          </w:tcPr>
          <w:p w:rsidR="00752C2D" w:rsidRPr="00E20701" w:rsidRDefault="00752C2D" w:rsidP="00B2386E">
            <w:pPr>
              <w:tabs>
                <w:tab w:val="center" w:pos="4536"/>
                <w:tab w:val="right" w:pos="9072"/>
              </w:tabs>
              <w:rPr>
                <w:lang w:val="en-GB"/>
              </w:rPr>
            </w:pPr>
          </w:p>
        </w:tc>
        <w:tc>
          <w:tcPr>
            <w:tcW w:w="2513" w:type="dxa"/>
            <w:shd w:val="clear" w:color="auto" w:fill="auto"/>
          </w:tcPr>
          <w:p w:rsidR="00752C2D" w:rsidRPr="00E20701" w:rsidRDefault="00752C2D" w:rsidP="00B2386E">
            <w:pPr>
              <w:tabs>
                <w:tab w:val="center" w:pos="4536"/>
                <w:tab w:val="right" w:pos="9072"/>
              </w:tabs>
              <w:rPr>
                <w:b/>
                <w:lang w:val="en-GB"/>
              </w:rPr>
            </w:pPr>
            <w:r w:rsidRPr="00E20701">
              <w:rPr>
                <w:b/>
                <w:lang w:val="en-GB"/>
              </w:rPr>
              <w:t>Main author(s)</w:t>
            </w:r>
            <w:r w:rsidR="002B17ED" w:rsidRPr="00E20701">
              <w:rPr>
                <w:b/>
                <w:lang w:val="en-GB"/>
              </w:rPr>
              <w:t> :</w:t>
            </w:r>
          </w:p>
        </w:tc>
        <w:tc>
          <w:tcPr>
            <w:tcW w:w="2513" w:type="dxa"/>
            <w:shd w:val="clear" w:color="auto" w:fill="auto"/>
          </w:tcPr>
          <w:p w:rsidR="00752C2D" w:rsidRPr="00E20701" w:rsidRDefault="00752C2D" w:rsidP="00B2386E">
            <w:pPr>
              <w:tabs>
                <w:tab w:val="center" w:pos="4536"/>
                <w:tab w:val="right" w:pos="9072"/>
              </w:tabs>
              <w:rPr>
                <w:b/>
                <w:lang w:val="en-GB"/>
              </w:rPr>
            </w:pPr>
            <w:r w:rsidRPr="00E20701">
              <w:rPr>
                <w:b/>
                <w:lang w:val="en-GB"/>
              </w:rPr>
              <w:t>Verification</w:t>
            </w:r>
          </w:p>
        </w:tc>
        <w:tc>
          <w:tcPr>
            <w:tcW w:w="2513" w:type="dxa"/>
            <w:shd w:val="clear" w:color="auto" w:fill="auto"/>
          </w:tcPr>
          <w:p w:rsidR="00752C2D" w:rsidRPr="00E20701" w:rsidRDefault="00752C2D" w:rsidP="00B2386E">
            <w:pPr>
              <w:tabs>
                <w:tab w:val="center" w:pos="4536"/>
                <w:tab w:val="right" w:pos="9072"/>
              </w:tabs>
              <w:rPr>
                <w:b/>
                <w:lang w:val="en-GB"/>
              </w:rPr>
            </w:pPr>
            <w:r w:rsidRPr="00E20701">
              <w:rPr>
                <w:b/>
                <w:lang w:val="en-GB"/>
              </w:rPr>
              <w:t>Approval</w:t>
            </w:r>
            <w:r w:rsidR="00E66FD9" w:rsidRPr="00E20701">
              <w:rPr>
                <w:b/>
                <w:lang w:val="en-GB"/>
              </w:rPr>
              <w:t xml:space="preserve"> (Coordinator)</w:t>
            </w:r>
          </w:p>
        </w:tc>
      </w:tr>
      <w:tr w:rsidR="00752C2D" w:rsidRPr="00E20701" w:rsidTr="00B2386E">
        <w:tc>
          <w:tcPr>
            <w:tcW w:w="2512" w:type="dxa"/>
            <w:shd w:val="clear" w:color="auto" w:fill="auto"/>
          </w:tcPr>
          <w:p w:rsidR="00752C2D" w:rsidRPr="00E20701" w:rsidRDefault="00752C2D" w:rsidP="00B2386E">
            <w:pPr>
              <w:tabs>
                <w:tab w:val="center" w:pos="4536"/>
                <w:tab w:val="right" w:pos="9072"/>
              </w:tabs>
              <w:rPr>
                <w:lang w:val="en-GB"/>
              </w:rPr>
            </w:pPr>
            <w:r w:rsidRPr="00E20701">
              <w:rPr>
                <w:lang w:val="en-GB"/>
              </w:rPr>
              <w:t>Name</w:t>
            </w:r>
            <w:r w:rsidR="002B17ED" w:rsidRPr="00E20701">
              <w:rPr>
                <w:lang w:val="en-GB"/>
              </w:rPr>
              <w:t xml:space="preserve"> (s)</w:t>
            </w:r>
          </w:p>
        </w:tc>
        <w:tc>
          <w:tcPr>
            <w:tcW w:w="2513" w:type="dxa"/>
            <w:shd w:val="clear" w:color="auto" w:fill="auto"/>
          </w:tcPr>
          <w:p w:rsidR="00752C2D" w:rsidRPr="00764AEC" w:rsidRDefault="005B160C" w:rsidP="00FA2138">
            <w:pPr>
              <w:tabs>
                <w:tab w:val="center" w:pos="4536"/>
                <w:tab w:val="right" w:pos="9072"/>
              </w:tabs>
              <w:jc w:val="left"/>
            </w:pPr>
            <w:r w:rsidRPr="00764AEC">
              <w:t>A. Wielenberg</w:t>
            </w:r>
            <w:r w:rsidR="00E11EBB" w:rsidRPr="00764AEC">
              <w:t xml:space="preserve"> </w:t>
            </w:r>
          </w:p>
        </w:tc>
        <w:tc>
          <w:tcPr>
            <w:tcW w:w="2513" w:type="dxa"/>
            <w:shd w:val="clear" w:color="auto" w:fill="auto"/>
          </w:tcPr>
          <w:p w:rsidR="00752C2D" w:rsidRPr="00764AEC" w:rsidRDefault="004479EA" w:rsidP="00E57E9B">
            <w:pPr>
              <w:tabs>
                <w:tab w:val="center" w:pos="4536"/>
                <w:tab w:val="right" w:pos="9072"/>
              </w:tabs>
              <w:jc w:val="left"/>
              <w:rPr>
                <w:lang w:val="en-GB"/>
              </w:rPr>
            </w:pPr>
            <w:r w:rsidRPr="00764AEC">
              <w:rPr>
                <w:lang w:val="en-GB"/>
              </w:rPr>
              <w:t>H. Löffler</w:t>
            </w:r>
          </w:p>
        </w:tc>
        <w:tc>
          <w:tcPr>
            <w:tcW w:w="2513" w:type="dxa"/>
            <w:shd w:val="clear" w:color="auto" w:fill="auto"/>
          </w:tcPr>
          <w:p w:rsidR="00752C2D" w:rsidRPr="00764AEC" w:rsidRDefault="00E66FD9" w:rsidP="00E57E9B">
            <w:pPr>
              <w:tabs>
                <w:tab w:val="center" w:pos="4536"/>
                <w:tab w:val="right" w:pos="9072"/>
              </w:tabs>
              <w:jc w:val="left"/>
              <w:rPr>
                <w:lang w:val="en-GB"/>
              </w:rPr>
            </w:pPr>
            <w:r w:rsidRPr="00764AEC">
              <w:rPr>
                <w:lang w:val="en-GB"/>
              </w:rPr>
              <w:t>E. Raimond</w:t>
            </w:r>
          </w:p>
        </w:tc>
      </w:tr>
      <w:tr w:rsidR="00752C2D" w:rsidRPr="00E20701" w:rsidTr="00B2386E">
        <w:tc>
          <w:tcPr>
            <w:tcW w:w="2512" w:type="dxa"/>
            <w:shd w:val="clear" w:color="auto" w:fill="auto"/>
          </w:tcPr>
          <w:p w:rsidR="00752C2D" w:rsidRPr="00E20701" w:rsidRDefault="00752C2D" w:rsidP="00B2386E">
            <w:pPr>
              <w:tabs>
                <w:tab w:val="center" w:pos="4536"/>
                <w:tab w:val="right" w:pos="9072"/>
              </w:tabs>
              <w:rPr>
                <w:lang w:val="en-GB"/>
              </w:rPr>
            </w:pPr>
            <w:r w:rsidRPr="00E20701">
              <w:rPr>
                <w:lang w:val="en-GB"/>
              </w:rPr>
              <w:t>Date</w:t>
            </w:r>
          </w:p>
        </w:tc>
        <w:tc>
          <w:tcPr>
            <w:tcW w:w="2513" w:type="dxa"/>
            <w:shd w:val="clear" w:color="auto" w:fill="auto"/>
          </w:tcPr>
          <w:p w:rsidR="00752C2D" w:rsidRPr="00E20701" w:rsidRDefault="00764AEC" w:rsidP="00E57E9B">
            <w:pPr>
              <w:tabs>
                <w:tab w:val="center" w:pos="4536"/>
                <w:tab w:val="right" w:pos="9072"/>
              </w:tabs>
              <w:jc w:val="left"/>
              <w:rPr>
                <w:lang w:val="en-GB"/>
              </w:rPr>
            </w:pPr>
            <w:r>
              <w:rPr>
                <w:lang w:val="en-GB"/>
              </w:rPr>
              <w:t>13.12.2016</w:t>
            </w:r>
          </w:p>
        </w:tc>
        <w:tc>
          <w:tcPr>
            <w:tcW w:w="2513" w:type="dxa"/>
            <w:shd w:val="clear" w:color="auto" w:fill="auto"/>
          </w:tcPr>
          <w:p w:rsidR="00752C2D" w:rsidRPr="00494D47" w:rsidRDefault="008F0E50" w:rsidP="00E57E9B">
            <w:pPr>
              <w:tabs>
                <w:tab w:val="center" w:pos="4536"/>
                <w:tab w:val="right" w:pos="9072"/>
              </w:tabs>
              <w:jc w:val="left"/>
              <w:rPr>
                <w:lang w:val="en-GB"/>
              </w:rPr>
            </w:pPr>
            <w:r w:rsidRPr="00494D47">
              <w:rPr>
                <w:lang w:val="en-GB"/>
              </w:rPr>
              <w:t>14.12.2016</w:t>
            </w:r>
          </w:p>
        </w:tc>
        <w:tc>
          <w:tcPr>
            <w:tcW w:w="2513" w:type="dxa"/>
            <w:shd w:val="clear" w:color="auto" w:fill="auto"/>
          </w:tcPr>
          <w:p w:rsidR="00752C2D" w:rsidRPr="00E62976" w:rsidRDefault="00494D47" w:rsidP="00E57E9B">
            <w:pPr>
              <w:tabs>
                <w:tab w:val="center" w:pos="4536"/>
                <w:tab w:val="right" w:pos="9072"/>
              </w:tabs>
              <w:jc w:val="left"/>
              <w:rPr>
                <w:lang w:val="en-GB"/>
              </w:rPr>
            </w:pPr>
            <w:r w:rsidRPr="00E62976">
              <w:rPr>
                <w:lang w:val="en-GB"/>
              </w:rPr>
              <w:t>27.01.2017</w:t>
            </w:r>
          </w:p>
        </w:tc>
      </w:tr>
      <w:tr w:rsidR="00752C2D" w:rsidRPr="00E20701" w:rsidTr="00281A20">
        <w:trPr>
          <w:trHeight w:val="700"/>
        </w:trPr>
        <w:tc>
          <w:tcPr>
            <w:tcW w:w="2512" w:type="dxa"/>
            <w:shd w:val="clear" w:color="auto" w:fill="auto"/>
          </w:tcPr>
          <w:p w:rsidR="00752C2D" w:rsidRPr="00E20701" w:rsidRDefault="00752C2D" w:rsidP="00B2386E">
            <w:pPr>
              <w:tabs>
                <w:tab w:val="center" w:pos="4536"/>
                <w:tab w:val="right" w:pos="9072"/>
              </w:tabs>
              <w:rPr>
                <w:lang w:val="en-GB"/>
              </w:rPr>
            </w:pPr>
            <w:r w:rsidRPr="00E20701">
              <w:rPr>
                <w:lang w:val="en-GB"/>
              </w:rPr>
              <w:t>Signature</w:t>
            </w:r>
          </w:p>
        </w:tc>
        <w:tc>
          <w:tcPr>
            <w:tcW w:w="2513" w:type="dxa"/>
            <w:shd w:val="clear" w:color="auto" w:fill="auto"/>
          </w:tcPr>
          <w:p w:rsidR="00752C2D" w:rsidRPr="00E20701" w:rsidRDefault="00600F32" w:rsidP="00B2386E">
            <w:pPr>
              <w:tabs>
                <w:tab w:val="center" w:pos="4536"/>
                <w:tab w:val="right" w:pos="9072"/>
              </w:tabs>
              <w:rPr>
                <w:lang w:val="en-GB"/>
              </w:rPr>
            </w:pPr>
            <w:r>
              <w:rPr>
                <w:noProof/>
              </w:rPr>
              <w:drawing>
                <wp:anchor distT="0" distB="0" distL="114300" distR="114300" simplePos="0" relativeHeight="251657216" behindDoc="0" locked="0" layoutInCell="1" allowOverlap="1" wp14:anchorId="4CD42B03" wp14:editId="0282DFA5">
                  <wp:simplePos x="0" y="0"/>
                  <wp:positionH relativeFrom="column">
                    <wp:posOffset>-34480</wp:posOffset>
                  </wp:positionH>
                  <wp:positionV relativeFrom="paragraph">
                    <wp:posOffset>36261</wp:posOffset>
                  </wp:positionV>
                  <wp:extent cx="1425598" cy="357263"/>
                  <wp:effectExtent l="0" t="0" r="3175" b="508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_wib.tif"/>
                          <pic:cNvPicPr/>
                        </pic:nvPicPr>
                        <pic:blipFill rotWithShape="1">
                          <a:blip r:embed="rId12" cstate="print">
                            <a:extLst>
                              <a:ext uri="{28A0092B-C50C-407E-A947-70E740481C1C}">
                                <a14:useLocalDpi xmlns:a14="http://schemas.microsoft.com/office/drawing/2010/main" val="0"/>
                              </a:ext>
                            </a:extLst>
                          </a:blip>
                          <a:srcRect t="27992" r="8497" b="1"/>
                          <a:stretch/>
                        </pic:blipFill>
                        <pic:spPr bwMode="auto">
                          <a:xfrm>
                            <a:off x="0" y="0"/>
                            <a:ext cx="1425598" cy="3572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513" w:type="dxa"/>
            <w:shd w:val="clear" w:color="auto" w:fill="auto"/>
          </w:tcPr>
          <w:p w:rsidR="00752C2D" w:rsidRPr="00E20701" w:rsidRDefault="008F0E50" w:rsidP="00B2386E">
            <w:pPr>
              <w:tabs>
                <w:tab w:val="center" w:pos="4536"/>
                <w:tab w:val="right" w:pos="9072"/>
              </w:tabs>
              <w:rPr>
                <w:lang w:val="en-GB"/>
              </w:rPr>
            </w:pPr>
            <w:r>
              <w:rPr>
                <w:noProof/>
              </w:rPr>
              <w:drawing>
                <wp:inline distT="0" distB="0" distL="0" distR="0" wp14:anchorId="71CA7057" wp14:editId="7E44AAAC">
                  <wp:extent cx="1009933" cy="477672"/>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009650" cy="477538"/>
                          </a:xfrm>
                          <a:prstGeom prst="rect">
                            <a:avLst/>
                          </a:prstGeom>
                        </pic:spPr>
                      </pic:pic>
                    </a:graphicData>
                  </a:graphic>
                </wp:inline>
              </w:drawing>
            </w:r>
          </w:p>
        </w:tc>
        <w:tc>
          <w:tcPr>
            <w:tcW w:w="2513" w:type="dxa"/>
            <w:shd w:val="clear" w:color="auto" w:fill="auto"/>
            <w:vAlign w:val="center"/>
          </w:tcPr>
          <w:p w:rsidR="00281A20" w:rsidRDefault="00281A20" w:rsidP="00B2386E">
            <w:pPr>
              <w:tabs>
                <w:tab w:val="center" w:pos="4536"/>
                <w:tab w:val="right" w:pos="9072"/>
              </w:tabs>
              <w:rPr>
                <w:highlight w:val="yellow"/>
                <w:lang w:val="en-GB"/>
              </w:rPr>
            </w:pPr>
          </w:p>
          <w:p w:rsidR="00752C2D" w:rsidRPr="00281A20" w:rsidRDefault="00752C2D" w:rsidP="00281A20">
            <w:pPr>
              <w:rPr>
                <w:highlight w:val="yellow"/>
                <w:lang w:val="en-GB"/>
              </w:rPr>
            </w:pPr>
          </w:p>
        </w:tc>
      </w:tr>
    </w:tbl>
    <w:p w:rsidR="00E33133" w:rsidRPr="00E20701" w:rsidRDefault="00E33133" w:rsidP="00F6424B">
      <w:pPr>
        <w:ind w:left="-450"/>
        <w:rPr>
          <w:b/>
          <w:smallCaps/>
          <w:sz w:val="22"/>
          <w:lang w:val="en-GB"/>
        </w:rPr>
        <w:sectPr w:rsidR="00E33133" w:rsidRPr="00E20701" w:rsidSect="000C7670">
          <w:pgSz w:w="11907" w:h="16840" w:code="9"/>
          <w:pgMar w:top="1304" w:right="1134" w:bottom="907" w:left="567" w:header="567" w:footer="0" w:gutter="851"/>
          <w:cols w:space="380"/>
          <w:noEndnote/>
        </w:sectPr>
      </w:pPr>
    </w:p>
    <w:p w:rsidR="00D808BC" w:rsidRPr="00E20701" w:rsidRDefault="00D808BC" w:rsidP="00F6424B">
      <w:pPr>
        <w:ind w:left="-450"/>
        <w:rPr>
          <w:b/>
          <w:smallCaps/>
          <w:sz w:val="22"/>
          <w:lang w:val="en-GB"/>
        </w:rPr>
      </w:pPr>
    </w:p>
    <w:p w:rsidR="001E3D4C" w:rsidRPr="00E20701" w:rsidRDefault="002B17ED" w:rsidP="009A6CB3">
      <w:pPr>
        <w:pBdr>
          <w:top w:val="double" w:sz="6" w:space="3" w:color="auto"/>
        </w:pBdr>
        <w:ind w:right="491"/>
        <w:outlineLvl w:val="0"/>
        <w:rPr>
          <w:b/>
          <w:smallCaps/>
          <w:sz w:val="22"/>
          <w:lang w:val="en-GB"/>
        </w:rPr>
      </w:pPr>
      <w:bookmarkStart w:id="2" w:name="_Toc473303535"/>
      <w:r w:rsidRPr="00E20701">
        <w:rPr>
          <w:b/>
          <w:smallCaps/>
          <w:sz w:val="22"/>
          <w:lang w:val="en-GB"/>
        </w:rPr>
        <w:t>Modifications of the document</w:t>
      </w:r>
      <w:bookmarkEnd w:id="2"/>
    </w:p>
    <w:p w:rsidR="001E3D4C" w:rsidRPr="00E20701" w:rsidRDefault="001E3D4C">
      <w:pPr>
        <w:rPr>
          <w:lang w:val="en-GB"/>
        </w:rPr>
      </w:pPr>
    </w:p>
    <w:p w:rsidR="000E7B29" w:rsidRDefault="000E7B29">
      <w:pPr>
        <w:spacing w:before="240"/>
        <w:jc w:val="center"/>
        <w:rPr>
          <w:lang w:val="en-GB"/>
        </w:rPr>
        <w:sectPr w:rsidR="000E7B29" w:rsidSect="00E62976">
          <w:headerReference w:type="even" r:id="rId14"/>
          <w:headerReference w:type="default" r:id="rId15"/>
          <w:headerReference w:type="first" r:id="rId16"/>
          <w:pgSz w:w="11907" w:h="16840" w:code="9"/>
          <w:pgMar w:top="1304" w:right="1134" w:bottom="1588" w:left="567" w:header="567" w:footer="0" w:gutter="851"/>
          <w:cols w:space="380"/>
          <w:noEndnote/>
        </w:sectPr>
      </w:pPr>
    </w:p>
    <w:tbl>
      <w:tblPr>
        <w:tblW w:w="91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134"/>
        <w:gridCol w:w="1418"/>
        <w:gridCol w:w="2419"/>
        <w:gridCol w:w="1551"/>
        <w:gridCol w:w="2578"/>
      </w:tblGrid>
      <w:tr w:rsidR="001E3D4C" w:rsidRPr="00E20701" w:rsidTr="00E62976">
        <w:tc>
          <w:tcPr>
            <w:tcW w:w="1134" w:type="dxa"/>
            <w:tcBorders>
              <w:bottom w:val="single" w:sz="12" w:space="0" w:color="auto"/>
            </w:tcBorders>
            <w:vAlign w:val="center"/>
          </w:tcPr>
          <w:p w:rsidR="001E3D4C" w:rsidRPr="00E20701" w:rsidRDefault="001E3D4C" w:rsidP="00E62976">
            <w:pPr>
              <w:spacing w:before="20" w:afterLines="20" w:after="48" w:line="240" w:lineRule="auto"/>
              <w:jc w:val="center"/>
              <w:rPr>
                <w:lang w:val="en-GB"/>
              </w:rPr>
            </w:pPr>
            <w:r w:rsidRPr="00E20701">
              <w:rPr>
                <w:lang w:val="en-GB"/>
              </w:rPr>
              <w:lastRenderedPageBreak/>
              <w:t>Version</w:t>
            </w:r>
          </w:p>
        </w:tc>
        <w:tc>
          <w:tcPr>
            <w:tcW w:w="1418" w:type="dxa"/>
            <w:tcBorders>
              <w:bottom w:val="single" w:sz="12" w:space="0" w:color="auto"/>
            </w:tcBorders>
            <w:vAlign w:val="center"/>
          </w:tcPr>
          <w:p w:rsidR="001E3D4C" w:rsidRPr="00E20701" w:rsidRDefault="001E3D4C" w:rsidP="00E62976">
            <w:pPr>
              <w:spacing w:before="20" w:afterLines="20" w:after="48" w:line="240" w:lineRule="auto"/>
              <w:jc w:val="center"/>
              <w:rPr>
                <w:lang w:val="en-GB"/>
              </w:rPr>
            </w:pPr>
            <w:r w:rsidRPr="00E20701">
              <w:rPr>
                <w:lang w:val="en-GB"/>
              </w:rPr>
              <w:t>Date</w:t>
            </w:r>
          </w:p>
        </w:tc>
        <w:tc>
          <w:tcPr>
            <w:tcW w:w="2419" w:type="dxa"/>
            <w:tcBorders>
              <w:bottom w:val="single" w:sz="12" w:space="0" w:color="auto"/>
            </w:tcBorders>
            <w:vAlign w:val="center"/>
          </w:tcPr>
          <w:p w:rsidR="001E3D4C" w:rsidRPr="00E20701" w:rsidRDefault="001E3D4C" w:rsidP="00E62976">
            <w:pPr>
              <w:spacing w:before="20" w:afterLines="20" w:after="48" w:line="240" w:lineRule="auto"/>
              <w:jc w:val="center"/>
              <w:rPr>
                <w:lang w:val="en-GB"/>
              </w:rPr>
            </w:pPr>
            <w:r w:rsidRPr="00E20701">
              <w:rPr>
                <w:lang w:val="en-GB"/>
              </w:rPr>
              <w:t>Au</w:t>
            </w:r>
            <w:r w:rsidR="002B17ED" w:rsidRPr="00E20701">
              <w:rPr>
                <w:lang w:val="en-GB"/>
              </w:rPr>
              <w:t>thors</w:t>
            </w:r>
          </w:p>
        </w:tc>
        <w:tc>
          <w:tcPr>
            <w:tcW w:w="1551" w:type="dxa"/>
            <w:tcBorders>
              <w:bottom w:val="single" w:sz="12" w:space="0" w:color="auto"/>
            </w:tcBorders>
            <w:vAlign w:val="center"/>
          </w:tcPr>
          <w:p w:rsidR="001E3D4C" w:rsidRPr="00E20701" w:rsidRDefault="002B17ED" w:rsidP="00E62976">
            <w:pPr>
              <w:spacing w:before="20" w:afterLines="20" w:after="48" w:line="240" w:lineRule="auto"/>
              <w:jc w:val="center"/>
              <w:rPr>
                <w:lang w:val="en-GB"/>
              </w:rPr>
            </w:pPr>
            <w:r w:rsidRPr="00E20701">
              <w:rPr>
                <w:lang w:val="en-GB"/>
              </w:rPr>
              <w:t>Pages or paragraphs modified</w:t>
            </w:r>
          </w:p>
        </w:tc>
        <w:tc>
          <w:tcPr>
            <w:tcW w:w="2578" w:type="dxa"/>
            <w:tcBorders>
              <w:bottom w:val="single" w:sz="12" w:space="0" w:color="auto"/>
            </w:tcBorders>
            <w:vAlign w:val="center"/>
          </w:tcPr>
          <w:p w:rsidR="001E3D4C" w:rsidRPr="00E20701" w:rsidRDefault="002B17ED" w:rsidP="00E62976">
            <w:pPr>
              <w:spacing w:before="20" w:afterLines="20" w:after="48" w:line="240" w:lineRule="auto"/>
              <w:jc w:val="center"/>
              <w:rPr>
                <w:lang w:val="en-GB"/>
              </w:rPr>
            </w:pPr>
            <w:r w:rsidRPr="00E20701">
              <w:rPr>
                <w:lang w:val="en-GB"/>
              </w:rPr>
              <w:t>Description or comments</w:t>
            </w:r>
          </w:p>
        </w:tc>
      </w:tr>
      <w:tr w:rsidR="001E3D4C" w:rsidRPr="00E20701" w:rsidTr="00E62976">
        <w:tc>
          <w:tcPr>
            <w:tcW w:w="1134" w:type="dxa"/>
            <w:tcBorders>
              <w:top w:val="nil"/>
            </w:tcBorders>
            <w:vAlign w:val="center"/>
          </w:tcPr>
          <w:p w:rsidR="001E3D4C" w:rsidRPr="00E20701" w:rsidRDefault="00801BDF" w:rsidP="00E62976">
            <w:pPr>
              <w:spacing w:before="20" w:afterLines="20" w:after="48" w:line="240" w:lineRule="auto"/>
              <w:ind w:left="57" w:right="57"/>
              <w:rPr>
                <w:lang w:val="en-GB"/>
              </w:rPr>
            </w:pPr>
            <w:r w:rsidRPr="00E20701">
              <w:rPr>
                <w:lang w:val="en-GB"/>
              </w:rPr>
              <w:t>Rev. 0</w:t>
            </w:r>
          </w:p>
        </w:tc>
        <w:tc>
          <w:tcPr>
            <w:tcW w:w="1418" w:type="dxa"/>
            <w:tcBorders>
              <w:top w:val="nil"/>
            </w:tcBorders>
            <w:vAlign w:val="center"/>
          </w:tcPr>
          <w:p w:rsidR="001E3D4C" w:rsidRPr="00E20701" w:rsidRDefault="00FE1E10" w:rsidP="00E62976">
            <w:pPr>
              <w:spacing w:before="20" w:afterLines="20" w:after="48" w:line="240" w:lineRule="auto"/>
              <w:ind w:left="57" w:right="57"/>
              <w:jc w:val="center"/>
              <w:rPr>
                <w:lang w:val="en-GB"/>
              </w:rPr>
            </w:pPr>
            <w:r w:rsidRPr="00E20701">
              <w:rPr>
                <w:lang w:val="en-GB"/>
              </w:rPr>
              <w:t>15/09/2014</w:t>
            </w:r>
          </w:p>
        </w:tc>
        <w:tc>
          <w:tcPr>
            <w:tcW w:w="2419" w:type="dxa"/>
            <w:tcBorders>
              <w:top w:val="nil"/>
            </w:tcBorders>
            <w:vAlign w:val="center"/>
          </w:tcPr>
          <w:p w:rsidR="001E3D4C" w:rsidRPr="00E20701" w:rsidRDefault="007E415F" w:rsidP="00E62976">
            <w:pPr>
              <w:spacing w:before="20" w:afterLines="20" w:after="48" w:line="240" w:lineRule="auto"/>
              <w:ind w:left="57" w:right="57"/>
              <w:jc w:val="left"/>
              <w:rPr>
                <w:lang w:val="en-GB"/>
              </w:rPr>
            </w:pPr>
            <w:r w:rsidRPr="00E20701">
              <w:rPr>
                <w:lang w:val="en-GB"/>
              </w:rPr>
              <w:t>Wielenberg</w:t>
            </w:r>
          </w:p>
        </w:tc>
        <w:tc>
          <w:tcPr>
            <w:tcW w:w="1551" w:type="dxa"/>
            <w:tcBorders>
              <w:top w:val="nil"/>
            </w:tcBorders>
            <w:vAlign w:val="center"/>
          </w:tcPr>
          <w:p w:rsidR="001E3D4C" w:rsidRPr="00E20701" w:rsidRDefault="007E415F" w:rsidP="00E62976">
            <w:pPr>
              <w:spacing w:before="20" w:afterLines="20" w:after="48" w:line="240" w:lineRule="auto"/>
              <w:ind w:left="57" w:right="57"/>
              <w:rPr>
                <w:lang w:val="en-GB"/>
              </w:rPr>
            </w:pPr>
            <w:r w:rsidRPr="00E20701">
              <w:rPr>
                <w:lang w:val="en-GB"/>
              </w:rPr>
              <w:t>All</w:t>
            </w:r>
          </w:p>
        </w:tc>
        <w:tc>
          <w:tcPr>
            <w:tcW w:w="2578" w:type="dxa"/>
            <w:tcBorders>
              <w:top w:val="nil"/>
            </w:tcBorders>
            <w:vAlign w:val="center"/>
          </w:tcPr>
          <w:p w:rsidR="001E3D4C" w:rsidRPr="00E20701" w:rsidRDefault="007E415F" w:rsidP="00E62976">
            <w:pPr>
              <w:spacing w:before="20" w:afterLines="20" w:after="48" w:line="240" w:lineRule="auto"/>
              <w:ind w:left="57" w:right="57"/>
              <w:rPr>
                <w:lang w:val="en-GB"/>
              </w:rPr>
            </w:pPr>
            <w:r w:rsidRPr="00E20701">
              <w:rPr>
                <w:lang w:val="en-GB"/>
              </w:rPr>
              <w:t>Initial version</w:t>
            </w:r>
          </w:p>
        </w:tc>
      </w:tr>
      <w:tr w:rsidR="001E3D4C" w:rsidRPr="00E20701" w:rsidTr="00E62976">
        <w:tc>
          <w:tcPr>
            <w:tcW w:w="1134" w:type="dxa"/>
            <w:vAlign w:val="center"/>
          </w:tcPr>
          <w:p w:rsidR="001E3D4C" w:rsidRPr="00E20701" w:rsidRDefault="00FE1E10" w:rsidP="00E62976">
            <w:pPr>
              <w:spacing w:before="20" w:afterLines="20" w:after="48" w:line="240" w:lineRule="auto"/>
              <w:ind w:left="57" w:right="57"/>
              <w:rPr>
                <w:lang w:val="en-GB"/>
              </w:rPr>
            </w:pPr>
            <w:r w:rsidRPr="00E20701">
              <w:rPr>
                <w:lang w:val="en-GB"/>
              </w:rPr>
              <w:t xml:space="preserve">Rev.1 </w:t>
            </w:r>
          </w:p>
        </w:tc>
        <w:tc>
          <w:tcPr>
            <w:tcW w:w="1418" w:type="dxa"/>
            <w:vAlign w:val="center"/>
          </w:tcPr>
          <w:p w:rsidR="001E3D4C" w:rsidRPr="00E20701" w:rsidRDefault="00B73858" w:rsidP="00E62976">
            <w:pPr>
              <w:spacing w:before="20" w:afterLines="20" w:after="48" w:line="240" w:lineRule="auto"/>
              <w:ind w:left="57" w:right="57"/>
              <w:jc w:val="center"/>
              <w:rPr>
                <w:lang w:val="en-GB"/>
              </w:rPr>
            </w:pPr>
            <w:r w:rsidRPr="00E20701">
              <w:rPr>
                <w:lang w:val="en-GB"/>
              </w:rPr>
              <w:t>21/04/2015</w:t>
            </w:r>
          </w:p>
        </w:tc>
        <w:tc>
          <w:tcPr>
            <w:tcW w:w="2419" w:type="dxa"/>
            <w:vAlign w:val="center"/>
          </w:tcPr>
          <w:p w:rsidR="001E3D4C" w:rsidRPr="00E20701" w:rsidRDefault="00FE1E10" w:rsidP="00E62976">
            <w:pPr>
              <w:spacing w:before="20" w:afterLines="20" w:after="48" w:line="240" w:lineRule="auto"/>
              <w:ind w:left="57" w:right="57"/>
              <w:jc w:val="left"/>
              <w:rPr>
                <w:lang w:val="en-GB"/>
              </w:rPr>
            </w:pPr>
            <w:r w:rsidRPr="00E20701">
              <w:rPr>
                <w:lang w:val="en-GB"/>
              </w:rPr>
              <w:t>Wielenberg</w:t>
            </w:r>
            <w:r w:rsidR="00B73858" w:rsidRPr="00E20701">
              <w:rPr>
                <w:lang w:val="en-GB"/>
              </w:rPr>
              <w:t xml:space="preserve"> (ed.)</w:t>
            </w:r>
          </w:p>
        </w:tc>
        <w:tc>
          <w:tcPr>
            <w:tcW w:w="1551" w:type="dxa"/>
            <w:vAlign w:val="center"/>
          </w:tcPr>
          <w:p w:rsidR="001E3D4C" w:rsidRPr="00E20701" w:rsidRDefault="00FE1E10" w:rsidP="00E62976">
            <w:pPr>
              <w:spacing w:before="20" w:afterLines="20" w:after="48" w:line="240" w:lineRule="auto"/>
              <w:ind w:left="57" w:right="57"/>
              <w:rPr>
                <w:lang w:val="en-GB"/>
              </w:rPr>
            </w:pPr>
            <w:r w:rsidRPr="00E20701">
              <w:rPr>
                <w:lang w:val="en-GB"/>
              </w:rPr>
              <w:t>All</w:t>
            </w:r>
          </w:p>
        </w:tc>
        <w:tc>
          <w:tcPr>
            <w:tcW w:w="2578" w:type="dxa"/>
            <w:vAlign w:val="center"/>
          </w:tcPr>
          <w:p w:rsidR="001E3D4C" w:rsidRPr="00E20701" w:rsidRDefault="00B73858" w:rsidP="00E62976">
            <w:pPr>
              <w:spacing w:before="20" w:afterLines="20" w:after="48" w:line="240" w:lineRule="auto"/>
              <w:ind w:left="57" w:right="57"/>
              <w:rPr>
                <w:lang w:val="en-GB"/>
              </w:rPr>
            </w:pPr>
            <w:r w:rsidRPr="00E20701">
              <w:rPr>
                <w:lang w:val="en-GB"/>
              </w:rPr>
              <w:t>Garching workshop version</w:t>
            </w:r>
          </w:p>
        </w:tc>
      </w:tr>
      <w:tr w:rsidR="00B73858" w:rsidRPr="00304D8A" w:rsidTr="00E62976">
        <w:tc>
          <w:tcPr>
            <w:tcW w:w="1134" w:type="dxa"/>
            <w:vAlign w:val="center"/>
          </w:tcPr>
          <w:p w:rsidR="00B73858" w:rsidRPr="00E20701" w:rsidRDefault="00B73858" w:rsidP="00E62976">
            <w:pPr>
              <w:spacing w:before="20" w:afterLines="20" w:after="48" w:line="240" w:lineRule="auto"/>
              <w:ind w:left="57" w:right="57"/>
              <w:rPr>
                <w:lang w:val="en-GB"/>
              </w:rPr>
            </w:pPr>
            <w:r w:rsidRPr="00E20701">
              <w:rPr>
                <w:lang w:val="en-GB"/>
              </w:rPr>
              <w:t>Rev 2</w:t>
            </w:r>
          </w:p>
        </w:tc>
        <w:tc>
          <w:tcPr>
            <w:tcW w:w="1418" w:type="dxa"/>
            <w:vAlign w:val="center"/>
          </w:tcPr>
          <w:p w:rsidR="00B73858" w:rsidRPr="00E20701" w:rsidRDefault="006C109A" w:rsidP="00E62976">
            <w:pPr>
              <w:spacing w:before="20" w:afterLines="20" w:after="48" w:line="240" w:lineRule="auto"/>
              <w:ind w:left="57" w:right="57"/>
              <w:jc w:val="center"/>
              <w:rPr>
                <w:lang w:val="en-GB"/>
              </w:rPr>
            </w:pPr>
            <w:r>
              <w:rPr>
                <w:lang w:val="en-GB"/>
              </w:rPr>
              <w:t>09/07/2015</w:t>
            </w:r>
          </w:p>
        </w:tc>
        <w:tc>
          <w:tcPr>
            <w:tcW w:w="2419" w:type="dxa"/>
            <w:vAlign w:val="center"/>
          </w:tcPr>
          <w:p w:rsidR="00B73858" w:rsidRPr="00E20701" w:rsidRDefault="00B73858" w:rsidP="00E62976">
            <w:pPr>
              <w:spacing w:before="20" w:afterLines="20" w:after="48" w:line="240" w:lineRule="auto"/>
              <w:ind w:left="57" w:right="57"/>
              <w:jc w:val="left"/>
              <w:rPr>
                <w:lang w:val="en-GB"/>
              </w:rPr>
            </w:pPr>
            <w:r w:rsidRPr="00E20701">
              <w:rPr>
                <w:lang w:val="en-GB"/>
              </w:rPr>
              <w:t>Wielenberg (ed.)</w:t>
            </w:r>
          </w:p>
        </w:tc>
        <w:tc>
          <w:tcPr>
            <w:tcW w:w="1551" w:type="dxa"/>
            <w:vAlign w:val="center"/>
          </w:tcPr>
          <w:p w:rsidR="00B73858" w:rsidRPr="00E20701" w:rsidRDefault="006C109A" w:rsidP="00E62976">
            <w:pPr>
              <w:spacing w:before="20" w:afterLines="20" w:after="48" w:line="240" w:lineRule="auto"/>
              <w:ind w:left="57" w:right="57"/>
              <w:rPr>
                <w:lang w:val="en-GB"/>
              </w:rPr>
            </w:pPr>
            <w:r>
              <w:rPr>
                <w:lang w:val="en-GB"/>
              </w:rPr>
              <w:t>Sections 3 to 6</w:t>
            </w:r>
          </w:p>
        </w:tc>
        <w:tc>
          <w:tcPr>
            <w:tcW w:w="2578" w:type="dxa"/>
            <w:vAlign w:val="center"/>
          </w:tcPr>
          <w:p w:rsidR="00B73858" w:rsidRPr="00E20701" w:rsidRDefault="006C109A" w:rsidP="00E62976">
            <w:pPr>
              <w:spacing w:before="20" w:afterLines="20" w:after="48" w:line="240" w:lineRule="auto"/>
              <w:ind w:left="57" w:right="57"/>
              <w:rPr>
                <w:lang w:val="en-GB"/>
              </w:rPr>
            </w:pPr>
            <w:r>
              <w:rPr>
                <w:lang w:val="en-GB"/>
              </w:rPr>
              <w:t>Additions to section 3, first draft of section 4, partial draft of section 5 and 6.</w:t>
            </w:r>
          </w:p>
        </w:tc>
      </w:tr>
      <w:tr w:rsidR="0040023A" w:rsidRPr="00304D8A" w:rsidTr="00E62976">
        <w:tc>
          <w:tcPr>
            <w:tcW w:w="1134" w:type="dxa"/>
            <w:vAlign w:val="center"/>
          </w:tcPr>
          <w:p w:rsidR="0040023A" w:rsidRPr="00E20701" w:rsidRDefault="0040023A" w:rsidP="00E62976">
            <w:pPr>
              <w:spacing w:before="20" w:afterLines="20" w:after="48" w:line="240" w:lineRule="auto"/>
              <w:ind w:left="57" w:right="57"/>
              <w:rPr>
                <w:lang w:val="en-GB"/>
              </w:rPr>
            </w:pPr>
            <w:r>
              <w:rPr>
                <w:lang w:val="en-GB"/>
              </w:rPr>
              <w:t>Rev. 3</w:t>
            </w:r>
          </w:p>
        </w:tc>
        <w:tc>
          <w:tcPr>
            <w:tcW w:w="1418" w:type="dxa"/>
            <w:vAlign w:val="center"/>
          </w:tcPr>
          <w:p w:rsidR="0040023A" w:rsidRDefault="0040023A" w:rsidP="00E62976">
            <w:pPr>
              <w:spacing w:before="20" w:afterLines="20" w:after="48" w:line="240" w:lineRule="auto"/>
              <w:ind w:left="57" w:right="57"/>
              <w:jc w:val="center"/>
              <w:rPr>
                <w:lang w:val="en-GB"/>
              </w:rPr>
            </w:pPr>
            <w:r>
              <w:rPr>
                <w:lang w:val="en-GB"/>
              </w:rPr>
              <w:t>21/09/2015</w:t>
            </w:r>
          </w:p>
        </w:tc>
        <w:tc>
          <w:tcPr>
            <w:tcW w:w="2419" w:type="dxa"/>
            <w:vAlign w:val="center"/>
          </w:tcPr>
          <w:p w:rsidR="0040023A" w:rsidRPr="00E20701" w:rsidRDefault="0040023A" w:rsidP="00E62976">
            <w:pPr>
              <w:spacing w:before="20" w:afterLines="20" w:after="48" w:line="240" w:lineRule="auto"/>
              <w:ind w:left="57" w:right="57"/>
              <w:jc w:val="left"/>
              <w:rPr>
                <w:lang w:val="en-GB"/>
              </w:rPr>
            </w:pPr>
            <w:r>
              <w:rPr>
                <w:lang w:val="en-GB"/>
              </w:rPr>
              <w:t>Wielenberg (ed.)</w:t>
            </w:r>
          </w:p>
        </w:tc>
        <w:tc>
          <w:tcPr>
            <w:tcW w:w="1551" w:type="dxa"/>
            <w:vAlign w:val="center"/>
          </w:tcPr>
          <w:p w:rsidR="0040023A" w:rsidRDefault="0040023A" w:rsidP="00E62976">
            <w:pPr>
              <w:spacing w:before="20" w:afterLines="20" w:after="48" w:line="240" w:lineRule="auto"/>
              <w:ind w:left="57" w:right="57"/>
              <w:rPr>
                <w:lang w:val="en-GB"/>
              </w:rPr>
            </w:pPr>
            <w:r>
              <w:rPr>
                <w:lang w:val="en-GB"/>
              </w:rPr>
              <w:t>Sections 3 to 6</w:t>
            </w:r>
          </w:p>
        </w:tc>
        <w:tc>
          <w:tcPr>
            <w:tcW w:w="2578" w:type="dxa"/>
            <w:vAlign w:val="center"/>
          </w:tcPr>
          <w:p w:rsidR="0040023A" w:rsidRDefault="0040023A" w:rsidP="00E62976">
            <w:pPr>
              <w:spacing w:before="20" w:afterLines="20" w:after="48" w:line="240" w:lineRule="auto"/>
              <w:ind w:left="57" w:right="57"/>
              <w:rPr>
                <w:lang w:val="en-GB"/>
              </w:rPr>
            </w:pPr>
            <w:r>
              <w:rPr>
                <w:lang w:val="en-GB"/>
              </w:rPr>
              <w:t>Multi-unit considerations, diverse edits and inclusion of contributions</w:t>
            </w:r>
          </w:p>
        </w:tc>
      </w:tr>
      <w:tr w:rsidR="00230484" w:rsidRPr="00E20701" w:rsidTr="00E62976">
        <w:tc>
          <w:tcPr>
            <w:tcW w:w="1134" w:type="dxa"/>
            <w:vAlign w:val="center"/>
          </w:tcPr>
          <w:p w:rsidR="00230484" w:rsidRDefault="00230484" w:rsidP="00E62976">
            <w:pPr>
              <w:spacing w:before="20" w:afterLines="20" w:after="48" w:line="240" w:lineRule="auto"/>
              <w:ind w:left="57" w:right="57"/>
              <w:rPr>
                <w:lang w:val="en-GB"/>
              </w:rPr>
            </w:pPr>
            <w:r>
              <w:rPr>
                <w:lang w:val="en-GB"/>
              </w:rPr>
              <w:t>Rev. 4</w:t>
            </w:r>
          </w:p>
        </w:tc>
        <w:tc>
          <w:tcPr>
            <w:tcW w:w="1418" w:type="dxa"/>
            <w:vAlign w:val="center"/>
          </w:tcPr>
          <w:p w:rsidR="00230484" w:rsidRDefault="00EB7BD5" w:rsidP="00E62976">
            <w:pPr>
              <w:spacing w:before="20" w:afterLines="20" w:after="48" w:line="240" w:lineRule="auto"/>
              <w:ind w:left="57" w:right="57"/>
              <w:jc w:val="center"/>
              <w:rPr>
                <w:lang w:val="en-GB"/>
              </w:rPr>
            </w:pPr>
            <w:r>
              <w:rPr>
                <w:lang w:val="en-GB"/>
              </w:rPr>
              <w:t>16</w:t>
            </w:r>
            <w:r w:rsidR="00230484">
              <w:rPr>
                <w:lang w:val="en-GB"/>
              </w:rPr>
              <w:t>/10/2015</w:t>
            </w:r>
          </w:p>
        </w:tc>
        <w:tc>
          <w:tcPr>
            <w:tcW w:w="2419" w:type="dxa"/>
            <w:vAlign w:val="center"/>
          </w:tcPr>
          <w:p w:rsidR="00230484" w:rsidRPr="00815D61" w:rsidRDefault="00230484" w:rsidP="00E62976">
            <w:pPr>
              <w:spacing w:before="20" w:afterLines="20" w:after="48" w:line="240" w:lineRule="auto"/>
              <w:ind w:left="57" w:right="57"/>
              <w:jc w:val="left"/>
              <w:rPr>
                <w:lang w:val="en-GB"/>
              </w:rPr>
            </w:pPr>
            <w:r w:rsidRPr="00815D61">
              <w:rPr>
                <w:lang w:val="en-GB"/>
              </w:rPr>
              <w:t>Wielenberg (ed.)</w:t>
            </w:r>
          </w:p>
        </w:tc>
        <w:tc>
          <w:tcPr>
            <w:tcW w:w="1551" w:type="dxa"/>
            <w:vAlign w:val="center"/>
          </w:tcPr>
          <w:p w:rsidR="00230484" w:rsidRDefault="00230484" w:rsidP="00E62976">
            <w:pPr>
              <w:spacing w:before="20" w:afterLines="20" w:after="48" w:line="240" w:lineRule="auto"/>
              <w:ind w:left="57" w:right="57"/>
              <w:rPr>
                <w:lang w:val="en-GB"/>
              </w:rPr>
            </w:pPr>
            <w:r>
              <w:rPr>
                <w:lang w:val="en-GB"/>
              </w:rPr>
              <w:t>Section 5.3, 6</w:t>
            </w:r>
          </w:p>
        </w:tc>
        <w:tc>
          <w:tcPr>
            <w:tcW w:w="2578" w:type="dxa"/>
            <w:vAlign w:val="center"/>
          </w:tcPr>
          <w:p w:rsidR="00230484" w:rsidRDefault="00815D61" w:rsidP="00E62976">
            <w:pPr>
              <w:spacing w:before="20" w:afterLines="20" w:after="48" w:line="240" w:lineRule="auto"/>
              <w:ind w:left="57" w:right="57"/>
              <w:rPr>
                <w:lang w:val="en-GB"/>
              </w:rPr>
            </w:pPr>
            <w:r>
              <w:rPr>
                <w:lang w:val="en-GB"/>
              </w:rPr>
              <w:t>Integration of several contributions</w:t>
            </w:r>
          </w:p>
        </w:tc>
      </w:tr>
      <w:tr w:rsidR="00815D61" w:rsidRPr="00304D8A" w:rsidTr="00E62976">
        <w:tc>
          <w:tcPr>
            <w:tcW w:w="1134" w:type="dxa"/>
            <w:vAlign w:val="center"/>
          </w:tcPr>
          <w:p w:rsidR="00815D61" w:rsidRDefault="00815D61" w:rsidP="00E62976">
            <w:pPr>
              <w:spacing w:before="20" w:afterLines="20" w:after="48" w:line="240" w:lineRule="auto"/>
              <w:ind w:left="57" w:right="57"/>
              <w:rPr>
                <w:lang w:val="en-GB"/>
              </w:rPr>
            </w:pPr>
            <w:r>
              <w:rPr>
                <w:lang w:val="en-GB"/>
              </w:rPr>
              <w:t>Rev. 5</w:t>
            </w:r>
          </w:p>
        </w:tc>
        <w:tc>
          <w:tcPr>
            <w:tcW w:w="1418" w:type="dxa"/>
            <w:vAlign w:val="center"/>
          </w:tcPr>
          <w:p w:rsidR="00815D61" w:rsidRDefault="00815D61" w:rsidP="00E62976">
            <w:pPr>
              <w:spacing w:before="20" w:afterLines="20" w:after="48" w:line="240" w:lineRule="auto"/>
              <w:ind w:left="57" w:right="57"/>
              <w:jc w:val="center"/>
              <w:rPr>
                <w:lang w:val="en-GB"/>
              </w:rPr>
            </w:pPr>
            <w:r>
              <w:rPr>
                <w:lang w:val="en-GB"/>
              </w:rPr>
              <w:t>23/10/2015</w:t>
            </w:r>
          </w:p>
        </w:tc>
        <w:tc>
          <w:tcPr>
            <w:tcW w:w="2419" w:type="dxa"/>
            <w:vAlign w:val="center"/>
          </w:tcPr>
          <w:p w:rsidR="00815D61" w:rsidRDefault="00815D61" w:rsidP="00E62976">
            <w:pPr>
              <w:spacing w:before="20" w:afterLines="20" w:after="48" w:line="240" w:lineRule="auto"/>
              <w:ind w:left="57" w:right="57"/>
              <w:jc w:val="left"/>
              <w:rPr>
                <w:lang w:val="en-GB"/>
              </w:rPr>
            </w:pPr>
            <w:r>
              <w:rPr>
                <w:lang w:val="en-GB"/>
              </w:rPr>
              <w:t>Wielenberg (ed.)</w:t>
            </w:r>
          </w:p>
        </w:tc>
        <w:tc>
          <w:tcPr>
            <w:tcW w:w="1551" w:type="dxa"/>
            <w:vAlign w:val="center"/>
          </w:tcPr>
          <w:p w:rsidR="00815D61" w:rsidRDefault="00815D61" w:rsidP="00E62976">
            <w:pPr>
              <w:spacing w:before="20" w:afterLines="20" w:after="48" w:line="240" w:lineRule="auto"/>
              <w:ind w:left="57" w:right="57"/>
              <w:rPr>
                <w:lang w:val="en-GB"/>
              </w:rPr>
            </w:pPr>
            <w:r>
              <w:rPr>
                <w:lang w:val="en-GB"/>
              </w:rPr>
              <w:t>Section 5.4, 5.5</w:t>
            </w:r>
          </w:p>
        </w:tc>
        <w:tc>
          <w:tcPr>
            <w:tcW w:w="2578" w:type="dxa"/>
            <w:vAlign w:val="center"/>
          </w:tcPr>
          <w:p w:rsidR="00815D61" w:rsidRDefault="00815D61" w:rsidP="00E62976">
            <w:pPr>
              <w:spacing w:before="20" w:afterLines="20" w:after="48" w:line="240" w:lineRule="auto"/>
              <w:ind w:left="57" w:right="57"/>
              <w:rPr>
                <w:lang w:val="en-GB"/>
              </w:rPr>
            </w:pPr>
            <w:r>
              <w:rPr>
                <w:lang w:val="en-GB"/>
              </w:rPr>
              <w:t>Integration of contribution on IE identification</w:t>
            </w:r>
          </w:p>
        </w:tc>
      </w:tr>
      <w:tr w:rsidR="004C67F8" w:rsidRPr="00304D8A" w:rsidTr="00E62976">
        <w:tc>
          <w:tcPr>
            <w:tcW w:w="1134" w:type="dxa"/>
            <w:vAlign w:val="center"/>
          </w:tcPr>
          <w:p w:rsidR="004C67F8" w:rsidRDefault="008260C9" w:rsidP="00E62976">
            <w:pPr>
              <w:spacing w:before="20" w:afterLines="20" w:after="48" w:line="240" w:lineRule="auto"/>
              <w:ind w:left="57" w:right="57"/>
              <w:rPr>
                <w:lang w:val="en-GB"/>
              </w:rPr>
            </w:pPr>
            <w:r>
              <w:rPr>
                <w:lang w:val="en-GB"/>
              </w:rPr>
              <w:t>Rev. 6</w:t>
            </w:r>
          </w:p>
        </w:tc>
        <w:tc>
          <w:tcPr>
            <w:tcW w:w="1418" w:type="dxa"/>
            <w:vAlign w:val="center"/>
          </w:tcPr>
          <w:p w:rsidR="004C67F8" w:rsidRDefault="004C67F8" w:rsidP="00E62976">
            <w:pPr>
              <w:spacing w:before="20" w:afterLines="20" w:after="48" w:line="240" w:lineRule="auto"/>
              <w:ind w:left="57" w:right="57"/>
              <w:jc w:val="center"/>
              <w:rPr>
                <w:lang w:val="en-GB"/>
              </w:rPr>
            </w:pPr>
          </w:p>
        </w:tc>
        <w:tc>
          <w:tcPr>
            <w:tcW w:w="2419" w:type="dxa"/>
            <w:vAlign w:val="center"/>
          </w:tcPr>
          <w:p w:rsidR="004C67F8" w:rsidRDefault="004C67F8" w:rsidP="00E62976">
            <w:pPr>
              <w:spacing w:before="20" w:afterLines="20" w:after="48" w:line="240" w:lineRule="auto"/>
              <w:ind w:left="57" w:right="57"/>
              <w:jc w:val="left"/>
              <w:rPr>
                <w:lang w:val="en-GB"/>
              </w:rPr>
            </w:pPr>
            <w:r>
              <w:rPr>
                <w:lang w:val="en-GB"/>
              </w:rPr>
              <w:t>Wielenberg (ed)</w:t>
            </w:r>
          </w:p>
        </w:tc>
        <w:tc>
          <w:tcPr>
            <w:tcW w:w="1551" w:type="dxa"/>
            <w:vAlign w:val="center"/>
          </w:tcPr>
          <w:p w:rsidR="004C67F8" w:rsidRDefault="004C67F8" w:rsidP="00E62976">
            <w:pPr>
              <w:spacing w:before="20" w:afterLines="20" w:after="48" w:line="240" w:lineRule="auto"/>
              <w:ind w:left="57" w:right="57"/>
              <w:rPr>
                <w:lang w:val="en-GB"/>
              </w:rPr>
            </w:pPr>
            <w:r>
              <w:rPr>
                <w:lang w:val="en-GB"/>
              </w:rPr>
              <w:t>Section 5.3, 7</w:t>
            </w:r>
          </w:p>
        </w:tc>
        <w:tc>
          <w:tcPr>
            <w:tcW w:w="2578" w:type="dxa"/>
            <w:vAlign w:val="center"/>
          </w:tcPr>
          <w:p w:rsidR="004C67F8" w:rsidRDefault="004C67F8" w:rsidP="00E62976">
            <w:pPr>
              <w:spacing w:before="20" w:afterLines="20" w:after="48" w:line="240" w:lineRule="auto"/>
              <w:ind w:left="57" w:right="57"/>
              <w:rPr>
                <w:lang w:val="en-GB"/>
              </w:rPr>
            </w:pPr>
            <w:r>
              <w:rPr>
                <w:lang w:val="en-GB"/>
              </w:rPr>
              <w:t>Treated comments by NUBIKI, Glossary</w:t>
            </w:r>
          </w:p>
        </w:tc>
      </w:tr>
      <w:tr w:rsidR="008260C9" w:rsidRPr="00304D8A" w:rsidTr="00E62976">
        <w:tc>
          <w:tcPr>
            <w:tcW w:w="1134" w:type="dxa"/>
            <w:vAlign w:val="center"/>
          </w:tcPr>
          <w:p w:rsidR="008260C9" w:rsidRDefault="008260C9" w:rsidP="00E62976">
            <w:pPr>
              <w:spacing w:before="20" w:afterLines="20" w:after="48" w:line="240" w:lineRule="auto"/>
              <w:ind w:left="57" w:right="57"/>
              <w:rPr>
                <w:lang w:val="en-GB"/>
              </w:rPr>
            </w:pPr>
            <w:r>
              <w:rPr>
                <w:lang w:val="en-GB"/>
              </w:rPr>
              <w:t>Rev. 7</w:t>
            </w:r>
          </w:p>
        </w:tc>
        <w:tc>
          <w:tcPr>
            <w:tcW w:w="1418" w:type="dxa"/>
            <w:vAlign w:val="center"/>
          </w:tcPr>
          <w:p w:rsidR="008260C9" w:rsidRDefault="008260C9" w:rsidP="00E62976">
            <w:pPr>
              <w:spacing w:before="20" w:afterLines="20" w:after="48" w:line="240" w:lineRule="auto"/>
              <w:ind w:left="57" w:right="57"/>
              <w:jc w:val="center"/>
              <w:rPr>
                <w:lang w:val="en-GB"/>
              </w:rPr>
            </w:pPr>
            <w:r>
              <w:rPr>
                <w:lang w:val="en-GB"/>
              </w:rPr>
              <w:t>16/02/2016</w:t>
            </w:r>
          </w:p>
        </w:tc>
        <w:tc>
          <w:tcPr>
            <w:tcW w:w="2419" w:type="dxa"/>
            <w:vAlign w:val="center"/>
          </w:tcPr>
          <w:p w:rsidR="008260C9" w:rsidRDefault="008260C9" w:rsidP="00E62976">
            <w:pPr>
              <w:spacing w:before="20" w:afterLines="20" w:after="48" w:line="240" w:lineRule="auto"/>
              <w:ind w:left="57" w:right="57"/>
              <w:jc w:val="left"/>
              <w:rPr>
                <w:lang w:val="en-GB"/>
              </w:rPr>
            </w:pPr>
            <w:r>
              <w:rPr>
                <w:lang w:val="en-GB"/>
              </w:rPr>
              <w:t>E. Raimond</w:t>
            </w:r>
          </w:p>
        </w:tc>
        <w:tc>
          <w:tcPr>
            <w:tcW w:w="1551" w:type="dxa"/>
            <w:vAlign w:val="center"/>
          </w:tcPr>
          <w:p w:rsidR="008260C9" w:rsidRDefault="008260C9" w:rsidP="00E62976">
            <w:pPr>
              <w:spacing w:before="20" w:afterLines="20" w:after="48" w:line="240" w:lineRule="auto"/>
              <w:ind w:left="57" w:right="57"/>
              <w:rPr>
                <w:lang w:val="en-GB"/>
              </w:rPr>
            </w:pPr>
            <w:r>
              <w:rPr>
                <w:lang w:val="en-GB"/>
              </w:rPr>
              <w:t>All</w:t>
            </w:r>
          </w:p>
        </w:tc>
        <w:tc>
          <w:tcPr>
            <w:tcW w:w="2578" w:type="dxa"/>
            <w:vAlign w:val="center"/>
          </w:tcPr>
          <w:p w:rsidR="008260C9" w:rsidRDefault="00831F37" w:rsidP="00E62976">
            <w:pPr>
              <w:spacing w:before="20" w:afterLines="20" w:after="48" w:line="240" w:lineRule="auto"/>
              <w:ind w:left="57" w:right="57"/>
              <w:rPr>
                <w:lang w:val="en-GB"/>
              </w:rPr>
            </w:pPr>
            <w:r>
              <w:rPr>
                <w:lang w:val="en-GB"/>
              </w:rPr>
              <w:t>Report simplification</w:t>
            </w:r>
            <w:r w:rsidR="008260C9">
              <w:rPr>
                <w:lang w:val="en-GB"/>
              </w:rPr>
              <w:t>. All initial ideas are kept.</w:t>
            </w:r>
          </w:p>
        </w:tc>
      </w:tr>
      <w:tr w:rsidR="005475BC" w:rsidRPr="00304D8A" w:rsidTr="00E62976">
        <w:tc>
          <w:tcPr>
            <w:tcW w:w="1134" w:type="dxa"/>
            <w:vAlign w:val="center"/>
          </w:tcPr>
          <w:p w:rsidR="005475BC" w:rsidRDefault="005475BC" w:rsidP="00E62976">
            <w:pPr>
              <w:spacing w:before="20" w:afterLines="20" w:after="48" w:line="240" w:lineRule="auto"/>
              <w:ind w:left="57" w:right="57"/>
              <w:rPr>
                <w:lang w:val="en-GB"/>
              </w:rPr>
            </w:pPr>
            <w:r>
              <w:rPr>
                <w:lang w:val="en-GB"/>
              </w:rPr>
              <w:t>Rev. 8</w:t>
            </w:r>
          </w:p>
        </w:tc>
        <w:tc>
          <w:tcPr>
            <w:tcW w:w="1418" w:type="dxa"/>
            <w:vAlign w:val="center"/>
          </w:tcPr>
          <w:p w:rsidR="005475BC" w:rsidRDefault="005475BC" w:rsidP="00E62976">
            <w:pPr>
              <w:spacing w:before="20" w:afterLines="20" w:after="48" w:line="240" w:lineRule="auto"/>
              <w:ind w:left="57" w:right="57"/>
              <w:jc w:val="center"/>
              <w:rPr>
                <w:lang w:val="en-GB"/>
              </w:rPr>
            </w:pPr>
            <w:r>
              <w:rPr>
                <w:lang w:val="en-GB"/>
              </w:rPr>
              <w:t>0</w:t>
            </w:r>
            <w:r w:rsidR="002E7D55">
              <w:rPr>
                <w:lang w:val="en-GB"/>
              </w:rPr>
              <w:t>9</w:t>
            </w:r>
            <w:r>
              <w:rPr>
                <w:lang w:val="en-GB"/>
              </w:rPr>
              <w:t>/03/2016</w:t>
            </w:r>
          </w:p>
        </w:tc>
        <w:tc>
          <w:tcPr>
            <w:tcW w:w="2419" w:type="dxa"/>
            <w:vAlign w:val="center"/>
          </w:tcPr>
          <w:p w:rsidR="005475BC" w:rsidRDefault="005475BC" w:rsidP="00E62976">
            <w:pPr>
              <w:spacing w:before="20" w:afterLines="20" w:after="48" w:line="240" w:lineRule="auto"/>
              <w:ind w:left="57" w:right="57"/>
              <w:jc w:val="left"/>
              <w:rPr>
                <w:lang w:val="en-GB"/>
              </w:rPr>
            </w:pPr>
            <w:r>
              <w:rPr>
                <w:lang w:val="en-GB"/>
              </w:rPr>
              <w:t xml:space="preserve">Hage, </w:t>
            </w:r>
            <w:r w:rsidR="007D3946">
              <w:rPr>
                <w:lang w:val="en-GB"/>
              </w:rPr>
              <w:t xml:space="preserve">Hashimoto, </w:t>
            </w:r>
            <w:r>
              <w:rPr>
                <w:lang w:val="en-GB"/>
              </w:rPr>
              <w:t>Wielenberg</w:t>
            </w:r>
          </w:p>
        </w:tc>
        <w:tc>
          <w:tcPr>
            <w:tcW w:w="1551" w:type="dxa"/>
            <w:vAlign w:val="center"/>
          </w:tcPr>
          <w:p w:rsidR="005475BC" w:rsidRDefault="005475BC" w:rsidP="00E62976">
            <w:pPr>
              <w:spacing w:before="20" w:afterLines="20" w:after="48" w:line="240" w:lineRule="auto"/>
              <w:ind w:left="57" w:right="57"/>
              <w:rPr>
                <w:lang w:val="en-GB"/>
              </w:rPr>
            </w:pPr>
          </w:p>
        </w:tc>
        <w:tc>
          <w:tcPr>
            <w:tcW w:w="2578" w:type="dxa"/>
            <w:vAlign w:val="center"/>
          </w:tcPr>
          <w:p w:rsidR="005475BC" w:rsidRDefault="005475BC" w:rsidP="00E62976">
            <w:pPr>
              <w:spacing w:before="20" w:afterLines="20" w:after="48" w:line="240" w:lineRule="auto"/>
              <w:ind w:left="57" w:right="57"/>
              <w:rPr>
                <w:lang w:val="en-GB"/>
              </w:rPr>
            </w:pPr>
            <w:r>
              <w:rPr>
                <w:lang w:val="en-GB"/>
              </w:rPr>
              <w:t>Further development of simplified report.</w:t>
            </w:r>
          </w:p>
        </w:tc>
      </w:tr>
      <w:tr w:rsidR="007C3B20" w:rsidRPr="00CC3DD5" w:rsidTr="00E62976">
        <w:tc>
          <w:tcPr>
            <w:tcW w:w="1134" w:type="dxa"/>
            <w:vAlign w:val="center"/>
          </w:tcPr>
          <w:p w:rsidR="007C3B20" w:rsidRDefault="007C3B20" w:rsidP="00E62976">
            <w:pPr>
              <w:spacing w:before="20" w:afterLines="20" w:after="48" w:line="240" w:lineRule="auto"/>
              <w:ind w:left="57" w:right="57"/>
              <w:rPr>
                <w:lang w:val="en-GB"/>
              </w:rPr>
            </w:pPr>
            <w:r>
              <w:rPr>
                <w:lang w:val="en-GB"/>
              </w:rPr>
              <w:t>Rev. 9</w:t>
            </w:r>
          </w:p>
        </w:tc>
        <w:tc>
          <w:tcPr>
            <w:tcW w:w="1418" w:type="dxa"/>
            <w:vAlign w:val="center"/>
          </w:tcPr>
          <w:p w:rsidR="007C3B20" w:rsidRDefault="007C3B20" w:rsidP="00E62976">
            <w:pPr>
              <w:spacing w:before="20" w:afterLines="20" w:after="48" w:line="240" w:lineRule="auto"/>
              <w:ind w:left="57" w:right="57"/>
              <w:jc w:val="center"/>
              <w:rPr>
                <w:lang w:val="en-GB"/>
              </w:rPr>
            </w:pPr>
            <w:r>
              <w:rPr>
                <w:lang w:val="en-GB"/>
              </w:rPr>
              <w:t>20/03/2016</w:t>
            </w:r>
          </w:p>
        </w:tc>
        <w:tc>
          <w:tcPr>
            <w:tcW w:w="2419" w:type="dxa"/>
            <w:vAlign w:val="center"/>
          </w:tcPr>
          <w:p w:rsidR="007C3B20" w:rsidRDefault="007C3B20" w:rsidP="00E62976">
            <w:pPr>
              <w:spacing w:before="20" w:afterLines="20" w:after="48" w:line="240" w:lineRule="auto"/>
              <w:ind w:left="57" w:right="57"/>
              <w:jc w:val="left"/>
              <w:rPr>
                <w:lang w:val="en-GB"/>
              </w:rPr>
            </w:pPr>
            <w:r w:rsidRPr="00CC3DD5">
              <w:rPr>
                <w:lang w:val="en-GB"/>
              </w:rPr>
              <w:t>E. Raimond</w:t>
            </w:r>
            <w:r w:rsidR="00CC3DD5" w:rsidRPr="00CC3DD5">
              <w:rPr>
                <w:lang w:val="en-GB"/>
              </w:rPr>
              <w:t>, H. Loef</w:t>
            </w:r>
            <w:r w:rsidR="00C30A31">
              <w:rPr>
                <w:lang w:val="en-GB"/>
              </w:rPr>
              <w:t>f</w:t>
            </w:r>
            <w:r w:rsidR="00CC3DD5" w:rsidRPr="00CC3DD5">
              <w:rPr>
                <w:lang w:val="en-GB"/>
              </w:rPr>
              <w:t>ler, M</w:t>
            </w:r>
            <w:r w:rsidR="00CC3DD5">
              <w:rPr>
                <w:lang w:val="en-GB"/>
              </w:rPr>
              <w:t>. Hage</w:t>
            </w:r>
          </w:p>
        </w:tc>
        <w:tc>
          <w:tcPr>
            <w:tcW w:w="1551" w:type="dxa"/>
            <w:vAlign w:val="center"/>
          </w:tcPr>
          <w:p w:rsidR="007C3B20" w:rsidRDefault="007C3B20" w:rsidP="00E62976">
            <w:pPr>
              <w:spacing w:before="20" w:afterLines="20" w:after="48" w:line="240" w:lineRule="auto"/>
              <w:ind w:left="57" w:right="57"/>
              <w:rPr>
                <w:lang w:val="en-GB"/>
              </w:rPr>
            </w:pPr>
            <w:r>
              <w:rPr>
                <w:lang w:val="en-GB"/>
              </w:rPr>
              <w:t>Section 6</w:t>
            </w:r>
          </w:p>
        </w:tc>
        <w:tc>
          <w:tcPr>
            <w:tcW w:w="2578" w:type="dxa"/>
            <w:vAlign w:val="center"/>
          </w:tcPr>
          <w:p w:rsidR="007C3B20" w:rsidRDefault="007C3B20" w:rsidP="00E62976">
            <w:pPr>
              <w:spacing w:before="20" w:afterLines="20" w:after="48" w:line="240" w:lineRule="auto"/>
              <w:ind w:right="57"/>
              <w:rPr>
                <w:lang w:val="en-GB"/>
              </w:rPr>
            </w:pPr>
            <w:r>
              <w:rPr>
                <w:lang w:val="en-GB"/>
              </w:rPr>
              <w:t>Modifications after review</w:t>
            </w:r>
          </w:p>
        </w:tc>
      </w:tr>
      <w:tr w:rsidR="00C30A31" w:rsidRPr="00304D8A" w:rsidTr="00E62976">
        <w:tc>
          <w:tcPr>
            <w:tcW w:w="1134" w:type="dxa"/>
            <w:vAlign w:val="center"/>
          </w:tcPr>
          <w:p w:rsidR="00C30A31" w:rsidRDefault="00C30A31" w:rsidP="00E62976">
            <w:pPr>
              <w:spacing w:before="20" w:afterLines="20" w:after="48" w:line="240" w:lineRule="auto"/>
              <w:ind w:left="57" w:right="57"/>
              <w:rPr>
                <w:lang w:val="en-GB"/>
              </w:rPr>
            </w:pPr>
            <w:r>
              <w:rPr>
                <w:lang w:val="en-GB"/>
              </w:rPr>
              <w:t>Rev. 10</w:t>
            </w:r>
          </w:p>
        </w:tc>
        <w:tc>
          <w:tcPr>
            <w:tcW w:w="1418" w:type="dxa"/>
            <w:vAlign w:val="center"/>
          </w:tcPr>
          <w:p w:rsidR="00C30A31" w:rsidRDefault="00C30A31" w:rsidP="00E62976">
            <w:pPr>
              <w:spacing w:before="20" w:afterLines="20" w:after="48" w:line="240" w:lineRule="auto"/>
              <w:ind w:left="57" w:right="57"/>
              <w:jc w:val="center"/>
              <w:rPr>
                <w:lang w:val="en-GB"/>
              </w:rPr>
            </w:pPr>
            <w:r>
              <w:rPr>
                <w:lang w:val="en-GB"/>
              </w:rPr>
              <w:t>20/04/2016</w:t>
            </w:r>
          </w:p>
        </w:tc>
        <w:tc>
          <w:tcPr>
            <w:tcW w:w="2419" w:type="dxa"/>
            <w:vAlign w:val="center"/>
          </w:tcPr>
          <w:p w:rsidR="00C30A31" w:rsidRPr="00CC3DD5" w:rsidRDefault="00C30A31" w:rsidP="00E62976">
            <w:pPr>
              <w:spacing w:before="20" w:afterLines="20" w:after="48" w:line="240" w:lineRule="auto"/>
              <w:ind w:left="57" w:right="57"/>
              <w:jc w:val="left"/>
              <w:rPr>
                <w:lang w:val="en-GB"/>
              </w:rPr>
            </w:pPr>
            <w:r>
              <w:rPr>
                <w:lang w:val="en-GB"/>
              </w:rPr>
              <w:t>H. Löffler</w:t>
            </w:r>
          </w:p>
        </w:tc>
        <w:tc>
          <w:tcPr>
            <w:tcW w:w="1551" w:type="dxa"/>
            <w:vAlign w:val="center"/>
          </w:tcPr>
          <w:p w:rsidR="00C30A31" w:rsidRDefault="00C30A31" w:rsidP="00E62976">
            <w:pPr>
              <w:spacing w:before="20" w:afterLines="20" w:after="48" w:line="240" w:lineRule="auto"/>
              <w:ind w:left="57" w:right="57"/>
              <w:rPr>
                <w:lang w:val="en-GB"/>
              </w:rPr>
            </w:pPr>
            <w:r>
              <w:rPr>
                <w:lang w:val="en-GB"/>
              </w:rPr>
              <w:t>exec. summary, NRC contribution</w:t>
            </w:r>
          </w:p>
        </w:tc>
        <w:tc>
          <w:tcPr>
            <w:tcW w:w="2578" w:type="dxa"/>
            <w:vAlign w:val="center"/>
          </w:tcPr>
          <w:p w:rsidR="00C30A31" w:rsidRDefault="00892091" w:rsidP="00E62976">
            <w:pPr>
              <w:spacing w:before="20" w:afterLines="20" w:after="48" w:line="240" w:lineRule="auto"/>
              <w:ind w:right="57"/>
              <w:rPr>
                <w:lang w:val="en-GB"/>
              </w:rPr>
            </w:pPr>
            <w:r>
              <w:rPr>
                <w:lang w:val="en-GB"/>
              </w:rPr>
              <w:t>E</w:t>
            </w:r>
            <w:r w:rsidR="00C30A31">
              <w:rPr>
                <w:lang w:val="en-GB"/>
              </w:rPr>
              <w:t>ditorial updates in all sections</w:t>
            </w:r>
          </w:p>
        </w:tc>
      </w:tr>
      <w:tr w:rsidR="00892091" w:rsidRPr="00892091" w:rsidTr="00E62976">
        <w:tc>
          <w:tcPr>
            <w:tcW w:w="1134" w:type="dxa"/>
            <w:vAlign w:val="center"/>
          </w:tcPr>
          <w:p w:rsidR="00892091" w:rsidRDefault="00892091" w:rsidP="00E62976">
            <w:pPr>
              <w:spacing w:before="20" w:afterLines="20" w:after="48" w:line="240" w:lineRule="auto"/>
              <w:ind w:left="57" w:right="57"/>
              <w:rPr>
                <w:lang w:val="en-GB"/>
              </w:rPr>
            </w:pPr>
            <w:r>
              <w:rPr>
                <w:lang w:val="en-GB"/>
              </w:rPr>
              <w:t>Rev. 11</w:t>
            </w:r>
          </w:p>
        </w:tc>
        <w:tc>
          <w:tcPr>
            <w:tcW w:w="1418" w:type="dxa"/>
            <w:vAlign w:val="center"/>
          </w:tcPr>
          <w:p w:rsidR="00892091" w:rsidRDefault="00892091" w:rsidP="00E62976">
            <w:pPr>
              <w:spacing w:before="20" w:afterLines="20" w:after="48" w:line="240" w:lineRule="auto"/>
              <w:ind w:left="57" w:right="57"/>
              <w:jc w:val="center"/>
              <w:rPr>
                <w:lang w:val="en-GB"/>
              </w:rPr>
            </w:pPr>
            <w:r>
              <w:rPr>
                <w:lang w:val="en-GB"/>
              </w:rPr>
              <w:t>05/05/2016</w:t>
            </w:r>
          </w:p>
        </w:tc>
        <w:tc>
          <w:tcPr>
            <w:tcW w:w="2419" w:type="dxa"/>
            <w:vAlign w:val="center"/>
          </w:tcPr>
          <w:p w:rsidR="00892091" w:rsidRDefault="00892091" w:rsidP="00E62976">
            <w:pPr>
              <w:spacing w:before="20" w:afterLines="20" w:after="48" w:line="240" w:lineRule="auto"/>
              <w:ind w:left="57" w:right="57"/>
              <w:jc w:val="left"/>
              <w:rPr>
                <w:lang w:val="en-GB"/>
              </w:rPr>
            </w:pPr>
            <w:r>
              <w:rPr>
                <w:lang w:val="en-GB"/>
              </w:rPr>
              <w:t>E. Raimond</w:t>
            </w:r>
          </w:p>
        </w:tc>
        <w:tc>
          <w:tcPr>
            <w:tcW w:w="1551" w:type="dxa"/>
            <w:vAlign w:val="center"/>
          </w:tcPr>
          <w:p w:rsidR="00892091" w:rsidRDefault="009519AB" w:rsidP="00E62976">
            <w:pPr>
              <w:spacing w:before="20" w:afterLines="20" w:after="48" w:line="240" w:lineRule="auto"/>
              <w:ind w:left="57" w:right="57"/>
              <w:rPr>
                <w:lang w:val="en-GB"/>
              </w:rPr>
            </w:pPr>
            <w:r>
              <w:rPr>
                <w:lang w:val="en-GB"/>
              </w:rPr>
              <w:t xml:space="preserve">Section </w:t>
            </w:r>
            <w:r w:rsidR="00144858">
              <w:rPr>
                <w:lang w:val="en-GB"/>
              </w:rPr>
              <w:t>5.1.3 and 5.2.11</w:t>
            </w:r>
          </w:p>
        </w:tc>
        <w:tc>
          <w:tcPr>
            <w:tcW w:w="2578" w:type="dxa"/>
            <w:vAlign w:val="center"/>
          </w:tcPr>
          <w:p w:rsidR="00892091" w:rsidRDefault="00144858" w:rsidP="00E62976">
            <w:pPr>
              <w:spacing w:before="20" w:afterLines="20" w:after="48" w:line="240" w:lineRule="auto"/>
              <w:ind w:right="57"/>
              <w:rPr>
                <w:lang w:val="en-GB"/>
              </w:rPr>
            </w:pPr>
            <w:r>
              <w:rPr>
                <w:lang w:val="en-GB"/>
              </w:rPr>
              <w:t>Final format</w:t>
            </w:r>
          </w:p>
        </w:tc>
      </w:tr>
      <w:tr w:rsidR="009519AB" w:rsidRPr="009519AB" w:rsidTr="00E62976">
        <w:tc>
          <w:tcPr>
            <w:tcW w:w="1134" w:type="dxa"/>
            <w:vAlign w:val="center"/>
          </w:tcPr>
          <w:p w:rsidR="009519AB" w:rsidRDefault="009519AB" w:rsidP="00E62976">
            <w:pPr>
              <w:spacing w:before="20" w:afterLines="20" w:after="48" w:line="240" w:lineRule="auto"/>
              <w:ind w:left="57" w:right="57"/>
              <w:rPr>
                <w:lang w:val="en-GB"/>
              </w:rPr>
            </w:pPr>
            <w:r>
              <w:rPr>
                <w:lang w:val="en-GB"/>
              </w:rPr>
              <w:t>Rev 12</w:t>
            </w:r>
          </w:p>
        </w:tc>
        <w:tc>
          <w:tcPr>
            <w:tcW w:w="1418" w:type="dxa"/>
            <w:vAlign w:val="center"/>
          </w:tcPr>
          <w:p w:rsidR="009519AB" w:rsidRDefault="009519AB" w:rsidP="00E62976">
            <w:pPr>
              <w:spacing w:before="20" w:afterLines="20" w:after="48" w:line="240" w:lineRule="auto"/>
              <w:ind w:left="57" w:right="57"/>
              <w:jc w:val="center"/>
              <w:rPr>
                <w:lang w:val="en-GB"/>
              </w:rPr>
            </w:pPr>
            <w:r>
              <w:rPr>
                <w:lang w:val="en-GB"/>
              </w:rPr>
              <w:t>10/05</w:t>
            </w:r>
            <w:r w:rsidR="00DC2EE2">
              <w:rPr>
                <w:lang w:val="en-GB"/>
              </w:rPr>
              <w:t>/</w:t>
            </w:r>
            <w:r>
              <w:rPr>
                <w:lang w:val="en-GB"/>
              </w:rPr>
              <w:t>2016</w:t>
            </w:r>
          </w:p>
        </w:tc>
        <w:tc>
          <w:tcPr>
            <w:tcW w:w="2419" w:type="dxa"/>
            <w:vAlign w:val="center"/>
          </w:tcPr>
          <w:p w:rsidR="009519AB" w:rsidRPr="009803F6" w:rsidRDefault="009519AB" w:rsidP="00E62976">
            <w:pPr>
              <w:spacing w:before="20" w:afterLines="20" w:after="48" w:line="240" w:lineRule="auto"/>
              <w:ind w:left="57" w:right="57"/>
              <w:jc w:val="left"/>
              <w:rPr>
                <w:lang w:val="en-US"/>
              </w:rPr>
            </w:pPr>
            <w:r w:rsidRPr="009803F6">
              <w:rPr>
                <w:lang w:val="en-US"/>
              </w:rPr>
              <w:t xml:space="preserve">P. Brac, R. Albuzas, F. </w:t>
            </w:r>
            <w:r>
              <w:rPr>
                <w:lang w:val="en-US"/>
              </w:rPr>
              <w:t xml:space="preserve">Godefroy, </w:t>
            </w:r>
            <w:r w:rsidR="00144858">
              <w:rPr>
                <w:lang w:val="en-US"/>
              </w:rPr>
              <w:t xml:space="preserve">E. Raimond , </w:t>
            </w:r>
            <w:r w:rsidR="00E57E9B">
              <w:rPr>
                <w:lang w:val="en-US"/>
              </w:rPr>
              <w:t>H. Lö</w:t>
            </w:r>
            <w:r w:rsidRPr="009803F6">
              <w:rPr>
                <w:lang w:val="en-US"/>
              </w:rPr>
              <w:t xml:space="preserve">ffler, </w:t>
            </w:r>
          </w:p>
        </w:tc>
        <w:tc>
          <w:tcPr>
            <w:tcW w:w="1551" w:type="dxa"/>
            <w:vAlign w:val="center"/>
          </w:tcPr>
          <w:p w:rsidR="009519AB" w:rsidRPr="009803F6" w:rsidRDefault="009519AB" w:rsidP="00E62976">
            <w:pPr>
              <w:spacing w:before="20" w:afterLines="20" w:after="48" w:line="240" w:lineRule="auto"/>
              <w:ind w:left="57" w:right="57"/>
              <w:rPr>
                <w:lang w:val="en-US"/>
              </w:rPr>
            </w:pPr>
            <w:r>
              <w:rPr>
                <w:lang w:val="en-US"/>
              </w:rPr>
              <w:t>Sections 5.2.6, 5.2.11, 5.2.23</w:t>
            </w:r>
          </w:p>
        </w:tc>
        <w:tc>
          <w:tcPr>
            <w:tcW w:w="2578" w:type="dxa"/>
            <w:vAlign w:val="center"/>
          </w:tcPr>
          <w:p w:rsidR="009519AB" w:rsidRDefault="00144858" w:rsidP="00E62976">
            <w:pPr>
              <w:spacing w:before="20" w:afterLines="20" w:after="48" w:line="240" w:lineRule="auto"/>
              <w:ind w:right="57"/>
              <w:rPr>
                <w:lang w:val="en-US"/>
              </w:rPr>
            </w:pPr>
            <w:r>
              <w:rPr>
                <w:lang w:val="en-US"/>
              </w:rPr>
              <w:t>Complements on national activities.</w:t>
            </w:r>
          </w:p>
          <w:p w:rsidR="00144858" w:rsidRPr="009803F6" w:rsidRDefault="00144858" w:rsidP="00E62976">
            <w:pPr>
              <w:spacing w:before="20" w:afterLines="20" w:after="48" w:line="240" w:lineRule="auto"/>
              <w:ind w:right="57"/>
              <w:rPr>
                <w:lang w:val="en-US"/>
              </w:rPr>
            </w:pPr>
            <w:r>
              <w:rPr>
                <w:lang w:val="en-US"/>
              </w:rPr>
              <w:t>References in report.</w:t>
            </w:r>
          </w:p>
        </w:tc>
      </w:tr>
      <w:tr w:rsidR="000A309B" w:rsidRPr="009519AB" w:rsidTr="00E62976">
        <w:tc>
          <w:tcPr>
            <w:tcW w:w="1134" w:type="dxa"/>
            <w:vMerge w:val="restart"/>
            <w:vAlign w:val="center"/>
          </w:tcPr>
          <w:p w:rsidR="000A309B" w:rsidRDefault="000A309B" w:rsidP="00E62976">
            <w:pPr>
              <w:spacing w:before="20" w:afterLines="20" w:after="48" w:line="240" w:lineRule="auto"/>
              <w:ind w:left="57" w:right="57"/>
              <w:rPr>
                <w:lang w:val="en-GB"/>
              </w:rPr>
            </w:pPr>
            <w:r>
              <w:rPr>
                <w:lang w:val="en-GB"/>
              </w:rPr>
              <w:t>Rev. 13</w:t>
            </w:r>
          </w:p>
          <w:p w:rsidR="000A309B" w:rsidRDefault="000A309B" w:rsidP="00E62976">
            <w:pPr>
              <w:spacing w:before="20" w:afterLines="20" w:after="48" w:line="240" w:lineRule="auto"/>
              <w:ind w:left="57" w:right="57"/>
              <w:rPr>
                <w:lang w:val="en-GB"/>
              </w:rPr>
            </w:pPr>
          </w:p>
        </w:tc>
        <w:tc>
          <w:tcPr>
            <w:tcW w:w="1418" w:type="dxa"/>
            <w:vAlign w:val="center"/>
          </w:tcPr>
          <w:p w:rsidR="000A309B" w:rsidRDefault="000A309B" w:rsidP="00E62976">
            <w:pPr>
              <w:spacing w:before="20" w:afterLines="20" w:after="48" w:line="240" w:lineRule="auto"/>
              <w:ind w:left="57" w:right="57"/>
              <w:jc w:val="center"/>
              <w:rPr>
                <w:lang w:val="en-GB"/>
              </w:rPr>
            </w:pPr>
            <w:r>
              <w:rPr>
                <w:lang w:val="en-GB"/>
              </w:rPr>
              <w:t>15/10/2016</w:t>
            </w:r>
          </w:p>
        </w:tc>
        <w:tc>
          <w:tcPr>
            <w:tcW w:w="2419" w:type="dxa"/>
            <w:vAlign w:val="center"/>
          </w:tcPr>
          <w:p w:rsidR="000A309B" w:rsidRPr="009803F6" w:rsidRDefault="000A309B" w:rsidP="00E62976">
            <w:pPr>
              <w:spacing w:before="20" w:afterLines="20" w:after="48" w:line="240" w:lineRule="auto"/>
              <w:ind w:left="57" w:right="57"/>
              <w:jc w:val="left"/>
              <w:rPr>
                <w:lang w:val="en-US"/>
              </w:rPr>
            </w:pPr>
            <w:r>
              <w:rPr>
                <w:lang w:val="en-US"/>
              </w:rPr>
              <w:t>A. Prošek (ed.)</w:t>
            </w:r>
          </w:p>
        </w:tc>
        <w:tc>
          <w:tcPr>
            <w:tcW w:w="1551" w:type="dxa"/>
            <w:vAlign w:val="center"/>
          </w:tcPr>
          <w:p w:rsidR="000A309B" w:rsidRDefault="000A309B" w:rsidP="00E62976">
            <w:pPr>
              <w:spacing w:before="20" w:afterLines="20" w:after="48" w:line="240" w:lineRule="auto"/>
              <w:ind w:left="57" w:right="57"/>
              <w:rPr>
                <w:lang w:val="en-US"/>
              </w:rPr>
            </w:pPr>
            <w:r>
              <w:rPr>
                <w:lang w:val="en-US"/>
              </w:rPr>
              <w:t>All</w:t>
            </w:r>
          </w:p>
        </w:tc>
        <w:tc>
          <w:tcPr>
            <w:tcW w:w="2578" w:type="dxa"/>
            <w:vAlign w:val="center"/>
          </w:tcPr>
          <w:p w:rsidR="000A309B" w:rsidRDefault="000A309B" w:rsidP="00E62976">
            <w:pPr>
              <w:spacing w:before="20" w:afterLines="20" w:after="48" w:line="240" w:lineRule="auto"/>
              <w:ind w:right="57"/>
              <w:rPr>
                <w:lang w:val="en-US"/>
              </w:rPr>
            </w:pPr>
            <w:r>
              <w:rPr>
                <w:lang w:val="en-US"/>
              </w:rPr>
              <w:t>External review version for ASAMPSA_E Final End-Users Workshop (TRACTEBEL, IRSN, JANSI, LEI, ENSI, EDF) + JSI</w:t>
            </w:r>
          </w:p>
        </w:tc>
      </w:tr>
      <w:tr w:rsidR="000A309B" w:rsidRPr="009519AB" w:rsidTr="00E62976">
        <w:tc>
          <w:tcPr>
            <w:tcW w:w="1134" w:type="dxa"/>
            <w:vMerge/>
            <w:vAlign w:val="center"/>
          </w:tcPr>
          <w:p w:rsidR="000A309B" w:rsidRDefault="000A309B" w:rsidP="00E62976">
            <w:pPr>
              <w:spacing w:before="20" w:afterLines="20" w:after="48" w:line="240" w:lineRule="auto"/>
              <w:ind w:left="57" w:right="57"/>
              <w:rPr>
                <w:lang w:val="en-GB"/>
              </w:rPr>
            </w:pPr>
          </w:p>
        </w:tc>
        <w:tc>
          <w:tcPr>
            <w:tcW w:w="1418" w:type="dxa"/>
            <w:vAlign w:val="center"/>
          </w:tcPr>
          <w:p w:rsidR="000A309B" w:rsidRDefault="000A309B" w:rsidP="00E62976">
            <w:pPr>
              <w:spacing w:before="20" w:afterLines="20" w:after="48" w:line="240" w:lineRule="auto"/>
              <w:ind w:left="57" w:right="57"/>
              <w:jc w:val="center"/>
              <w:rPr>
                <w:lang w:val="en-GB"/>
              </w:rPr>
            </w:pPr>
            <w:r>
              <w:rPr>
                <w:lang w:val="en-GB"/>
              </w:rPr>
              <w:t>19/10/2016</w:t>
            </w:r>
          </w:p>
        </w:tc>
        <w:tc>
          <w:tcPr>
            <w:tcW w:w="2419" w:type="dxa"/>
            <w:vAlign w:val="center"/>
          </w:tcPr>
          <w:p w:rsidR="000A309B" w:rsidRDefault="000A309B" w:rsidP="00E62976">
            <w:pPr>
              <w:spacing w:before="20" w:afterLines="20" w:after="48" w:line="240" w:lineRule="auto"/>
              <w:ind w:left="57" w:right="57"/>
              <w:jc w:val="left"/>
              <w:rPr>
                <w:lang w:val="en-US"/>
              </w:rPr>
            </w:pPr>
            <w:r>
              <w:rPr>
                <w:lang w:val="en-US"/>
              </w:rPr>
              <w:t>H. Löffler</w:t>
            </w:r>
          </w:p>
        </w:tc>
        <w:tc>
          <w:tcPr>
            <w:tcW w:w="1551" w:type="dxa"/>
            <w:vAlign w:val="center"/>
          </w:tcPr>
          <w:p w:rsidR="000A309B" w:rsidRDefault="000A309B" w:rsidP="00E62976">
            <w:pPr>
              <w:spacing w:before="20" w:afterLines="20" w:after="48" w:line="240" w:lineRule="auto"/>
              <w:ind w:left="57" w:right="57"/>
              <w:rPr>
                <w:lang w:val="en-US"/>
              </w:rPr>
            </w:pPr>
            <w:r>
              <w:rPr>
                <w:lang w:val="en-US"/>
              </w:rPr>
              <w:t>summary, sect 6 and 7</w:t>
            </w:r>
          </w:p>
        </w:tc>
        <w:tc>
          <w:tcPr>
            <w:tcW w:w="2578" w:type="dxa"/>
            <w:vAlign w:val="center"/>
          </w:tcPr>
          <w:p w:rsidR="000A309B" w:rsidRDefault="000A309B" w:rsidP="00E62976">
            <w:pPr>
              <w:spacing w:before="20" w:afterLines="20" w:after="48" w:line="240" w:lineRule="auto"/>
              <w:ind w:right="57"/>
              <w:rPr>
                <w:lang w:val="en-US"/>
              </w:rPr>
            </w:pPr>
            <w:r>
              <w:rPr>
                <w:lang w:val="en-US"/>
              </w:rPr>
              <w:t>introduce responsibility of authorities in screening approach</w:t>
            </w:r>
          </w:p>
        </w:tc>
      </w:tr>
      <w:tr w:rsidR="000A309B" w:rsidRPr="009519AB" w:rsidTr="00E62976">
        <w:tc>
          <w:tcPr>
            <w:tcW w:w="1134" w:type="dxa"/>
            <w:vMerge w:val="restart"/>
            <w:vAlign w:val="center"/>
          </w:tcPr>
          <w:p w:rsidR="000A309B" w:rsidRDefault="000A309B" w:rsidP="00E62976">
            <w:pPr>
              <w:spacing w:before="20" w:afterLines="20" w:after="48" w:line="240" w:lineRule="auto"/>
              <w:ind w:left="57" w:right="57"/>
              <w:rPr>
                <w:lang w:val="en-GB"/>
              </w:rPr>
            </w:pPr>
            <w:r>
              <w:rPr>
                <w:lang w:val="en-GB"/>
              </w:rPr>
              <w:t>Final</w:t>
            </w:r>
          </w:p>
        </w:tc>
        <w:tc>
          <w:tcPr>
            <w:tcW w:w="1418" w:type="dxa"/>
            <w:vAlign w:val="center"/>
          </w:tcPr>
          <w:p w:rsidR="000A309B" w:rsidRDefault="000A309B" w:rsidP="00E62976">
            <w:pPr>
              <w:spacing w:before="20" w:afterLines="20" w:after="48" w:line="240" w:lineRule="auto"/>
              <w:ind w:left="57" w:right="57"/>
              <w:jc w:val="center"/>
              <w:rPr>
                <w:lang w:val="en-GB"/>
              </w:rPr>
            </w:pPr>
            <w:r>
              <w:rPr>
                <w:lang w:val="en-GB"/>
              </w:rPr>
              <w:t>13/12/2016</w:t>
            </w:r>
          </w:p>
        </w:tc>
        <w:tc>
          <w:tcPr>
            <w:tcW w:w="2419" w:type="dxa"/>
            <w:vAlign w:val="center"/>
          </w:tcPr>
          <w:p w:rsidR="000A309B" w:rsidRPr="00764AEC" w:rsidRDefault="000A309B" w:rsidP="00E62976">
            <w:pPr>
              <w:spacing w:before="20" w:afterLines="20" w:after="48" w:line="240" w:lineRule="auto"/>
              <w:ind w:left="57" w:right="57"/>
              <w:jc w:val="left"/>
              <w:rPr>
                <w:lang w:val="de-DE"/>
              </w:rPr>
            </w:pPr>
            <w:r w:rsidRPr="00764AEC">
              <w:rPr>
                <w:lang w:val="de-DE"/>
              </w:rPr>
              <w:t>A. Prošek, H. Löffler, A. Wielenberg</w:t>
            </w:r>
          </w:p>
        </w:tc>
        <w:tc>
          <w:tcPr>
            <w:tcW w:w="1551" w:type="dxa"/>
            <w:vAlign w:val="center"/>
          </w:tcPr>
          <w:p w:rsidR="000A309B" w:rsidRDefault="000A309B" w:rsidP="00E62976">
            <w:pPr>
              <w:spacing w:before="20" w:afterLines="20" w:after="48" w:line="240" w:lineRule="auto"/>
              <w:ind w:left="57" w:right="57"/>
              <w:rPr>
                <w:lang w:val="en-US"/>
              </w:rPr>
            </w:pPr>
            <w:r>
              <w:rPr>
                <w:lang w:val="en-US"/>
              </w:rPr>
              <w:t>All</w:t>
            </w:r>
          </w:p>
        </w:tc>
        <w:tc>
          <w:tcPr>
            <w:tcW w:w="2578" w:type="dxa"/>
            <w:vAlign w:val="center"/>
          </w:tcPr>
          <w:p w:rsidR="000A309B" w:rsidRDefault="000A309B" w:rsidP="00E62976">
            <w:pPr>
              <w:spacing w:before="20" w:afterLines="20" w:after="48" w:line="240" w:lineRule="auto"/>
              <w:ind w:right="57"/>
              <w:rPr>
                <w:lang w:val="en-US"/>
              </w:rPr>
            </w:pPr>
            <w:r>
              <w:rPr>
                <w:lang w:val="en-US"/>
              </w:rPr>
              <w:t>Final consideration of comments and final edits</w:t>
            </w:r>
          </w:p>
        </w:tc>
      </w:tr>
      <w:tr w:rsidR="000A309B" w:rsidRPr="009519AB" w:rsidTr="00E62976">
        <w:tc>
          <w:tcPr>
            <w:tcW w:w="1134" w:type="dxa"/>
            <w:vMerge/>
            <w:vAlign w:val="center"/>
          </w:tcPr>
          <w:p w:rsidR="000A309B" w:rsidRDefault="000A309B" w:rsidP="00E62976">
            <w:pPr>
              <w:spacing w:before="20" w:afterLines="20" w:after="48" w:line="240" w:lineRule="auto"/>
              <w:ind w:left="57" w:right="57"/>
              <w:rPr>
                <w:lang w:val="en-GB"/>
              </w:rPr>
            </w:pPr>
          </w:p>
        </w:tc>
        <w:tc>
          <w:tcPr>
            <w:tcW w:w="1418" w:type="dxa"/>
            <w:vAlign w:val="center"/>
          </w:tcPr>
          <w:p w:rsidR="000A309B" w:rsidRDefault="000A309B" w:rsidP="00E62976">
            <w:pPr>
              <w:spacing w:before="20" w:afterLines="20" w:after="48" w:line="240" w:lineRule="auto"/>
              <w:ind w:left="57" w:right="57"/>
              <w:jc w:val="center"/>
              <w:rPr>
                <w:lang w:val="en-GB"/>
              </w:rPr>
            </w:pPr>
            <w:r>
              <w:rPr>
                <w:lang w:val="en-GB"/>
              </w:rPr>
              <w:t>27/01/2017</w:t>
            </w:r>
          </w:p>
        </w:tc>
        <w:tc>
          <w:tcPr>
            <w:tcW w:w="2419" w:type="dxa"/>
            <w:vAlign w:val="center"/>
          </w:tcPr>
          <w:p w:rsidR="000A309B" w:rsidRPr="00764AEC" w:rsidRDefault="000A309B" w:rsidP="00E62976">
            <w:pPr>
              <w:spacing w:before="20" w:afterLines="20" w:after="48" w:line="240" w:lineRule="auto"/>
              <w:ind w:left="57" w:right="57"/>
              <w:jc w:val="left"/>
              <w:rPr>
                <w:lang w:val="de-DE"/>
              </w:rPr>
            </w:pPr>
            <w:r>
              <w:rPr>
                <w:lang w:val="de-DE"/>
              </w:rPr>
              <w:t>E. Raimond</w:t>
            </w:r>
          </w:p>
        </w:tc>
        <w:tc>
          <w:tcPr>
            <w:tcW w:w="1551" w:type="dxa"/>
            <w:vAlign w:val="center"/>
          </w:tcPr>
          <w:p w:rsidR="000A309B" w:rsidRDefault="000A309B" w:rsidP="00E62976">
            <w:pPr>
              <w:spacing w:before="20" w:afterLines="20" w:after="48" w:line="240" w:lineRule="auto"/>
              <w:ind w:left="57" w:right="57"/>
              <w:rPr>
                <w:lang w:val="en-US"/>
              </w:rPr>
            </w:pPr>
            <w:r>
              <w:rPr>
                <w:lang w:val="en-US"/>
              </w:rPr>
              <w:t>Few</w:t>
            </w:r>
          </w:p>
        </w:tc>
        <w:tc>
          <w:tcPr>
            <w:tcW w:w="2578" w:type="dxa"/>
            <w:vAlign w:val="center"/>
          </w:tcPr>
          <w:p w:rsidR="000A309B" w:rsidRDefault="000A309B" w:rsidP="00E62976">
            <w:pPr>
              <w:spacing w:before="20" w:afterLines="20" w:after="48" w:line="240" w:lineRule="auto"/>
              <w:ind w:right="57"/>
              <w:rPr>
                <w:lang w:val="en-US"/>
              </w:rPr>
            </w:pPr>
            <w:r>
              <w:rPr>
                <w:lang w:val="en-US"/>
              </w:rPr>
              <w:t>Editorial modification</w:t>
            </w:r>
          </w:p>
        </w:tc>
      </w:tr>
    </w:tbl>
    <w:p w:rsidR="000E7B29" w:rsidRDefault="000E7B29">
      <w:pPr>
        <w:rPr>
          <w:lang w:val="en-US"/>
        </w:rPr>
      </w:pPr>
    </w:p>
    <w:p w:rsidR="000A309B" w:rsidRDefault="000A309B">
      <w:pPr>
        <w:spacing w:line="240" w:lineRule="auto"/>
        <w:jc w:val="left"/>
        <w:rPr>
          <w:smallCaps/>
          <w:lang w:val="en-US"/>
        </w:rPr>
      </w:pPr>
      <w:r>
        <w:rPr>
          <w:smallCaps/>
          <w:lang w:val="en-US"/>
        </w:rPr>
        <w:br w:type="page"/>
      </w:r>
    </w:p>
    <w:p w:rsidR="000A309B" w:rsidRPr="009803F6" w:rsidRDefault="000A309B" w:rsidP="000A309B">
      <w:pPr>
        <w:rPr>
          <w:smallCaps/>
          <w:lang w:val="en-US"/>
        </w:rPr>
      </w:pPr>
    </w:p>
    <w:p w:rsidR="000A309B" w:rsidRPr="00C35C2C" w:rsidRDefault="000A309B" w:rsidP="000A309B">
      <w:pPr>
        <w:pBdr>
          <w:top w:val="double" w:sz="6" w:space="3" w:color="auto"/>
        </w:pBdr>
        <w:ind w:right="491"/>
        <w:outlineLvl w:val="0"/>
        <w:rPr>
          <w:b/>
          <w:smallCaps/>
          <w:sz w:val="22"/>
          <w:lang w:val="en-GB"/>
        </w:rPr>
      </w:pPr>
      <w:bookmarkStart w:id="3" w:name="_Toc473303536"/>
      <w:r w:rsidRPr="00C35C2C">
        <w:rPr>
          <w:b/>
          <w:smallCaps/>
          <w:sz w:val="22"/>
          <w:lang w:val="en-GB"/>
        </w:rPr>
        <w:t>List of diffusion</w:t>
      </w:r>
      <w:bookmarkEnd w:id="3"/>
    </w:p>
    <w:p w:rsidR="000A309B" w:rsidRDefault="000A309B" w:rsidP="000A309B">
      <w:pPr>
        <w:rPr>
          <w:b/>
          <w:lang w:val="en-US"/>
        </w:rPr>
      </w:pPr>
    </w:p>
    <w:p w:rsidR="000A309B" w:rsidRDefault="000A309B" w:rsidP="000A309B">
      <w:pPr>
        <w:rPr>
          <w:b/>
          <w:lang w:val="en-US"/>
        </w:rPr>
      </w:pPr>
    </w:p>
    <w:p w:rsidR="000A309B" w:rsidRDefault="000A309B" w:rsidP="000A309B">
      <w:pPr>
        <w:rPr>
          <w:b/>
          <w:lang w:val="en-US"/>
        </w:rPr>
      </w:pPr>
    </w:p>
    <w:p w:rsidR="000A309B" w:rsidRDefault="000A309B" w:rsidP="000A309B">
      <w:pPr>
        <w:rPr>
          <w:b/>
          <w:lang w:val="en-US"/>
        </w:rPr>
      </w:pPr>
      <w:r w:rsidRPr="005E42A2">
        <w:rPr>
          <w:b/>
          <w:lang w:val="en-US"/>
        </w:rPr>
        <w:t>European Commis</w:t>
      </w:r>
      <w:r w:rsidRPr="009803F6">
        <w:rPr>
          <w:b/>
          <w:lang w:val="en-US"/>
        </w:rPr>
        <w:t>sion (Scientific Officer)</w:t>
      </w:r>
    </w:p>
    <w:p w:rsidR="000A309B" w:rsidRPr="009803F6" w:rsidRDefault="000A309B" w:rsidP="000A309B">
      <w:pPr>
        <w:rPr>
          <w:b/>
          <w:lang w:val="en-US"/>
        </w:rPr>
      </w:pPr>
    </w:p>
    <w:tbl>
      <w:tblPr>
        <w:tblW w:w="0" w:type="auto"/>
        <w:tblInd w:w="55" w:type="dxa"/>
        <w:tblCellMar>
          <w:left w:w="70" w:type="dxa"/>
          <w:right w:w="70" w:type="dxa"/>
        </w:tblCellMar>
        <w:tblLook w:val="04A0" w:firstRow="1" w:lastRow="0" w:firstColumn="1" w:lastColumn="0" w:noHBand="0" w:noVBand="1"/>
      </w:tblPr>
      <w:tblGrid>
        <w:gridCol w:w="998"/>
        <w:gridCol w:w="940"/>
        <w:gridCol w:w="1095"/>
      </w:tblGrid>
      <w:tr w:rsidR="000A309B" w:rsidRPr="005E42A2" w:rsidTr="004819BA">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309B" w:rsidRPr="004819BA" w:rsidRDefault="000A309B" w:rsidP="004819BA">
            <w:pPr>
              <w:spacing w:line="240" w:lineRule="auto"/>
              <w:jc w:val="center"/>
              <w:rPr>
                <w:rFonts w:cs="Arial"/>
                <w:b/>
                <w:bCs/>
                <w:sz w:val="16"/>
                <w:szCs w:val="16"/>
                <w:lang w:val="en-US"/>
              </w:rPr>
            </w:pPr>
            <w:r w:rsidRPr="004819BA">
              <w:rPr>
                <w:rFonts w:cs="Arial"/>
                <w:b/>
                <w:bCs/>
                <w:sz w:val="16"/>
                <w:szCs w:val="16"/>
                <w:lang w:val="en-US"/>
              </w:rPr>
              <w:t>Name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309B" w:rsidRPr="004819BA" w:rsidRDefault="000A309B" w:rsidP="004819BA">
            <w:pPr>
              <w:spacing w:line="240" w:lineRule="auto"/>
              <w:jc w:val="center"/>
              <w:rPr>
                <w:rFonts w:cs="Arial"/>
                <w:b/>
                <w:bCs/>
                <w:sz w:val="16"/>
                <w:szCs w:val="16"/>
                <w:lang w:val="en-US"/>
              </w:rPr>
            </w:pPr>
            <w:r w:rsidRPr="004819BA">
              <w:rPr>
                <w:rFonts w:cs="Arial"/>
                <w:b/>
                <w:bCs/>
                <w:sz w:val="16"/>
                <w:szCs w:val="16"/>
                <w:lang w:val="en-US"/>
              </w:rPr>
              <w:t>First name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A309B" w:rsidRPr="004819BA" w:rsidRDefault="000A309B" w:rsidP="004819BA">
            <w:pPr>
              <w:spacing w:line="240" w:lineRule="auto"/>
              <w:jc w:val="center"/>
              <w:rPr>
                <w:rFonts w:cs="Arial"/>
                <w:b/>
                <w:bCs/>
                <w:sz w:val="16"/>
                <w:szCs w:val="16"/>
              </w:rPr>
            </w:pPr>
            <w:r w:rsidRPr="004819BA">
              <w:rPr>
                <w:rFonts w:cs="Arial"/>
                <w:b/>
                <w:bCs/>
                <w:sz w:val="16"/>
                <w:szCs w:val="16"/>
                <w:lang w:val="en-US"/>
              </w:rPr>
              <w:t>Organiza</w:t>
            </w:r>
            <w:r w:rsidRPr="004819BA">
              <w:rPr>
                <w:rFonts w:cs="Arial"/>
                <w:b/>
                <w:bCs/>
                <w:sz w:val="16"/>
                <w:szCs w:val="16"/>
              </w:rPr>
              <w:t>tion</w:t>
            </w:r>
          </w:p>
        </w:tc>
      </w:tr>
      <w:tr w:rsidR="000A309B" w:rsidRPr="005E42A2" w:rsidTr="004819BA">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309B" w:rsidRPr="004819BA" w:rsidRDefault="000A309B" w:rsidP="004819BA">
            <w:pPr>
              <w:spacing w:line="240" w:lineRule="auto"/>
              <w:jc w:val="left"/>
              <w:rPr>
                <w:rFonts w:cs="Arial"/>
                <w:bCs/>
                <w:sz w:val="16"/>
                <w:szCs w:val="16"/>
              </w:rPr>
            </w:pPr>
            <w:r w:rsidRPr="004819BA">
              <w:rPr>
                <w:rFonts w:cs="Arial"/>
                <w:bCs/>
                <w:sz w:val="16"/>
                <w:szCs w:val="16"/>
              </w:rPr>
              <w:t>Passalacqua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309B" w:rsidRPr="004819BA" w:rsidRDefault="000A309B" w:rsidP="004819BA">
            <w:pPr>
              <w:spacing w:line="240" w:lineRule="auto"/>
              <w:jc w:val="left"/>
              <w:rPr>
                <w:rFonts w:cs="Arial"/>
                <w:bCs/>
                <w:sz w:val="16"/>
                <w:szCs w:val="16"/>
              </w:rPr>
            </w:pPr>
            <w:r w:rsidRPr="004819BA">
              <w:rPr>
                <w:rFonts w:cs="Arial"/>
                <w:bCs/>
                <w:sz w:val="16"/>
                <w:szCs w:val="16"/>
              </w:rPr>
              <w:t>Roberto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A309B" w:rsidRPr="004819BA" w:rsidRDefault="000A309B" w:rsidP="004819BA">
            <w:pPr>
              <w:spacing w:line="240" w:lineRule="auto"/>
              <w:jc w:val="left"/>
              <w:rPr>
                <w:rFonts w:cs="Arial"/>
                <w:bCs/>
                <w:sz w:val="16"/>
                <w:szCs w:val="16"/>
              </w:rPr>
            </w:pPr>
            <w:r w:rsidRPr="004819BA">
              <w:rPr>
                <w:rFonts w:cs="Arial"/>
                <w:bCs/>
                <w:sz w:val="16"/>
                <w:szCs w:val="16"/>
              </w:rPr>
              <w:t>EC</w:t>
            </w:r>
          </w:p>
        </w:tc>
      </w:tr>
    </w:tbl>
    <w:p w:rsidR="000A309B" w:rsidRPr="005E42A2" w:rsidRDefault="000A309B" w:rsidP="000A309B">
      <w:pPr>
        <w:rPr>
          <w:smallCaps/>
        </w:rPr>
      </w:pPr>
    </w:p>
    <w:p w:rsidR="000A309B" w:rsidRPr="005E42A2" w:rsidRDefault="000A309B" w:rsidP="000A309B">
      <w:pPr>
        <w:rPr>
          <w:b/>
          <w:lang w:val="en-US"/>
        </w:rPr>
      </w:pPr>
      <w:r w:rsidRPr="005E42A2">
        <w:rPr>
          <w:b/>
          <w:lang w:val="en-US"/>
        </w:rPr>
        <w:t>ASAMPSA_E Project management group (PMG)</w:t>
      </w:r>
    </w:p>
    <w:p w:rsidR="000A309B" w:rsidRPr="005E42A2" w:rsidRDefault="000A309B" w:rsidP="000A309B">
      <w:pPr>
        <w:rPr>
          <w:smallCaps/>
          <w:lang w:val="en-US"/>
        </w:rPr>
      </w:pPr>
    </w:p>
    <w:tbl>
      <w:tblPr>
        <w:tblW w:w="0" w:type="auto"/>
        <w:tblInd w:w="70" w:type="dxa"/>
        <w:tblCellMar>
          <w:left w:w="70" w:type="dxa"/>
          <w:right w:w="70" w:type="dxa"/>
        </w:tblCellMar>
        <w:tblLook w:val="04A0" w:firstRow="1" w:lastRow="0" w:firstColumn="1" w:lastColumn="0" w:noHBand="0" w:noVBand="1"/>
      </w:tblPr>
      <w:tblGrid>
        <w:gridCol w:w="982"/>
        <w:gridCol w:w="940"/>
        <w:gridCol w:w="1392"/>
        <w:gridCol w:w="3632"/>
      </w:tblGrid>
      <w:tr w:rsidR="000A309B" w:rsidRPr="004819BA" w:rsidTr="00E62976">
        <w:trPr>
          <w:trHeight w:val="300"/>
        </w:trPr>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309B" w:rsidRPr="004819BA" w:rsidRDefault="000A309B" w:rsidP="004819BA">
            <w:pPr>
              <w:spacing w:line="240" w:lineRule="auto"/>
              <w:jc w:val="center"/>
              <w:rPr>
                <w:rFonts w:cs="Arial"/>
                <w:b/>
                <w:bCs/>
                <w:sz w:val="16"/>
                <w:szCs w:val="16"/>
              </w:rPr>
            </w:pPr>
            <w:r w:rsidRPr="004819BA">
              <w:rPr>
                <w:rFonts w:cs="Arial"/>
                <w:b/>
                <w:bCs/>
                <w:sz w:val="16"/>
                <w:szCs w:val="16"/>
              </w:rPr>
              <w:t>Name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309B" w:rsidRPr="004819BA" w:rsidRDefault="000A309B" w:rsidP="004819BA">
            <w:pPr>
              <w:spacing w:line="240" w:lineRule="auto"/>
              <w:jc w:val="center"/>
              <w:rPr>
                <w:rFonts w:cs="Arial"/>
                <w:b/>
                <w:bCs/>
                <w:sz w:val="16"/>
                <w:szCs w:val="16"/>
              </w:rPr>
            </w:pPr>
            <w:r w:rsidRPr="004819BA">
              <w:rPr>
                <w:rFonts w:cs="Arial"/>
                <w:b/>
                <w:bCs/>
                <w:sz w:val="16"/>
                <w:szCs w:val="16"/>
              </w:rPr>
              <w:t>First name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A309B" w:rsidRPr="004819BA" w:rsidRDefault="000A309B" w:rsidP="004819BA">
            <w:pPr>
              <w:spacing w:line="240" w:lineRule="auto"/>
              <w:jc w:val="center"/>
              <w:rPr>
                <w:rFonts w:cs="Arial"/>
                <w:b/>
                <w:bCs/>
                <w:sz w:val="16"/>
                <w:szCs w:val="16"/>
              </w:rPr>
            </w:pPr>
            <w:r w:rsidRPr="004819BA">
              <w:rPr>
                <w:rFonts w:cs="Arial"/>
                <w:b/>
                <w:bCs/>
                <w:sz w:val="16"/>
                <w:szCs w:val="16"/>
              </w:rPr>
              <w:t>Organization</w:t>
            </w:r>
          </w:p>
        </w:tc>
        <w:tc>
          <w:tcPr>
            <w:tcW w:w="3632" w:type="dxa"/>
            <w:tcBorders>
              <w:top w:val="single" w:sz="4" w:space="0" w:color="auto"/>
              <w:left w:val="single" w:sz="4" w:space="0" w:color="auto"/>
              <w:bottom w:val="single" w:sz="4" w:space="0" w:color="auto"/>
              <w:right w:val="single" w:sz="4" w:space="0" w:color="auto"/>
            </w:tcBorders>
          </w:tcPr>
          <w:p w:rsidR="000A309B" w:rsidRPr="004819BA" w:rsidRDefault="000A309B" w:rsidP="004819BA">
            <w:pPr>
              <w:spacing w:line="240" w:lineRule="auto"/>
              <w:jc w:val="center"/>
              <w:rPr>
                <w:rFonts w:cs="Arial"/>
                <w:b/>
                <w:bCs/>
                <w:sz w:val="16"/>
                <w:szCs w:val="16"/>
              </w:rPr>
            </w:pPr>
          </w:p>
        </w:tc>
      </w:tr>
      <w:tr w:rsidR="000A309B" w:rsidRPr="004819BA" w:rsidTr="00E62976">
        <w:trPr>
          <w:trHeight w:val="300"/>
        </w:trPr>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309B" w:rsidRPr="004819BA" w:rsidRDefault="000A309B" w:rsidP="004819BA">
            <w:pPr>
              <w:spacing w:line="240" w:lineRule="auto"/>
              <w:jc w:val="left"/>
              <w:rPr>
                <w:rFonts w:cs="Arial"/>
                <w:bCs/>
                <w:sz w:val="16"/>
                <w:szCs w:val="16"/>
              </w:rPr>
            </w:pPr>
            <w:r w:rsidRPr="004819BA">
              <w:rPr>
                <w:rFonts w:cs="Arial"/>
                <w:bCs/>
                <w:sz w:val="16"/>
                <w:szCs w:val="16"/>
              </w:rPr>
              <w:t>Raimond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309B" w:rsidRPr="004819BA" w:rsidRDefault="000A309B" w:rsidP="004819BA">
            <w:pPr>
              <w:spacing w:line="240" w:lineRule="auto"/>
              <w:jc w:val="left"/>
              <w:rPr>
                <w:rFonts w:cs="Arial"/>
                <w:bCs/>
                <w:sz w:val="16"/>
                <w:szCs w:val="16"/>
              </w:rPr>
            </w:pPr>
            <w:r w:rsidRPr="004819BA">
              <w:rPr>
                <w:rFonts w:cs="Arial"/>
                <w:bCs/>
                <w:sz w:val="16"/>
                <w:szCs w:val="16"/>
              </w:rPr>
              <w:t>Emmanuel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A309B" w:rsidRPr="004819BA" w:rsidRDefault="000A309B" w:rsidP="004819BA">
            <w:pPr>
              <w:spacing w:line="240" w:lineRule="auto"/>
              <w:jc w:val="left"/>
              <w:rPr>
                <w:rFonts w:cs="Arial"/>
                <w:bCs/>
                <w:sz w:val="16"/>
                <w:szCs w:val="16"/>
              </w:rPr>
            </w:pPr>
            <w:r w:rsidRPr="004819BA">
              <w:rPr>
                <w:rFonts w:cs="Arial"/>
                <w:bCs/>
                <w:sz w:val="16"/>
                <w:szCs w:val="16"/>
              </w:rPr>
              <w:t>IRSN</w:t>
            </w:r>
          </w:p>
        </w:tc>
        <w:tc>
          <w:tcPr>
            <w:tcW w:w="3632" w:type="dxa"/>
            <w:tcBorders>
              <w:top w:val="single" w:sz="4" w:space="0" w:color="auto"/>
              <w:left w:val="single" w:sz="4" w:space="0" w:color="auto"/>
              <w:bottom w:val="single" w:sz="4" w:space="0" w:color="auto"/>
              <w:right w:val="single" w:sz="4" w:space="0" w:color="auto"/>
            </w:tcBorders>
          </w:tcPr>
          <w:p w:rsidR="000A309B" w:rsidRPr="004819BA" w:rsidRDefault="000A309B" w:rsidP="004819BA">
            <w:pPr>
              <w:spacing w:line="240" w:lineRule="auto"/>
              <w:jc w:val="left"/>
              <w:rPr>
                <w:rFonts w:cs="Arial"/>
                <w:bCs/>
                <w:sz w:val="16"/>
                <w:szCs w:val="16"/>
              </w:rPr>
            </w:pPr>
            <w:r w:rsidRPr="004819BA">
              <w:rPr>
                <w:rFonts w:cs="Arial"/>
                <w:bCs/>
                <w:sz w:val="16"/>
                <w:szCs w:val="16"/>
              </w:rPr>
              <w:t>Project coordinator</w:t>
            </w:r>
          </w:p>
        </w:tc>
      </w:tr>
      <w:tr w:rsidR="000A309B" w:rsidRPr="004819BA" w:rsidTr="00E62976">
        <w:trPr>
          <w:trHeight w:val="300"/>
        </w:trPr>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309B" w:rsidRPr="004819BA" w:rsidRDefault="000A309B" w:rsidP="004819BA">
            <w:pPr>
              <w:spacing w:line="240" w:lineRule="auto"/>
              <w:jc w:val="left"/>
              <w:rPr>
                <w:rFonts w:cs="Arial"/>
                <w:bCs/>
                <w:sz w:val="16"/>
                <w:szCs w:val="16"/>
              </w:rPr>
            </w:pPr>
            <w:r w:rsidRPr="004819BA">
              <w:rPr>
                <w:rFonts w:cs="Arial"/>
                <w:bCs/>
                <w:sz w:val="16"/>
                <w:szCs w:val="16"/>
              </w:rPr>
              <w:t>Guigueno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0A309B" w:rsidRPr="004819BA" w:rsidRDefault="000A309B" w:rsidP="004819BA">
            <w:pPr>
              <w:spacing w:line="240" w:lineRule="auto"/>
              <w:jc w:val="left"/>
              <w:rPr>
                <w:rFonts w:cs="Arial"/>
                <w:bCs/>
                <w:sz w:val="16"/>
                <w:szCs w:val="16"/>
              </w:rPr>
            </w:pPr>
            <w:r w:rsidRPr="004819BA">
              <w:rPr>
                <w:rFonts w:cs="Arial"/>
                <w:bCs/>
                <w:sz w:val="16"/>
                <w:szCs w:val="16"/>
              </w:rPr>
              <w:t>Yves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A309B" w:rsidRPr="004819BA" w:rsidRDefault="000A309B" w:rsidP="004819BA">
            <w:pPr>
              <w:spacing w:line="240" w:lineRule="auto"/>
              <w:jc w:val="left"/>
              <w:rPr>
                <w:rFonts w:cs="Arial"/>
                <w:bCs/>
                <w:sz w:val="16"/>
                <w:szCs w:val="16"/>
              </w:rPr>
            </w:pPr>
            <w:r w:rsidRPr="004819BA">
              <w:rPr>
                <w:rFonts w:cs="Arial"/>
                <w:bCs/>
                <w:sz w:val="16"/>
                <w:szCs w:val="16"/>
              </w:rPr>
              <w:t>IRSN</w:t>
            </w:r>
          </w:p>
        </w:tc>
        <w:tc>
          <w:tcPr>
            <w:tcW w:w="3632" w:type="dxa"/>
            <w:tcBorders>
              <w:top w:val="single" w:sz="4" w:space="0" w:color="auto"/>
              <w:left w:val="single" w:sz="4" w:space="0" w:color="auto"/>
              <w:bottom w:val="single" w:sz="4" w:space="0" w:color="auto"/>
              <w:right w:val="single" w:sz="4" w:space="0" w:color="auto"/>
            </w:tcBorders>
          </w:tcPr>
          <w:p w:rsidR="000A309B" w:rsidRPr="004819BA" w:rsidRDefault="000A309B" w:rsidP="004819BA">
            <w:pPr>
              <w:spacing w:line="240" w:lineRule="auto"/>
              <w:jc w:val="left"/>
              <w:rPr>
                <w:rFonts w:cs="Arial"/>
                <w:bCs/>
                <w:sz w:val="16"/>
                <w:szCs w:val="16"/>
              </w:rPr>
            </w:pPr>
            <w:r w:rsidRPr="004819BA">
              <w:rPr>
                <w:rFonts w:cs="Arial"/>
                <w:bCs/>
                <w:sz w:val="16"/>
                <w:szCs w:val="16"/>
              </w:rPr>
              <w:t>WP10 coordinator</w:t>
            </w:r>
          </w:p>
        </w:tc>
      </w:tr>
      <w:tr w:rsidR="000A309B" w:rsidRPr="004819BA" w:rsidTr="00E62976">
        <w:trPr>
          <w:trHeight w:val="300"/>
        </w:trPr>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309B" w:rsidRPr="004819BA" w:rsidRDefault="000A309B" w:rsidP="004819BA">
            <w:pPr>
              <w:spacing w:line="240" w:lineRule="auto"/>
              <w:jc w:val="left"/>
              <w:rPr>
                <w:rFonts w:cs="Arial"/>
                <w:bCs/>
                <w:sz w:val="16"/>
                <w:szCs w:val="16"/>
              </w:rPr>
            </w:pPr>
            <w:r w:rsidRPr="004819BA">
              <w:rPr>
                <w:rFonts w:cs="Arial"/>
                <w:bCs/>
                <w:sz w:val="16"/>
                <w:szCs w:val="16"/>
              </w:rPr>
              <w:t>Decker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309B" w:rsidRPr="004819BA" w:rsidRDefault="000A309B" w:rsidP="004819BA">
            <w:pPr>
              <w:spacing w:line="240" w:lineRule="auto"/>
              <w:jc w:val="left"/>
              <w:rPr>
                <w:rFonts w:cs="Arial"/>
                <w:bCs/>
                <w:sz w:val="16"/>
                <w:szCs w:val="16"/>
              </w:rPr>
            </w:pPr>
            <w:r w:rsidRPr="004819BA">
              <w:rPr>
                <w:rFonts w:cs="Arial"/>
                <w:bCs/>
                <w:sz w:val="16"/>
                <w:szCs w:val="16"/>
              </w:rPr>
              <w:t>Kurt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A309B" w:rsidRPr="004819BA" w:rsidRDefault="000A309B" w:rsidP="004819BA">
            <w:pPr>
              <w:spacing w:line="240" w:lineRule="auto"/>
              <w:jc w:val="left"/>
              <w:rPr>
                <w:rFonts w:cs="Arial"/>
                <w:bCs/>
                <w:sz w:val="16"/>
                <w:szCs w:val="16"/>
              </w:rPr>
            </w:pPr>
            <w:r w:rsidRPr="004819BA">
              <w:rPr>
                <w:rFonts w:cs="Arial"/>
                <w:bCs/>
                <w:sz w:val="16"/>
                <w:szCs w:val="16"/>
              </w:rPr>
              <w:t>Vienna University</w:t>
            </w:r>
          </w:p>
        </w:tc>
        <w:tc>
          <w:tcPr>
            <w:tcW w:w="3632" w:type="dxa"/>
            <w:tcBorders>
              <w:top w:val="single" w:sz="4" w:space="0" w:color="auto"/>
              <w:left w:val="single" w:sz="4" w:space="0" w:color="auto"/>
              <w:bottom w:val="single" w:sz="4" w:space="0" w:color="auto"/>
              <w:right w:val="single" w:sz="4" w:space="0" w:color="auto"/>
            </w:tcBorders>
          </w:tcPr>
          <w:p w:rsidR="000A309B" w:rsidRPr="004819BA" w:rsidRDefault="000A309B" w:rsidP="004819BA">
            <w:pPr>
              <w:spacing w:line="240" w:lineRule="auto"/>
              <w:jc w:val="left"/>
              <w:rPr>
                <w:rFonts w:cs="Arial"/>
                <w:bCs/>
                <w:sz w:val="16"/>
                <w:szCs w:val="16"/>
              </w:rPr>
            </w:pPr>
            <w:r w:rsidRPr="004819BA">
              <w:rPr>
                <w:rFonts w:cs="Arial"/>
                <w:bCs/>
                <w:sz w:val="16"/>
                <w:szCs w:val="16"/>
              </w:rPr>
              <w:t>WP21 coordinator</w:t>
            </w:r>
          </w:p>
        </w:tc>
      </w:tr>
      <w:tr w:rsidR="000A309B" w:rsidRPr="004819BA" w:rsidTr="00E62976">
        <w:trPr>
          <w:trHeight w:val="300"/>
        </w:trPr>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309B" w:rsidRPr="004819BA" w:rsidRDefault="000A309B" w:rsidP="004819BA">
            <w:pPr>
              <w:spacing w:line="240" w:lineRule="auto"/>
              <w:jc w:val="left"/>
              <w:rPr>
                <w:rFonts w:cs="Arial"/>
                <w:bCs/>
                <w:sz w:val="16"/>
                <w:szCs w:val="16"/>
              </w:rPr>
            </w:pPr>
            <w:r w:rsidRPr="004819BA">
              <w:rPr>
                <w:rFonts w:cs="Arial"/>
                <w:bCs/>
                <w:sz w:val="16"/>
                <w:szCs w:val="16"/>
              </w:rPr>
              <w:t>Klug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0A309B" w:rsidRPr="004819BA" w:rsidRDefault="000A309B" w:rsidP="004819BA">
            <w:pPr>
              <w:spacing w:line="240" w:lineRule="auto"/>
              <w:jc w:val="left"/>
              <w:rPr>
                <w:rFonts w:cs="Arial"/>
                <w:bCs/>
                <w:sz w:val="16"/>
                <w:szCs w:val="16"/>
              </w:rPr>
            </w:pPr>
            <w:r w:rsidRPr="004819BA">
              <w:rPr>
                <w:rFonts w:cs="Arial"/>
                <w:bCs/>
                <w:sz w:val="16"/>
                <w:szCs w:val="16"/>
              </w:rPr>
              <w:t>Joakim</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A309B" w:rsidRPr="004819BA" w:rsidRDefault="000A309B" w:rsidP="004819BA">
            <w:pPr>
              <w:spacing w:line="240" w:lineRule="auto"/>
              <w:jc w:val="left"/>
              <w:rPr>
                <w:rFonts w:cs="Arial"/>
                <w:bCs/>
                <w:sz w:val="16"/>
                <w:szCs w:val="16"/>
              </w:rPr>
            </w:pPr>
            <w:r w:rsidRPr="004819BA">
              <w:rPr>
                <w:rFonts w:cs="Arial"/>
                <w:bCs/>
                <w:sz w:val="16"/>
                <w:szCs w:val="16"/>
              </w:rPr>
              <w:t>LRC</w:t>
            </w:r>
          </w:p>
        </w:tc>
        <w:tc>
          <w:tcPr>
            <w:tcW w:w="3632" w:type="dxa"/>
            <w:tcBorders>
              <w:top w:val="single" w:sz="4" w:space="0" w:color="auto"/>
              <w:left w:val="single" w:sz="4" w:space="0" w:color="auto"/>
              <w:bottom w:val="single" w:sz="4" w:space="0" w:color="auto"/>
              <w:right w:val="single" w:sz="4" w:space="0" w:color="auto"/>
            </w:tcBorders>
          </w:tcPr>
          <w:p w:rsidR="000A309B" w:rsidRPr="004819BA" w:rsidRDefault="000A309B" w:rsidP="004819BA">
            <w:pPr>
              <w:spacing w:line="240" w:lineRule="auto"/>
              <w:jc w:val="left"/>
              <w:rPr>
                <w:rFonts w:cs="Arial"/>
                <w:bCs/>
                <w:sz w:val="16"/>
                <w:szCs w:val="16"/>
              </w:rPr>
            </w:pPr>
            <w:r w:rsidRPr="004819BA">
              <w:rPr>
                <w:rFonts w:cs="Arial"/>
                <w:bCs/>
                <w:sz w:val="16"/>
                <w:szCs w:val="16"/>
              </w:rPr>
              <w:t>WP22 coordinator until 2015-10-31</w:t>
            </w:r>
          </w:p>
        </w:tc>
      </w:tr>
      <w:tr w:rsidR="000A309B" w:rsidRPr="004819BA" w:rsidTr="00E62976">
        <w:trPr>
          <w:trHeight w:val="300"/>
        </w:trPr>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309B" w:rsidRPr="004819BA" w:rsidRDefault="000A309B" w:rsidP="004819BA">
            <w:pPr>
              <w:spacing w:line="240" w:lineRule="auto"/>
              <w:jc w:val="left"/>
              <w:rPr>
                <w:rFonts w:cs="Arial"/>
                <w:bCs/>
                <w:sz w:val="16"/>
                <w:szCs w:val="16"/>
              </w:rPr>
            </w:pPr>
            <w:r w:rsidRPr="004819BA">
              <w:rPr>
                <w:rFonts w:cs="Arial"/>
                <w:bCs/>
                <w:sz w:val="16"/>
                <w:szCs w:val="16"/>
              </w:rPr>
              <w:t>Kumar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0A309B" w:rsidRPr="004819BA" w:rsidRDefault="000A309B" w:rsidP="004819BA">
            <w:pPr>
              <w:spacing w:line="240" w:lineRule="auto"/>
              <w:jc w:val="left"/>
              <w:rPr>
                <w:rFonts w:cs="Arial"/>
                <w:bCs/>
                <w:sz w:val="16"/>
                <w:szCs w:val="16"/>
              </w:rPr>
            </w:pPr>
            <w:r w:rsidRPr="004819BA">
              <w:rPr>
                <w:rFonts w:cs="Arial"/>
                <w:bCs/>
                <w:sz w:val="16"/>
                <w:szCs w:val="16"/>
              </w:rPr>
              <w:t>Manorma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A309B" w:rsidRPr="004819BA" w:rsidRDefault="000A309B" w:rsidP="004819BA">
            <w:pPr>
              <w:spacing w:line="240" w:lineRule="auto"/>
              <w:jc w:val="left"/>
              <w:rPr>
                <w:rFonts w:cs="Arial"/>
                <w:bCs/>
                <w:sz w:val="16"/>
                <w:szCs w:val="16"/>
              </w:rPr>
            </w:pPr>
            <w:r w:rsidRPr="004819BA">
              <w:rPr>
                <w:rFonts w:cs="Arial"/>
                <w:bCs/>
                <w:sz w:val="16"/>
                <w:szCs w:val="16"/>
              </w:rPr>
              <w:t>LRC</w:t>
            </w:r>
          </w:p>
        </w:tc>
        <w:tc>
          <w:tcPr>
            <w:tcW w:w="3632" w:type="dxa"/>
            <w:tcBorders>
              <w:top w:val="single" w:sz="4" w:space="0" w:color="auto"/>
              <w:left w:val="single" w:sz="4" w:space="0" w:color="auto"/>
              <w:bottom w:val="single" w:sz="4" w:space="0" w:color="auto"/>
              <w:right w:val="single" w:sz="4" w:space="0" w:color="auto"/>
            </w:tcBorders>
          </w:tcPr>
          <w:p w:rsidR="000A309B" w:rsidRPr="004819BA" w:rsidRDefault="000A309B" w:rsidP="004819BA">
            <w:pPr>
              <w:spacing w:line="240" w:lineRule="auto"/>
              <w:jc w:val="left"/>
              <w:rPr>
                <w:rFonts w:cs="Arial"/>
                <w:bCs/>
                <w:sz w:val="16"/>
                <w:szCs w:val="16"/>
              </w:rPr>
            </w:pPr>
            <w:r w:rsidRPr="004819BA">
              <w:rPr>
                <w:rFonts w:cs="Arial"/>
                <w:bCs/>
                <w:sz w:val="16"/>
                <w:szCs w:val="16"/>
              </w:rPr>
              <w:t>WP22 coordinator after 2015-10-31</w:t>
            </w:r>
          </w:p>
        </w:tc>
      </w:tr>
      <w:tr w:rsidR="000A309B" w:rsidRPr="004819BA" w:rsidTr="00E62976">
        <w:trPr>
          <w:trHeight w:val="300"/>
        </w:trPr>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309B" w:rsidRPr="004819BA" w:rsidRDefault="000A309B" w:rsidP="004819BA">
            <w:pPr>
              <w:spacing w:line="240" w:lineRule="auto"/>
              <w:jc w:val="left"/>
              <w:rPr>
                <w:rFonts w:cs="Arial"/>
                <w:bCs/>
                <w:sz w:val="16"/>
                <w:szCs w:val="16"/>
              </w:rPr>
            </w:pPr>
            <w:r w:rsidRPr="004819BA">
              <w:rPr>
                <w:rFonts w:cs="Arial"/>
                <w:bCs/>
                <w:sz w:val="16"/>
                <w:szCs w:val="16"/>
              </w:rPr>
              <w:t>Wielenberg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0A309B" w:rsidRPr="004819BA" w:rsidRDefault="000A309B" w:rsidP="004819BA">
            <w:pPr>
              <w:spacing w:line="240" w:lineRule="auto"/>
              <w:jc w:val="left"/>
              <w:rPr>
                <w:rFonts w:cs="Arial"/>
                <w:bCs/>
                <w:sz w:val="16"/>
                <w:szCs w:val="16"/>
              </w:rPr>
            </w:pPr>
            <w:r w:rsidRPr="004819BA">
              <w:rPr>
                <w:rFonts w:cs="Arial"/>
                <w:bCs/>
                <w:sz w:val="16"/>
                <w:szCs w:val="16"/>
              </w:rPr>
              <w:t>Andreas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A309B" w:rsidRPr="004819BA" w:rsidRDefault="000A309B" w:rsidP="004819BA">
            <w:pPr>
              <w:spacing w:line="240" w:lineRule="auto"/>
              <w:jc w:val="left"/>
              <w:rPr>
                <w:rFonts w:cs="Arial"/>
                <w:bCs/>
                <w:sz w:val="16"/>
                <w:szCs w:val="16"/>
              </w:rPr>
            </w:pPr>
            <w:r w:rsidRPr="004819BA">
              <w:rPr>
                <w:rFonts w:cs="Arial"/>
                <w:bCs/>
                <w:sz w:val="16"/>
                <w:szCs w:val="16"/>
              </w:rPr>
              <w:t>GRS</w:t>
            </w:r>
          </w:p>
        </w:tc>
        <w:tc>
          <w:tcPr>
            <w:tcW w:w="3632" w:type="dxa"/>
            <w:tcBorders>
              <w:top w:val="single" w:sz="4" w:space="0" w:color="auto"/>
              <w:left w:val="single" w:sz="4" w:space="0" w:color="auto"/>
              <w:bottom w:val="single" w:sz="4" w:space="0" w:color="auto"/>
              <w:right w:val="single" w:sz="4" w:space="0" w:color="auto"/>
            </w:tcBorders>
            <w:vAlign w:val="center"/>
          </w:tcPr>
          <w:p w:rsidR="000A309B" w:rsidRPr="004819BA" w:rsidRDefault="000A309B" w:rsidP="004819BA">
            <w:pPr>
              <w:spacing w:line="240" w:lineRule="auto"/>
              <w:jc w:val="left"/>
              <w:rPr>
                <w:rFonts w:cs="Arial"/>
                <w:bCs/>
                <w:sz w:val="16"/>
                <w:szCs w:val="16"/>
              </w:rPr>
            </w:pPr>
            <w:r w:rsidRPr="004819BA">
              <w:rPr>
                <w:rFonts w:cs="Arial"/>
                <w:bCs/>
                <w:sz w:val="16"/>
                <w:szCs w:val="16"/>
              </w:rPr>
              <w:t>WP30 coordinator until 2016-03-31</w:t>
            </w:r>
          </w:p>
        </w:tc>
      </w:tr>
      <w:tr w:rsidR="000A309B" w:rsidRPr="004819BA" w:rsidTr="00E62976">
        <w:trPr>
          <w:trHeight w:val="300"/>
        </w:trPr>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309B" w:rsidRPr="004819BA" w:rsidRDefault="000A309B" w:rsidP="004819BA">
            <w:pPr>
              <w:spacing w:line="240" w:lineRule="auto"/>
              <w:jc w:val="left"/>
              <w:rPr>
                <w:rFonts w:cs="Arial"/>
                <w:bCs/>
                <w:sz w:val="16"/>
                <w:szCs w:val="16"/>
              </w:rPr>
            </w:pPr>
            <w:r w:rsidRPr="004819BA">
              <w:rPr>
                <w:rFonts w:cs="Arial"/>
                <w:bCs/>
                <w:sz w:val="16"/>
                <w:szCs w:val="16"/>
              </w:rPr>
              <w:t>Löffler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0A309B" w:rsidRPr="004819BA" w:rsidRDefault="000A309B" w:rsidP="004819BA">
            <w:pPr>
              <w:spacing w:line="240" w:lineRule="auto"/>
              <w:jc w:val="left"/>
              <w:rPr>
                <w:rFonts w:cs="Arial"/>
                <w:bCs/>
                <w:sz w:val="16"/>
                <w:szCs w:val="16"/>
              </w:rPr>
            </w:pPr>
            <w:r w:rsidRPr="004819BA">
              <w:rPr>
                <w:rFonts w:cs="Arial"/>
                <w:bCs/>
                <w:sz w:val="16"/>
                <w:szCs w:val="16"/>
              </w:rPr>
              <w:t>Horst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A309B" w:rsidRPr="004819BA" w:rsidRDefault="000A309B" w:rsidP="004819BA">
            <w:pPr>
              <w:spacing w:line="240" w:lineRule="auto"/>
              <w:jc w:val="left"/>
              <w:rPr>
                <w:rFonts w:cs="Arial"/>
                <w:bCs/>
                <w:sz w:val="16"/>
                <w:szCs w:val="16"/>
              </w:rPr>
            </w:pPr>
            <w:r w:rsidRPr="004819BA">
              <w:rPr>
                <w:rFonts w:cs="Arial"/>
                <w:bCs/>
                <w:sz w:val="16"/>
                <w:szCs w:val="16"/>
              </w:rPr>
              <w:t>GRS</w:t>
            </w:r>
          </w:p>
        </w:tc>
        <w:tc>
          <w:tcPr>
            <w:tcW w:w="3632" w:type="dxa"/>
            <w:tcBorders>
              <w:top w:val="single" w:sz="4" w:space="0" w:color="auto"/>
              <w:left w:val="single" w:sz="4" w:space="0" w:color="auto"/>
              <w:bottom w:val="single" w:sz="4" w:space="0" w:color="auto"/>
              <w:right w:val="single" w:sz="4" w:space="0" w:color="auto"/>
            </w:tcBorders>
            <w:vAlign w:val="center"/>
          </w:tcPr>
          <w:p w:rsidR="000A309B" w:rsidRPr="004819BA" w:rsidRDefault="000A309B" w:rsidP="004819BA">
            <w:pPr>
              <w:spacing w:line="240" w:lineRule="auto"/>
              <w:jc w:val="left"/>
              <w:rPr>
                <w:rFonts w:cs="Arial"/>
                <w:bCs/>
                <w:sz w:val="16"/>
                <w:szCs w:val="16"/>
                <w:lang w:val="en-US"/>
              </w:rPr>
            </w:pPr>
            <w:r w:rsidRPr="004819BA">
              <w:rPr>
                <w:rFonts w:cs="Arial"/>
                <w:bCs/>
                <w:sz w:val="16"/>
                <w:szCs w:val="16"/>
                <w:lang w:val="en-US"/>
              </w:rPr>
              <w:t>WP40 coordinator</w:t>
            </w:r>
          </w:p>
          <w:p w:rsidR="000A309B" w:rsidRPr="004819BA" w:rsidRDefault="000A309B" w:rsidP="004819BA">
            <w:pPr>
              <w:spacing w:line="240" w:lineRule="auto"/>
              <w:jc w:val="left"/>
              <w:rPr>
                <w:rFonts w:cs="Arial"/>
                <w:bCs/>
                <w:sz w:val="16"/>
                <w:szCs w:val="16"/>
                <w:lang w:val="en-US"/>
              </w:rPr>
            </w:pPr>
            <w:r w:rsidRPr="004819BA">
              <w:rPr>
                <w:rFonts w:cs="Arial"/>
                <w:bCs/>
                <w:sz w:val="16"/>
                <w:szCs w:val="16"/>
                <w:lang w:val="en-US"/>
              </w:rPr>
              <w:t>WP30 coordinator after 2016-04-01</w:t>
            </w:r>
          </w:p>
        </w:tc>
      </w:tr>
    </w:tbl>
    <w:p w:rsidR="000A309B" w:rsidRDefault="000A309B">
      <w:pPr>
        <w:rPr>
          <w:lang w:val="en-US"/>
        </w:rPr>
      </w:pPr>
    </w:p>
    <w:p w:rsidR="000A309B" w:rsidRDefault="000A309B">
      <w:pPr>
        <w:rPr>
          <w:lang w:val="en-US"/>
        </w:rPr>
        <w:sectPr w:rsidR="000A309B" w:rsidSect="00E62976">
          <w:type w:val="continuous"/>
          <w:pgSz w:w="11907" w:h="16840" w:code="9"/>
          <w:pgMar w:top="1304" w:right="1134" w:bottom="1588" w:left="567" w:header="567" w:footer="0" w:gutter="851"/>
          <w:cols w:space="380"/>
          <w:noEndnote/>
        </w:sectPr>
      </w:pPr>
    </w:p>
    <w:p w:rsidR="003A5817" w:rsidRDefault="003A5817" w:rsidP="003A5817">
      <w:pPr>
        <w:rPr>
          <w:b/>
          <w:lang w:val="en-US"/>
        </w:rPr>
      </w:pPr>
      <w:r w:rsidRPr="009803F6">
        <w:rPr>
          <w:b/>
          <w:lang w:val="en-US"/>
        </w:rPr>
        <w:t>REPRESENTATIVES OF ASAMPSA_E PARTNERS</w:t>
      </w:r>
    </w:p>
    <w:p w:rsidR="00AD7F9D" w:rsidRPr="009803F6" w:rsidRDefault="00AD7F9D" w:rsidP="003A5817">
      <w:pPr>
        <w:rPr>
          <w:b/>
          <w:lang w:val="en-US"/>
        </w:rPr>
      </w:pPr>
    </w:p>
    <w:tbl>
      <w:tblPr>
        <w:tblW w:w="0" w:type="auto"/>
        <w:tblCellMar>
          <w:left w:w="70" w:type="dxa"/>
          <w:right w:w="70" w:type="dxa"/>
        </w:tblCellMar>
        <w:tblLook w:val="04A0" w:firstRow="1" w:lastRow="0" w:firstColumn="1" w:lastColumn="0" w:noHBand="0" w:noVBand="1"/>
      </w:tblPr>
      <w:tblGrid>
        <w:gridCol w:w="1156"/>
        <w:gridCol w:w="1496"/>
        <w:gridCol w:w="1095"/>
      </w:tblGrid>
      <w:tr w:rsidR="000D3D4D" w:rsidRPr="000E7B29" w:rsidTr="00E62976">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1869" w:rsidRPr="00E62976" w:rsidRDefault="00861869" w:rsidP="00E62976">
            <w:pPr>
              <w:spacing w:line="240" w:lineRule="auto"/>
              <w:jc w:val="center"/>
              <w:rPr>
                <w:rFonts w:cs="Arial"/>
                <w:b/>
                <w:bCs/>
                <w:sz w:val="16"/>
                <w:szCs w:val="16"/>
              </w:rPr>
            </w:pPr>
            <w:r w:rsidRPr="00E62976">
              <w:rPr>
                <w:rFonts w:cs="Arial"/>
                <w:b/>
                <w:bCs/>
                <w:sz w:val="16"/>
                <w:szCs w:val="16"/>
              </w:rPr>
              <w:t>Name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1869" w:rsidRPr="00E62976" w:rsidRDefault="00861869" w:rsidP="00E62976">
            <w:pPr>
              <w:spacing w:line="240" w:lineRule="auto"/>
              <w:jc w:val="center"/>
              <w:rPr>
                <w:rFonts w:cs="Arial"/>
                <w:b/>
                <w:bCs/>
                <w:sz w:val="16"/>
                <w:szCs w:val="16"/>
              </w:rPr>
            </w:pPr>
            <w:r w:rsidRPr="00E62976">
              <w:rPr>
                <w:rFonts w:cs="Arial"/>
                <w:b/>
                <w:bCs/>
                <w:sz w:val="16"/>
                <w:szCs w:val="16"/>
              </w:rPr>
              <w:t>First name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1869" w:rsidRPr="00E62976" w:rsidRDefault="00861869" w:rsidP="00E62976">
            <w:pPr>
              <w:spacing w:line="240" w:lineRule="auto"/>
              <w:jc w:val="center"/>
              <w:rPr>
                <w:rFonts w:cs="Arial"/>
                <w:b/>
                <w:bCs/>
                <w:sz w:val="16"/>
                <w:szCs w:val="16"/>
              </w:rPr>
            </w:pPr>
            <w:r w:rsidRPr="00E62976">
              <w:rPr>
                <w:rFonts w:cs="Arial"/>
                <w:b/>
                <w:bCs/>
                <w:sz w:val="16"/>
                <w:szCs w:val="16"/>
              </w:rPr>
              <w:t>Organization</w:t>
            </w:r>
          </w:p>
        </w:tc>
      </w:tr>
      <w:tr w:rsidR="002A050B" w:rsidRPr="000E7B29" w:rsidTr="00E62976">
        <w:trPr>
          <w:trHeight w:val="20"/>
        </w:trPr>
        <w:tc>
          <w:tcPr>
            <w:tcW w:w="0" w:type="auto"/>
            <w:tcBorders>
              <w:top w:val="nil"/>
              <w:left w:val="single" w:sz="4" w:space="0" w:color="auto"/>
              <w:bottom w:val="nil"/>
              <w:right w:val="nil"/>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Mustoe</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Julian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1869" w:rsidRPr="00E62976" w:rsidRDefault="00861869" w:rsidP="00E62976">
            <w:pPr>
              <w:spacing w:line="240" w:lineRule="auto"/>
              <w:jc w:val="center"/>
              <w:rPr>
                <w:rFonts w:cs="Arial"/>
                <w:bCs/>
                <w:sz w:val="16"/>
                <w:szCs w:val="16"/>
              </w:rPr>
            </w:pPr>
            <w:r w:rsidRPr="00E62976">
              <w:rPr>
                <w:sz w:val="16"/>
                <w:szCs w:val="16"/>
              </w:rPr>
              <w:t>AMEC NNC</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Grindon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Liz</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1869" w:rsidRPr="00E62976" w:rsidRDefault="00861869" w:rsidP="00E62976">
            <w:pPr>
              <w:spacing w:line="240" w:lineRule="auto"/>
              <w:jc w:val="center"/>
              <w:rPr>
                <w:rFonts w:cs="Arial"/>
                <w:bCs/>
                <w:sz w:val="16"/>
                <w:szCs w:val="16"/>
              </w:rPr>
            </w:pPr>
            <w:r w:rsidRPr="00E62976">
              <w:rPr>
                <w:sz w:val="16"/>
                <w:szCs w:val="16"/>
              </w:rPr>
              <w:t>AMEC NNC</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Pierre</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Cecile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1869" w:rsidRPr="00E62976" w:rsidRDefault="00861869" w:rsidP="00E62976">
            <w:pPr>
              <w:spacing w:line="240" w:lineRule="auto"/>
              <w:jc w:val="center"/>
              <w:rPr>
                <w:rFonts w:cs="Arial"/>
                <w:bCs/>
                <w:sz w:val="16"/>
                <w:szCs w:val="16"/>
              </w:rPr>
            </w:pPr>
            <w:r w:rsidRPr="00E62976">
              <w:rPr>
                <w:sz w:val="16"/>
                <w:szCs w:val="16"/>
              </w:rPr>
              <w:t>AREVA</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Godefroy</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Florian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1869" w:rsidRPr="00E62976" w:rsidRDefault="00861869" w:rsidP="00E62976">
            <w:pPr>
              <w:spacing w:line="240" w:lineRule="auto"/>
              <w:jc w:val="center"/>
              <w:rPr>
                <w:rFonts w:cs="Arial"/>
                <w:bCs/>
                <w:sz w:val="16"/>
                <w:szCs w:val="16"/>
              </w:rPr>
            </w:pPr>
            <w:r w:rsidRPr="00E62976">
              <w:rPr>
                <w:sz w:val="16"/>
                <w:szCs w:val="16"/>
              </w:rPr>
              <w:t>AREVA</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Dirksen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Gerben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1869" w:rsidRPr="00E62976" w:rsidRDefault="00861869" w:rsidP="00E62976">
            <w:pPr>
              <w:spacing w:line="240" w:lineRule="auto"/>
              <w:jc w:val="center"/>
              <w:rPr>
                <w:rFonts w:cs="Arial"/>
                <w:bCs/>
                <w:sz w:val="16"/>
                <w:szCs w:val="16"/>
              </w:rPr>
            </w:pPr>
            <w:r w:rsidRPr="00E62976">
              <w:rPr>
                <w:sz w:val="16"/>
                <w:szCs w:val="16"/>
              </w:rPr>
              <w:t>AREVA</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Kollasko</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Heiko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1869" w:rsidRPr="00E62976" w:rsidRDefault="00861869" w:rsidP="00E62976">
            <w:pPr>
              <w:spacing w:line="240" w:lineRule="auto"/>
              <w:jc w:val="center"/>
              <w:rPr>
                <w:rFonts w:cs="Arial"/>
                <w:bCs/>
                <w:sz w:val="16"/>
                <w:szCs w:val="16"/>
              </w:rPr>
            </w:pPr>
            <w:r w:rsidRPr="00E62976">
              <w:rPr>
                <w:sz w:val="16"/>
                <w:szCs w:val="16"/>
              </w:rPr>
              <w:t>AREVA</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Michaud</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Laurent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1869" w:rsidRPr="00E62976" w:rsidRDefault="00861869" w:rsidP="00E62976">
            <w:pPr>
              <w:spacing w:line="240" w:lineRule="auto"/>
              <w:jc w:val="center"/>
              <w:rPr>
                <w:rFonts w:cs="Arial"/>
                <w:bCs/>
                <w:sz w:val="16"/>
                <w:szCs w:val="16"/>
              </w:rPr>
            </w:pPr>
            <w:r w:rsidRPr="00E62976">
              <w:rPr>
                <w:sz w:val="16"/>
                <w:szCs w:val="16"/>
              </w:rPr>
              <w:t>AREVA</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Pellisseti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Manuel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1869" w:rsidRPr="00E62976" w:rsidRDefault="00861869" w:rsidP="00E62976">
            <w:pPr>
              <w:spacing w:line="240" w:lineRule="auto"/>
              <w:jc w:val="center"/>
              <w:rPr>
                <w:rFonts w:cs="Arial"/>
                <w:bCs/>
                <w:sz w:val="16"/>
                <w:szCs w:val="16"/>
              </w:rPr>
            </w:pPr>
            <w:r w:rsidRPr="00E62976">
              <w:rPr>
                <w:sz w:val="16"/>
                <w:szCs w:val="16"/>
              </w:rPr>
              <w:t>AREVA</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Cordoliani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Vincent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1869" w:rsidRPr="00E62976" w:rsidRDefault="00861869" w:rsidP="00E62976">
            <w:pPr>
              <w:spacing w:line="240" w:lineRule="auto"/>
              <w:jc w:val="center"/>
              <w:rPr>
                <w:rFonts w:cs="Arial"/>
                <w:bCs/>
                <w:sz w:val="16"/>
                <w:szCs w:val="16"/>
              </w:rPr>
            </w:pPr>
            <w:r w:rsidRPr="00E62976">
              <w:rPr>
                <w:sz w:val="16"/>
                <w:szCs w:val="16"/>
              </w:rPr>
              <w:t>AREVA</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Hasnaoui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Chiheb</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1869" w:rsidRPr="00E62976" w:rsidRDefault="00861869" w:rsidP="00E62976">
            <w:pPr>
              <w:spacing w:line="240" w:lineRule="auto"/>
              <w:jc w:val="center"/>
              <w:rPr>
                <w:rFonts w:cs="Arial"/>
                <w:bCs/>
                <w:sz w:val="16"/>
                <w:szCs w:val="16"/>
              </w:rPr>
            </w:pPr>
            <w:r w:rsidRPr="00E62976">
              <w:rPr>
                <w:sz w:val="16"/>
                <w:szCs w:val="16"/>
              </w:rPr>
              <w:t>AREXIS</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Hurel</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François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1869" w:rsidRPr="00E62976" w:rsidRDefault="00861869" w:rsidP="00E62976">
            <w:pPr>
              <w:spacing w:line="240" w:lineRule="auto"/>
              <w:jc w:val="center"/>
              <w:rPr>
                <w:rFonts w:cs="Arial"/>
                <w:bCs/>
                <w:sz w:val="16"/>
                <w:szCs w:val="16"/>
              </w:rPr>
            </w:pPr>
            <w:r w:rsidRPr="00E62976">
              <w:rPr>
                <w:sz w:val="16"/>
                <w:szCs w:val="16"/>
              </w:rPr>
              <w:t>AREXIS</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Schirrer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Raphael</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center"/>
              <w:rPr>
                <w:rFonts w:cs="Arial"/>
                <w:bCs/>
                <w:sz w:val="16"/>
                <w:szCs w:val="16"/>
              </w:rPr>
            </w:pPr>
            <w:r w:rsidRPr="00E62976">
              <w:rPr>
                <w:sz w:val="16"/>
                <w:szCs w:val="16"/>
              </w:rPr>
              <w:t>AREXIS</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Gryffroy</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Dries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1869" w:rsidRPr="00E62976" w:rsidRDefault="00861869" w:rsidP="00E62976">
            <w:pPr>
              <w:spacing w:line="240" w:lineRule="auto"/>
              <w:jc w:val="center"/>
              <w:rPr>
                <w:rFonts w:cs="Arial"/>
                <w:bCs/>
                <w:sz w:val="16"/>
                <w:szCs w:val="16"/>
              </w:rPr>
            </w:pPr>
            <w:r w:rsidRPr="00E62976">
              <w:rPr>
                <w:sz w:val="16"/>
                <w:szCs w:val="16"/>
              </w:rPr>
              <w:t>Bel V</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De Gelder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Pieter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center"/>
              <w:rPr>
                <w:rFonts w:cs="Arial"/>
                <w:bCs/>
                <w:sz w:val="16"/>
                <w:szCs w:val="16"/>
              </w:rPr>
            </w:pPr>
            <w:r w:rsidRPr="00E62976">
              <w:rPr>
                <w:sz w:val="16"/>
                <w:szCs w:val="16"/>
              </w:rPr>
              <w:t>Bel V</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Van Rompuy</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Thibaut</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center"/>
              <w:rPr>
                <w:rFonts w:cs="Arial"/>
                <w:bCs/>
                <w:sz w:val="16"/>
                <w:szCs w:val="16"/>
              </w:rPr>
            </w:pPr>
            <w:r w:rsidRPr="00E62976">
              <w:rPr>
                <w:sz w:val="16"/>
                <w:szCs w:val="16"/>
              </w:rPr>
              <w:t>Bel V</w:t>
            </w:r>
          </w:p>
        </w:tc>
      </w:tr>
      <w:tr w:rsidR="000D3D4D" w:rsidRPr="000E7B29" w:rsidTr="00E62976">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Jacques</w:t>
            </w:r>
          </w:p>
        </w:tc>
        <w:tc>
          <w:tcPr>
            <w:tcW w:w="0" w:type="auto"/>
            <w:tcBorders>
              <w:top w:val="nil"/>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Véronique</w:t>
            </w:r>
          </w:p>
        </w:tc>
        <w:tc>
          <w:tcPr>
            <w:tcW w:w="0" w:type="auto"/>
            <w:tcBorders>
              <w:top w:val="nil"/>
              <w:left w:val="single" w:sz="4" w:space="0" w:color="auto"/>
              <w:bottom w:val="single" w:sz="4" w:space="0" w:color="auto"/>
              <w:right w:val="single" w:sz="4" w:space="0" w:color="auto"/>
            </w:tcBorders>
            <w:shd w:val="clear" w:color="auto" w:fill="auto"/>
            <w:hideMark/>
          </w:tcPr>
          <w:p w:rsidR="00861869" w:rsidRPr="00E62976" w:rsidRDefault="00861869" w:rsidP="00E62976">
            <w:pPr>
              <w:spacing w:line="240" w:lineRule="auto"/>
              <w:jc w:val="center"/>
              <w:rPr>
                <w:rFonts w:cs="Arial"/>
                <w:bCs/>
                <w:sz w:val="16"/>
                <w:szCs w:val="16"/>
              </w:rPr>
            </w:pPr>
            <w:r w:rsidRPr="00E62976">
              <w:rPr>
                <w:sz w:val="16"/>
                <w:szCs w:val="16"/>
              </w:rPr>
              <w:t>Bel V</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Cazzoli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Errico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1869" w:rsidRPr="00E62976" w:rsidRDefault="00861869" w:rsidP="00E62976">
            <w:pPr>
              <w:spacing w:line="240" w:lineRule="auto"/>
              <w:jc w:val="center"/>
              <w:rPr>
                <w:rFonts w:cs="Arial"/>
                <w:bCs/>
                <w:sz w:val="16"/>
                <w:szCs w:val="16"/>
              </w:rPr>
            </w:pPr>
            <w:r w:rsidRPr="00E62976">
              <w:rPr>
                <w:sz w:val="16"/>
                <w:szCs w:val="16"/>
              </w:rPr>
              <w:t>CCA</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Vitázková</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Jirina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1869" w:rsidRPr="00E62976" w:rsidRDefault="00861869" w:rsidP="00E62976">
            <w:pPr>
              <w:spacing w:line="240" w:lineRule="auto"/>
              <w:jc w:val="center"/>
              <w:rPr>
                <w:rFonts w:cs="Arial"/>
                <w:bCs/>
                <w:sz w:val="16"/>
                <w:szCs w:val="16"/>
              </w:rPr>
            </w:pPr>
            <w:r w:rsidRPr="00E62976">
              <w:rPr>
                <w:sz w:val="16"/>
                <w:szCs w:val="16"/>
              </w:rPr>
              <w:t>CCA</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Bonnevialle</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Anne-Marie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1869" w:rsidRPr="00E62976" w:rsidRDefault="00861869" w:rsidP="00E62976">
            <w:pPr>
              <w:spacing w:line="240" w:lineRule="auto"/>
              <w:jc w:val="center"/>
              <w:rPr>
                <w:rFonts w:cs="Arial"/>
                <w:bCs/>
                <w:sz w:val="16"/>
                <w:szCs w:val="16"/>
              </w:rPr>
            </w:pPr>
            <w:r w:rsidRPr="00E62976">
              <w:rPr>
                <w:sz w:val="16"/>
                <w:szCs w:val="16"/>
              </w:rPr>
              <w:t>EDF</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Bordes</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Dominique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1869" w:rsidRPr="00E62976" w:rsidRDefault="00861869" w:rsidP="00E62976">
            <w:pPr>
              <w:spacing w:line="240" w:lineRule="auto"/>
              <w:jc w:val="center"/>
              <w:rPr>
                <w:rFonts w:cs="Arial"/>
                <w:bCs/>
                <w:sz w:val="16"/>
                <w:szCs w:val="16"/>
              </w:rPr>
            </w:pPr>
            <w:r w:rsidRPr="00E62976">
              <w:rPr>
                <w:sz w:val="16"/>
                <w:szCs w:val="16"/>
              </w:rPr>
              <w:t>EDF</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Vasseur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Dominique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1869" w:rsidRPr="00E62976" w:rsidRDefault="00861869" w:rsidP="00E62976">
            <w:pPr>
              <w:spacing w:line="240" w:lineRule="auto"/>
              <w:jc w:val="center"/>
              <w:rPr>
                <w:rFonts w:cs="Arial"/>
                <w:bCs/>
                <w:sz w:val="16"/>
                <w:szCs w:val="16"/>
              </w:rPr>
            </w:pPr>
            <w:r w:rsidRPr="00E62976">
              <w:rPr>
                <w:sz w:val="16"/>
                <w:szCs w:val="16"/>
              </w:rPr>
              <w:t>EDF</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Panato</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Eddy</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1869" w:rsidRPr="00E62976" w:rsidRDefault="00861869" w:rsidP="00E62976">
            <w:pPr>
              <w:spacing w:line="240" w:lineRule="auto"/>
              <w:jc w:val="center"/>
              <w:rPr>
                <w:rFonts w:cs="Arial"/>
                <w:bCs/>
                <w:sz w:val="16"/>
                <w:szCs w:val="16"/>
              </w:rPr>
            </w:pPr>
            <w:r w:rsidRPr="00E62976">
              <w:rPr>
                <w:sz w:val="16"/>
                <w:szCs w:val="16"/>
              </w:rPr>
              <w:t>EDF</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Romanet</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François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1869" w:rsidRPr="00E62976" w:rsidRDefault="00861869" w:rsidP="00E62976">
            <w:pPr>
              <w:spacing w:line="240" w:lineRule="auto"/>
              <w:jc w:val="center"/>
              <w:rPr>
                <w:rFonts w:cs="Arial"/>
                <w:bCs/>
                <w:sz w:val="16"/>
                <w:szCs w:val="16"/>
              </w:rPr>
            </w:pPr>
            <w:r w:rsidRPr="00E62976">
              <w:rPr>
                <w:sz w:val="16"/>
                <w:szCs w:val="16"/>
              </w:rPr>
              <w:t>EDF</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Lopez</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Julien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1869" w:rsidRPr="00E62976" w:rsidRDefault="00861869" w:rsidP="00E62976">
            <w:pPr>
              <w:spacing w:line="240" w:lineRule="auto"/>
              <w:jc w:val="center"/>
              <w:rPr>
                <w:rFonts w:cs="Arial"/>
                <w:bCs/>
                <w:sz w:val="16"/>
                <w:szCs w:val="16"/>
              </w:rPr>
            </w:pPr>
            <w:r w:rsidRPr="00E62976">
              <w:rPr>
                <w:sz w:val="16"/>
                <w:szCs w:val="16"/>
              </w:rPr>
              <w:t>EDF</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Gallois</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Marie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1869" w:rsidRPr="00E62976" w:rsidRDefault="00861869" w:rsidP="00E62976">
            <w:pPr>
              <w:spacing w:line="240" w:lineRule="auto"/>
              <w:jc w:val="center"/>
              <w:rPr>
                <w:rFonts w:cs="Arial"/>
                <w:bCs/>
                <w:sz w:val="16"/>
                <w:szCs w:val="16"/>
              </w:rPr>
            </w:pPr>
            <w:r w:rsidRPr="00E62976">
              <w:rPr>
                <w:sz w:val="16"/>
                <w:szCs w:val="16"/>
              </w:rPr>
              <w:t>EDF</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Hibti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Mohamed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1869" w:rsidRPr="00E62976" w:rsidRDefault="00861869" w:rsidP="00E62976">
            <w:pPr>
              <w:spacing w:line="240" w:lineRule="auto"/>
              <w:jc w:val="center"/>
              <w:rPr>
                <w:rFonts w:cs="Arial"/>
                <w:bCs/>
                <w:sz w:val="16"/>
                <w:szCs w:val="16"/>
              </w:rPr>
            </w:pPr>
            <w:r w:rsidRPr="00E62976">
              <w:rPr>
                <w:sz w:val="16"/>
                <w:szCs w:val="16"/>
              </w:rPr>
              <w:t>EDF</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Brac</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Pascal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1869" w:rsidRPr="00E62976" w:rsidRDefault="00861869" w:rsidP="00E62976">
            <w:pPr>
              <w:spacing w:line="240" w:lineRule="auto"/>
              <w:jc w:val="center"/>
              <w:rPr>
                <w:rFonts w:cs="Arial"/>
                <w:bCs/>
                <w:sz w:val="16"/>
                <w:szCs w:val="16"/>
              </w:rPr>
            </w:pPr>
            <w:r w:rsidRPr="00E62976">
              <w:rPr>
                <w:sz w:val="16"/>
                <w:szCs w:val="16"/>
              </w:rPr>
              <w:t>EDF</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Jan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Philippe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1869" w:rsidRPr="00E62976" w:rsidRDefault="00861869" w:rsidP="00E62976">
            <w:pPr>
              <w:spacing w:line="240" w:lineRule="auto"/>
              <w:jc w:val="center"/>
              <w:rPr>
                <w:rFonts w:cs="Arial"/>
                <w:bCs/>
                <w:sz w:val="16"/>
                <w:szCs w:val="16"/>
              </w:rPr>
            </w:pPr>
            <w:r w:rsidRPr="00E62976">
              <w:rPr>
                <w:sz w:val="16"/>
                <w:szCs w:val="16"/>
              </w:rPr>
              <w:t>EDF</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Nonclercq</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Philippe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1869" w:rsidRPr="00E62976" w:rsidRDefault="00861869" w:rsidP="00E62976">
            <w:pPr>
              <w:spacing w:line="240" w:lineRule="auto"/>
              <w:jc w:val="center"/>
              <w:rPr>
                <w:rFonts w:cs="Arial"/>
                <w:bCs/>
                <w:sz w:val="16"/>
                <w:szCs w:val="16"/>
              </w:rPr>
            </w:pPr>
            <w:r w:rsidRPr="00E62976">
              <w:rPr>
                <w:sz w:val="16"/>
                <w:szCs w:val="16"/>
              </w:rPr>
              <w:t>EDF</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Bernadara</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Pietro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1869" w:rsidRPr="00E62976" w:rsidRDefault="00861869" w:rsidP="00E62976">
            <w:pPr>
              <w:spacing w:line="240" w:lineRule="auto"/>
              <w:jc w:val="center"/>
              <w:rPr>
                <w:rFonts w:cs="Arial"/>
                <w:bCs/>
                <w:sz w:val="16"/>
                <w:szCs w:val="16"/>
              </w:rPr>
            </w:pPr>
            <w:r w:rsidRPr="00E62976">
              <w:rPr>
                <w:sz w:val="16"/>
                <w:szCs w:val="16"/>
              </w:rPr>
              <w:t>EDF</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Benzoni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Stéphane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1869" w:rsidRPr="00E62976" w:rsidRDefault="00861869" w:rsidP="00E62976">
            <w:pPr>
              <w:spacing w:line="240" w:lineRule="auto"/>
              <w:jc w:val="center"/>
              <w:rPr>
                <w:rFonts w:cs="Arial"/>
                <w:bCs/>
                <w:sz w:val="16"/>
                <w:szCs w:val="16"/>
              </w:rPr>
            </w:pPr>
            <w:r w:rsidRPr="00E62976">
              <w:rPr>
                <w:sz w:val="16"/>
                <w:szCs w:val="16"/>
              </w:rPr>
              <w:t>EDF</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Parey</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Sylvie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1869" w:rsidRPr="00E62976" w:rsidRDefault="00861869" w:rsidP="00E62976">
            <w:pPr>
              <w:spacing w:line="240" w:lineRule="auto"/>
              <w:jc w:val="center"/>
              <w:rPr>
                <w:rFonts w:cs="Arial"/>
                <w:bCs/>
                <w:sz w:val="16"/>
                <w:szCs w:val="16"/>
              </w:rPr>
            </w:pPr>
            <w:r w:rsidRPr="00E62976">
              <w:rPr>
                <w:sz w:val="16"/>
                <w:szCs w:val="16"/>
              </w:rPr>
              <w:t>EDF</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Rychkov</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Valentin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1869" w:rsidRPr="00E62976" w:rsidRDefault="00861869" w:rsidP="00E62976">
            <w:pPr>
              <w:spacing w:line="240" w:lineRule="auto"/>
              <w:jc w:val="center"/>
              <w:rPr>
                <w:rFonts w:cs="Arial"/>
                <w:bCs/>
                <w:sz w:val="16"/>
                <w:szCs w:val="16"/>
              </w:rPr>
            </w:pPr>
            <w:r w:rsidRPr="00E62976">
              <w:rPr>
                <w:sz w:val="16"/>
                <w:szCs w:val="16"/>
              </w:rPr>
              <w:t>EDF</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Coulon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Vincent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1869" w:rsidRPr="00E62976" w:rsidRDefault="00861869" w:rsidP="00E62976">
            <w:pPr>
              <w:spacing w:line="240" w:lineRule="auto"/>
              <w:jc w:val="center"/>
              <w:rPr>
                <w:rFonts w:cs="Arial"/>
                <w:bCs/>
                <w:sz w:val="16"/>
                <w:szCs w:val="16"/>
              </w:rPr>
            </w:pPr>
            <w:r w:rsidRPr="00E62976">
              <w:rPr>
                <w:sz w:val="16"/>
                <w:szCs w:val="16"/>
              </w:rPr>
              <w:t>EDF</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Banchieri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Yvonnick</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1869" w:rsidRPr="00E62976" w:rsidRDefault="00861869" w:rsidP="00E62976">
            <w:pPr>
              <w:spacing w:line="240" w:lineRule="auto"/>
              <w:jc w:val="center"/>
              <w:rPr>
                <w:rFonts w:cs="Arial"/>
                <w:bCs/>
                <w:sz w:val="16"/>
                <w:szCs w:val="16"/>
              </w:rPr>
            </w:pPr>
            <w:r w:rsidRPr="00E62976">
              <w:rPr>
                <w:sz w:val="16"/>
                <w:szCs w:val="16"/>
              </w:rPr>
              <w:t>EDF</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Burgazzi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Luciano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1869" w:rsidRPr="00E62976" w:rsidRDefault="00861869" w:rsidP="00E62976">
            <w:pPr>
              <w:spacing w:line="240" w:lineRule="auto"/>
              <w:jc w:val="center"/>
              <w:rPr>
                <w:rFonts w:cs="Arial"/>
                <w:bCs/>
                <w:sz w:val="16"/>
                <w:szCs w:val="16"/>
              </w:rPr>
            </w:pPr>
            <w:r w:rsidRPr="00E62976">
              <w:rPr>
                <w:sz w:val="16"/>
                <w:szCs w:val="16"/>
              </w:rPr>
              <w:t>ENEA</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Karlsson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Anders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1869" w:rsidRPr="00E62976" w:rsidRDefault="00861869" w:rsidP="00E62976">
            <w:pPr>
              <w:spacing w:line="240" w:lineRule="auto"/>
              <w:jc w:val="center"/>
              <w:rPr>
                <w:rFonts w:cs="Arial"/>
                <w:bCs/>
                <w:sz w:val="16"/>
                <w:szCs w:val="16"/>
              </w:rPr>
            </w:pPr>
            <w:r w:rsidRPr="00E62976">
              <w:rPr>
                <w:sz w:val="16"/>
                <w:szCs w:val="16"/>
              </w:rPr>
              <w:t>FKA</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Hultqvist</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Göran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center"/>
              <w:rPr>
                <w:rFonts w:cs="Arial"/>
                <w:bCs/>
                <w:sz w:val="16"/>
                <w:szCs w:val="16"/>
              </w:rPr>
            </w:pPr>
            <w:r w:rsidRPr="00E62976">
              <w:rPr>
                <w:sz w:val="16"/>
                <w:szCs w:val="16"/>
              </w:rPr>
              <w:t>FKA</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Pihl</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Joel</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center"/>
              <w:rPr>
                <w:rFonts w:cs="Arial"/>
                <w:bCs/>
                <w:sz w:val="16"/>
                <w:szCs w:val="16"/>
              </w:rPr>
            </w:pPr>
            <w:r w:rsidRPr="00E62976">
              <w:rPr>
                <w:sz w:val="16"/>
                <w:szCs w:val="16"/>
              </w:rPr>
              <w:t>FKA</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Ljungbjörk</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Julia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1869" w:rsidRPr="00E62976" w:rsidRDefault="00861869" w:rsidP="00E62976">
            <w:pPr>
              <w:spacing w:line="240" w:lineRule="auto"/>
              <w:jc w:val="center"/>
              <w:rPr>
                <w:rFonts w:cs="Arial"/>
                <w:bCs/>
                <w:sz w:val="16"/>
                <w:szCs w:val="16"/>
              </w:rPr>
            </w:pPr>
            <w:r w:rsidRPr="00E62976">
              <w:rPr>
                <w:sz w:val="16"/>
                <w:szCs w:val="16"/>
              </w:rPr>
              <w:t>FKA</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 xml:space="preserve">KÄHÄRI </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Petri</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1869" w:rsidRPr="00E62976" w:rsidRDefault="00861869" w:rsidP="00E62976">
            <w:pPr>
              <w:spacing w:line="240" w:lineRule="auto"/>
              <w:jc w:val="center"/>
              <w:rPr>
                <w:rFonts w:cs="Arial"/>
                <w:bCs/>
                <w:sz w:val="16"/>
                <w:szCs w:val="16"/>
              </w:rPr>
            </w:pPr>
            <w:r w:rsidRPr="00E62976">
              <w:rPr>
                <w:sz w:val="16"/>
                <w:szCs w:val="16"/>
              </w:rPr>
              <w:t>FKA</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FA2138" w:rsidP="00E62976">
            <w:pPr>
              <w:spacing w:line="240" w:lineRule="auto"/>
              <w:jc w:val="left"/>
              <w:rPr>
                <w:rFonts w:cs="Arial"/>
                <w:bCs/>
                <w:sz w:val="16"/>
                <w:szCs w:val="16"/>
              </w:rPr>
            </w:pPr>
            <w:r w:rsidRPr="00E62976">
              <w:rPr>
                <w:sz w:val="16"/>
                <w:szCs w:val="16"/>
              </w:rPr>
              <w:t>Hage</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Michael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1869" w:rsidRPr="00E62976" w:rsidRDefault="00861869" w:rsidP="00E62976">
            <w:pPr>
              <w:spacing w:line="240" w:lineRule="auto"/>
              <w:jc w:val="center"/>
              <w:rPr>
                <w:rFonts w:cs="Arial"/>
                <w:bCs/>
                <w:sz w:val="16"/>
                <w:szCs w:val="16"/>
              </w:rPr>
            </w:pPr>
            <w:r w:rsidRPr="00E62976">
              <w:rPr>
                <w:sz w:val="16"/>
                <w:szCs w:val="16"/>
              </w:rPr>
              <w:t>GRS</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Mildenberger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Oliver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1869" w:rsidRPr="00E62976" w:rsidRDefault="00861869" w:rsidP="00E62976">
            <w:pPr>
              <w:spacing w:line="240" w:lineRule="auto"/>
              <w:jc w:val="center"/>
              <w:rPr>
                <w:rFonts w:cs="Arial"/>
                <w:bCs/>
                <w:sz w:val="16"/>
                <w:szCs w:val="16"/>
              </w:rPr>
            </w:pPr>
            <w:r w:rsidRPr="00E62976">
              <w:rPr>
                <w:sz w:val="16"/>
                <w:szCs w:val="16"/>
              </w:rPr>
              <w:t>GRS</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Sperbeck</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Silvio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1869" w:rsidRPr="00E62976" w:rsidRDefault="00861869" w:rsidP="00E62976">
            <w:pPr>
              <w:spacing w:line="240" w:lineRule="auto"/>
              <w:jc w:val="center"/>
              <w:rPr>
                <w:rFonts w:cs="Arial"/>
                <w:bCs/>
                <w:sz w:val="16"/>
                <w:szCs w:val="16"/>
              </w:rPr>
            </w:pPr>
            <w:r w:rsidRPr="00E62976">
              <w:rPr>
                <w:sz w:val="16"/>
                <w:szCs w:val="16"/>
              </w:rPr>
              <w:t>GRS</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Serrano</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Cesar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1869" w:rsidRPr="00E62976" w:rsidRDefault="00861869" w:rsidP="00E62976">
            <w:pPr>
              <w:spacing w:line="240" w:lineRule="auto"/>
              <w:jc w:val="center"/>
              <w:rPr>
                <w:rFonts w:cs="Arial"/>
                <w:bCs/>
                <w:sz w:val="16"/>
                <w:szCs w:val="16"/>
              </w:rPr>
            </w:pPr>
            <w:r w:rsidRPr="00E62976">
              <w:rPr>
                <w:sz w:val="16"/>
                <w:szCs w:val="16"/>
              </w:rPr>
              <w:t>IEC</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Benitez</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Francisco Jose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1869" w:rsidRPr="00E62976" w:rsidRDefault="00861869" w:rsidP="00E62976">
            <w:pPr>
              <w:spacing w:line="240" w:lineRule="auto"/>
              <w:jc w:val="center"/>
              <w:rPr>
                <w:rFonts w:cs="Arial"/>
                <w:bCs/>
                <w:sz w:val="16"/>
                <w:szCs w:val="16"/>
              </w:rPr>
            </w:pPr>
            <w:r w:rsidRPr="00E62976">
              <w:rPr>
                <w:sz w:val="16"/>
                <w:szCs w:val="16"/>
              </w:rPr>
              <w:t>IEC</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Del Barrio</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Miguel 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1869" w:rsidRPr="00E62976" w:rsidRDefault="00861869" w:rsidP="00E62976">
            <w:pPr>
              <w:spacing w:line="240" w:lineRule="auto"/>
              <w:jc w:val="center"/>
              <w:rPr>
                <w:rFonts w:cs="Arial"/>
                <w:bCs/>
                <w:sz w:val="16"/>
                <w:szCs w:val="16"/>
              </w:rPr>
            </w:pPr>
            <w:r w:rsidRPr="00E62976">
              <w:rPr>
                <w:sz w:val="16"/>
                <w:szCs w:val="16"/>
              </w:rPr>
              <w:t>IEC</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Apostol</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Minodora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1869" w:rsidRPr="00E62976" w:rsidRDefault="00861869" w:rsidP="00E62976">
            <w:pPr>
              <w:spacing w:line="240" w:lineRule="auto"/>
              <w:jc w:val="center"/>
              <w:rPr>
                <w:rFonts w:cs="Arial"/>
                <w:bCs/>
                <w:sz w:val="16"/>
                <w:szCs w:val="16"/>
              </w:rPr>
            </w:pPr>
            <w:r w:rsidRPr="00E62976">
              <w:rPr>
                <w:sz w:val="16"/>
                <w:szCs w:val="16"/>
              </w:rPr>
              <w:t>INR</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Nitoi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Mirela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1869" w:rsidRPr="00E62976" w:rsidRDefault="00861869" w:rsidP="00E62976">
            <w:pPr>
              <w:spacing w:line="240" w:lineRule="auto"/>
              <w:jc w:val="center"/>
              <w:rPr>
                <w:rFonts w:cs="Arial"/>
                <w:bCs/>
                <w:sz w:val="16"/>
                <w:szCs w:val="16"/>
              </w:rPr>
            </w:pPr>
            <w:r w:rsidRPr="00E62976">
              <w:rPr>
                <w:sz w:val="16"/>
                <w:szCs w:val="16"/>
              </w:rPr>
              <w:t>INR</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Stefanova</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Antoaneta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1869" w:rsidRPr="00E62976" w:rsidRDefault="00861869" w:rsidP="00E62976">
            <w:pPr>
              <w:spacing w:line="240" w:lineRule="auto"/>
              <w:jc w:val="center"/>
              <w:rPr>
                <w:rFonts w:cs="Arial"/>
                <w:bCs/>
                <w:sz w:val="16"/>
                <w:szCs w:val="16"/>
              </w:rPr>
            </w:pPr>
            <w:r w:rsidRPr="00E62976">
              <w:rPr>
                <w:sz w:val="16"/>
                <w:szCs w:val="16"/>
              </w:rPr>
              <w:t>INRNE</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Groudev</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Pavlin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1869" w:rsidRPr="00E62976" w:rsidRDefault="00861869" w:rsidP="00E62976">
            <w:pPr>
              <w:spacing w:line="240" w:lineRule="auto"/>
              <w:jc w:val="center"/>
              <w:rPr>
                <w:rFonts w:cs="Arial"/>
                <w:bCs/>
                <w:sz w:val="16"/>
                <w:szCs w:val="16"/>
              </w:rPr>
            </w:pPr>
            <w:r w:rsidRPr="00E62976">
              <w:rPr>
                <w:sz w:val="16"/>
                <w:szCs w:val="16"/>
              </w:rPr>
              <w:t>INRNE</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Laurent</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Bruno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1869" w:rsidRPr="00E62976" w:rsidRDefault="00861869" w:rsidP="00E62976">
            <w:pPr>
              <w:spacing w:line="240" w:lineRule="auto"/>
              <w:jc w:val="center"/>
              <w:rPr>
                <w:rFonts w:cs="Arial"/>
                <w:bCs/>
                <w:sz w:val="16"/>
                <w:szCs w:val="16"/>
              </w:rPr>
            </w:pPr>
            <w:r w:rsidRPr="00E62976">
              <w:rPr>
                <w:sz w:val="16"/>
                <w:szCs w:val="16"/>
              </w:rPr>
              <w:t>IRSN</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Clement</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Christophe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1869" w:rsidRPr="00E62976" w:rsidRDefault="00861869" w:rsidP="00E62976">
            <w:pPr>
              <w:spacing w:line="240" w:lineRule="auto"/>
              <w:jc w:val="center"/>
              <w:rPr>
                <w:rFonts w:cs="Arial"/>
                <w:bCs/>
                <w:sz w:val="16"/>
                <w:szCs w:val="16"/>
              </w:rPr>
            </w:pPr>
            <w:r w:rsidRPr="00E62976">
              <w:rPr>
                <w:sz w:val="16"/>
                <w:szCs w:val="16"/>
              </w:rPr>
              <w:t>IRSN</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Duluc</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Claire-Marie</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center"/>
              <w:rPr>
                <w:rFonts w:cs="Arial"/>
                <w:bCs/>
                <w:sz w:val="16"/>
                <w:szCs w:val="16"/>
              </w:rPr>
            </w:pPr>
            <w:r w:rsidRPr="00E62976">
              <w:rPr>
                <w:sz w:val="16"/>
                <w:szCs w:val="16"/>
              </w:rPr>
              <w:t>IRSN</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Leteinturier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Denis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1869" w:rsidRPr="00E62976" w:rsidRDefault="00861869" w:rsidP="00E62976">
            <w:pPr>
              <w:spacing w:line="240" w:lineRule="auto"/>
              <w:jc w:val="center"/>
              <w:rPr>
                <w:rFonts w:cs="Arial"/>
                <w:bCs/>
                <w:sz w:val="16"/>
                <w:szCs w:val="16"/>
              </w:rPr>
            </w:pPr>
            <w:r w:rsidRPr="00E62976">
              <w:rPr>
                <w:sz w:val="16"/>
                <w:szCs w:val="16"/>
              </w:rPr>
              <w:t>IRSN</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Corenwinder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François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1869" w:rsidRPr="00E62976" w:rsidRDefault="00861869" w:rsidP="00E62976">
            <w:pPr>
              <w:spacing w:line="240" w:lineRule="auto"/>
              <w:jc w:val="center"/>
              <w:rPr>
                <w:rFonts w:cs="Arial"/>
                <w:bCs/>
                <w:sz w:val="16"/>
                <w:szCs w:val="16"/>
              </w:rPr>
            </w:pPr>
            <w:r w:rsidRPr="00E62976">
              <w:rPr>
                <w:sz w:val="16"/>
                <w:szCs w:val="16"/>
              </w:rPr>
              <w:t>IRSN</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Pichereau</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Frederique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1869" w:rsidRPr="00E62976" w:rsidRDefault="00861869" w:rsidP="00E62976">
            <w:pPr>
              <w:spacing w:line="240" w:lineRule="auto"/>
              <w:jc w:val="center"/>
              <w:rPr>
                <w:rFonts w:cs="Arial"/>
                <w:bCs/>
                <w:sz w:val="16"/>
                <w:szCs w:val="16"/>
              </w:rPr>
            </w:pPr>
            <w:r w:rsidRPr="00E62976">
              <w:rPr>
                <w:sz w:val="16"/>
                <w:szCs w:val="16"/>
              </w:rPr>
              <w:t>IRSN</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Georgescu</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Gabriel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1869" w:rsidRPr="00E62976" w:rsidRDefault="00861869" w:rsidP="00E62976">
            <w:pPr>
              <w:spacing w:line="240" w:lineRule="auto"/>
              <w:jc w:val="center"/>
              <w:rPr>
                <w:rFonts w:cs="Arial"/>
                <w:bCs/>
                <w:sz w:val="16"/>
                <w:szCs w:val="16"/>
              </w:rPr>
            </w:pPr>
            <w:r w:rsidRPr="00E62976">
              <w:rPr>
                <w:sz w:val="16"/>
                <w:szCs w:val="16"/>
              </w:rPr>
              <w:t>IRSN</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Bonneville</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Hervé</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1869" w:rsidRPr="00E62976" w:rsidRDefault="00861869" w:rsidP="00E62976">
            <w:pPr>
              <w:spacing w:line="240" w:lineRule="auto"/>
              <w:jc w:val="center"/>
              <w:rPr>
                <w:rFonts w:cs="Arial"/>
                <w:bCs/>
                <w:sz w:val="16"/>
                <w:szCs w:val="16"/>
              </w:rPr>
            </w:pPr>
            <w:r w:rsidRPr="00E62976">
              <w:rPr>
                <w:sz w:val="16"/>
                <w:szCs w:val="16"/>
              </w:rPr>
              <w:t>IRSN</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Denis</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Jean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1869" w:rsidRPr="00E62976" w:rsidRDefault="00861869" w:rsidP="00E62976">
            <w:pPr>
              <w:spacing w:line="240" w:lineRule="auto"/>
              <w:jc w:val="center"/>
              <w:rPr>
                <w:rFonts w:cs="Arial"/>
                <w:bCs/>
                <w:sz w:val="16"/>
                <w:szCs w:val="16"/>
              </w:rPr>
            </w:pPr>
            <w:r w:rsidRPr="00E62976">
              <w:rPr>
                <w:sz w:val="16"/>
                <w:szCs w:val="16"/>
              </w:rPr>
              <w:t>IRSN</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Bonnet</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Jean-Michel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1869" w:rsidRPr="00E62976" w:rsidRDefault="00861869" w:rsidP="00E62976">
            <w:pPr>
              <w:spacing w:line="240" w:lineRule="auto"/>
              <w:jc w:val="center"/>
              <w:rPr>
                <w:rFonts w:cs="Arial"/>
                <w:bCs/>
                <w:sz w:val="16"/>
                <w:szCs w:val="16"/>
              </w:rPr>
            </w:pPr>
            <w:r w:rsidRPr="00E62976">
              <w:rPr>
                <w:sz w:val="16"/>
                <w:szCs w:val="16"/>
              </w:rPr>
              <w:t>IRSN</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Lanore</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Jeanne-Marie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1869" w:rsidRPr="00E62976" w:rsidRDefault="00861869" w:rsidP="00E62976">
            <w:pPr>
              <w:spacing w:line="240" w:lineRule="auto"/>
              <w:jc w:val="center"/>
              <w:rPr>
                <w:rFonts w:cs="Arial"/>
                <w:bCs/>
                <w:sz w:val="16"/>
                <w:szCs w:val="16"/>
              </w:rPr>
            </w:pPr>
            <w:r w:rsidRPr="00E62976">
              <w:rPr>
                <w:sz w:val="16"/>
                <w:szCs w:val="16"/>
              </w:rPr>
              <w:t>IRSN</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Espargilliere</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Julien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1869" w:rsidRPr="00E62976" w:rsidRDefault="00861869" w:rsidP="00E62976">
            <w:pPr>
              <w:spacing w:line="240" w:lineRule="auto"/>
              <w:jc w:val="center"/>
              <w:rPr>
                <w:rFonts w:cs="Arial"/>
                <w:bCs/>
                <w:sz w:val="16"/>
                <w:szCs w:val="16"/>
              </w:rPr>
            </w:pPr>
            <w:r w:rsidRPr="00E62976">
              <w:rPr>
                <w:sz w:val="16"/>
                <w:szCs w:val="16"/>
              </w:rPr>
              <w:t>IRSN</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Mateescu</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Julien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1869" w:rsidRPr="00E62976" w:rsidRDefault="00861869" w:rsidP="00E62976">
            <w:pPr>
              <w:spacing w:line="240" w:lineRule="auto"/>
              <w:jc w:val="center"/>
              <w:rPr>
                <w:rFonts w:cs="Arial"/>
                <w:bCs/>
                <w:sz w:val="16"/>
                <w:szCs w:val="16"/>
              </w:rPr>
            </w:pPr>
            <w:r w:rsidRPr="00E62976">
              <w:rPr>
                <w:sz w:val="16"/>
                <w:szCs w:val="16"/>
              </w:rPr>
              <w:t>IRSN</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Guimier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Laurent</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center"/>
              <w:rPr>
                <w:rFonts w:cs="Arial"/>
                <w:bCs/>
                <w:sz w:val="16"/>
                <w:szCs w:val="16"/>
              </w:rPr>
            </w:pPr>
            <w:r w:rsidRPr="00E62976">
              <w:rPr>
                <w:sz w:val="16"/>
                <w:szCs w:val="16"/>
              </w:rPr>
              <w:t>IRSN</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Bardet</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Lise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1869" w:rsidRPr="00E62976" w:rsidRDefault="00861869" w:rsidP="00E62976">
            <w:pPr>
              <w:spacing w:line="240" w:lineRule="auto"/>
              <w:jc w:val="center"/>
              <w:rPr>
                <w:rFonts w:cs="Arial"/>
                <w:bCs/>
                <w:sz w:val="16"/>
                <w:szCs w:val="16"/>
              </w:rPr>
            </w:pPr>
            <w:r w:rsidRPr="00E62976">
              <w:rPr>
                <w:sz w:val="16"/>
                <w:szCs w:val="16"/>
              </w:rPr>
              <w:t>IRSN</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Rahni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Nadia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1869" w:rsidRPr="00E62976" w:rsidRDefault="00861869" w:rsidP="00E62976">
            <w:pPr>
              <w:spacing w:line="240" w:lineRule="auto"/>
              <w:jc w:val="center"/>
              <w:rPr>
                <w:rFonts w:cs="Arial"/>
                <w:bCs/>
                <w:sz w:val="16"/>
                <w:szCs w:val="16"/>
              </w:rPr>
            </w:pPr>
            <w:r w:rsidRPr="00E62976">
              <w:rPr>
                <w:sz w:val="16"/>
                <w:szCs w:val="16"/>
              </w:rPr>
              <w:t>IRSN</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Bertrand</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Nathalie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1869" w:rsidRPr="00E62976" w:rsidRDefault="00861869" w:rsidP="00E62976">
            <w:pPr>
              <w:spacing w:line="240" w:lineRule="auto"/>
              <w:jc w:val="center"/>
              <w:rPr>
                <w:rFonts w:cs="Arial"/>
                <w:bCs/>
                <w:sz w:val="16"/>
                <w:szCs w:val="16"/>
              </w:rPr>
            </w:pPr>
            <w:r w:rsidRPr="00E62976">
              <w:rPr>
                <w:sz w:val="16"/>
                <w:szCs w:val="16"/>
              </w:rPr>
              <w:t>IRSN</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Duflot</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Nicolas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1869" w:rsidRPr="00E62976" w:rsidRDefault="00861869" w:rsidP="00E62976">
            <w:pPr>
              <w:spacing w:line="240" w:lineRule="auto"/>
              <w:jc w:val="center"/>
              <w:rPr>
                <w:rFonts w:cs="Arial"/>
                <w:bCs/>
                <w:sz w:val="16"/>
                <w:szCs w:val="16"/>
              </w:rPr>
            </w:pPr>
            <w:r w:rsidRPr="00E62976">
              <w:rPr>
                <w:sz w:val="16"/>
                <w:szCs w:val="16"/>
              </w:rPr>
              <w:t>IRSN</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Scotti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Oona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1869" w:rsidRPr="00E62976" w:rsidRDefault="00861869" w:rsidP="00E62976">
            <w:pPr>
              <w:spacing w:line="240" w:lineRule="auto"/>
              <w:jc w:val="center"/>
              <w:rPr>
                <w:rFonts w:cs="Arial"/>
                <w:bCs/>
                <w:sz w:val="16"/>
                <w:szCs w:val="16"/>
              </w:rPr>
            </w:pPr>
            <w:r w:rsidRPr="00E62976">
              <w:rPr>
                <w:sz w:val="16"/>
                <w:szCs w:val="16"/>
              </w:rPr>
              <w:t>IRSN</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Dupuy</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Patricia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1869" w:rsidRPr="00E62976" w:rsidRDefault="00861869" w:rsidP="00E62976">
            <w:pPr>
              <w:spacing w:line="240" w:lineRule="auto"/>
              <w:jc w:val="center"/>
              <w:rPr>
                <w:rFonts w:cs="Arial"/>
                <w:bCs/>
                <w:sz w:val="16"/>
                <w:szCs w:val="16"/>
              </w:rPr>
            </w:pPr>
            <w:r w:rsidRPr="00E62976">
              <w:rPr>
                <w:sz w:val="16"/>
                <w:szCs w:val="16"/>
              </w:rPr>
              <w:t>IRSN</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Vinot</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Thierry</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1869" w:rsidRPr="00E62976" w:rsidRDefault="00861869" w:rsidP="00E62976">
            <w:pPr>
              <w:spacing w:line="240" w:lineRule="auto"/>
              <w:jc w:val="center"/>
              <w:rPr>
                <w:rFonts w:cs="Arial"/>
                <w:bCs/>
                <w:sz w:val="16"/>
                <w:szCs w:val="16"/>
              </w:rPr>
            </w:pPr>
            <w:r w:rsidRPr="00E62976">
              <w:rPr>
                <w:sz w:val="16"/>
                <w:szCs w:val="16"/>
              </w:rPr>
              <w:t>IRSN</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Rebour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Vincent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1869" w:rsidRPr="00E62976" w:rsidRDefault="00861869" w:rsidP="00E62976">
            <w:pPr>
              <w:spacing w:line="240" w:lineRule="auto"/>
              <w:jc w:val="center"/>
              <w:rPr>
                <w:rFonts w:cs="Arial"/>
                <w:bCs/>
                <w:sz w:val="16"/>
                <w:szCs w:val="16"/>
              </w:rPr>
            </w:pPr>
            <w:r w:rsidRPr="00E62976">
              <w:rPr>
                <w:sz w:val="16"/>
                <w:szCs w:val="16"/>
              </w:rPr>
              <w:t>IRSN</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Guigueno</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Yves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1869" w:rsidRPr="00E62976" w:rsidRDefault="00861869" w:rsidP="00E62976">
            <w:pPr>
              <w:spacing w:line="240" w:lineRule="auto"/>
              <w:jc w:val="center"/>
              <w:rPr>
                <w:rFonts w:cs="Arial"/>
                <w:bCs/>
                <w:sz w:val="16"/>
                <w:szCs w:val="16"/>
              </w:rPr>
            </w:pPr>
            <w:r w:rsidRPr="00E62976">
              <w:rPr>
                <w:sz w:val="16"/>
                <w:szCs w:val="16"/>
              </w:rPr>
              <w:t>IRSN</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Prošek</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 xml:space="preserve">Andrej </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1869" w:rsidRPr="00E62976" w:rsidRDefault="00861869" w:rsidP="00E62976">
            <w:pPr>
              <w:spacing w:line="240" w:lineRule="auto"/>
              <w:jc w:val="center"/>
              <w:rPr>
                <w:rFonts w:cs="Arial"/>
                <w:bCs/>
                <w:sz w:val="16"/>
                <w:szCs w:val="16"/>
              </w:rPr>
            </w:pPr>
            <w:r w:rsidRPr="00E62976">
              <w:rPr>
                <w:sz w:val="16"/>
                <w:szCs w:val="16"/>
              </w:rPr>
              <w:t>JSI</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Volkanovski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Andrija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1869" w:rsidRPr="00E62976" w:rsidRDefault="00861869" w:rsidP="00E62976">
            <w:pPr>
              <w:spacing w:line="240" w:lineRule="auto"/>
              <w:jc w:val="center"/>
              <w:rPr>
                <w:rFonts w:cs="Arial"/>
                <w:bCs/>
                <w:sz w:val="16"/>
                <w:szCs w:val="16"/>
              </w:rPr>
            </w:pPr>
            <w:r w:rsidRPr="00E62976">
              <w:rPr>
                <w:sz w:val="16"/>
                <w:szCs w:val="16"/>
              </w:rPr>
              <w:t>JSI</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Alzbutas</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Robertas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1869" w:rsidRPr="00E62976" w:rsidRDefault="00861869" w:rsidP="00E62976">
            <w:pPr>
              <w:spacing w:line="240" w:lineRule="auto"/>
              <w:jc w:val="center"/>
              <w:rPr>
                <w:rFonts w:cs="Arial"/>
                <w:bCs/>
                <w:sz w:val="16"/>
                <w:szCs w:val="16"/>
              </w:rPr>
            </w:pPr>
            <w:r w:rsidRPr="00E62976">
              <w:rPr>
                <w:sz w:val="16"/>
                <w:szCs w:val="16"/>
              </w:rPr>
              <w:t>LEI</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Rimkevicius</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Sigitas</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center"/>
              <w:rPr>
                <w:rFonts w:cs="Arial"/>
                <w:bCs/>
                <w:sz w:val="16"/>
                <w:szCs w:val="16"/>
              </w:rPr>
            </w:pPr>
            <w:r w:rsidRPr="00E62976">
              <w:rPr>
                <w:sz w:val="16"/>
                <w:szCs w:val="16"/>
              </w:rPr>
              <w:t>LEI</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3B0C10" w:rsidP="00E62976">
            <w:pPr>
              <w:spacing w:line="240" w:lineRule="auto"/>
              <w:jc w:val="left"/>
              <w:rPr>
                <w:rFonts w:cs="Arial"/>
                <w:bCs/>
                <w:sz w:val="16"/>
                <w:szCs w:val="16"/>
              </w:rPr>
            </w:pPr>
            <w:r w:rsidRPr="00E62976">
              <w:rPr>
                <w:sz w:val="16"/>
                <w:szCs w:val="16"/>
              </w:rPr>
              <w:t>Tomas</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3B0C10" w:rsidP="00E62976">
            <w:pPr>
              <w:spacing w:line="240" w:lineRule="auto"/>
              <w:jc w:val="left"/>
              <w:rPr>
                <w:rFonts w:cs="Arial"/>
                <w:bCs/>
                <w:sz w:val="16"/>
                <w:szCs w:val="16"/>
              </w:rPr>
            </w:pPr>
            <w:r w:rsidRPr="00E62976">
              <w:rPr>
                <w:sz w:val="16"/>
                <w:szCs w:val="16"/>
              </w:rPr>
              <w:t>Iešmantas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1869" w:rsidRPr="00E62976" w:rsidRDefault="00861869" w:rsidP="00E62976">
            <w:pPr>
              <w:spacing w:line="240" w:lineRule="auto"/>
              <w:jc w:val="center"/>
              <w:rPr>
                <w:rFonts w:cs="Arial"/>
                <w:bCs/>
                <w:sz w:val="16"/>
                <w:szCs w:val="16"/>
              </w:rPr>
            </w:pPr>
            <w:r w:rsidRPr="00E62976">
              <w:rPr>
                <w:sz w:val="16"/>
                <w:szCs w:val="16"/>
              </w:rPr>
              <w:t>LEI</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Olsson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Anders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1869" w:rsidRPr="00E62976" w:rsidRDefault="00861869" w:rsidP="00E62976">
            <w:pPr>
              <w:spacing w:line="240" w:lineRule="auto"/>
              <w:jc w:val="center"/>
              <w:rPr>
                <w:rFonts w:cs="Arial"/>
                <w:bCs/>
                <w:sz w:val="16"/>
                <w:szCs w:val="16"/>
              </w:rPr>
            </w:pPr>
            <w:r w:rsidRPr="00E62976">
              <w:rPr>
                <w:sz w:val="16"/>
                <w:szCs w:val="16"/>
              </w:rPr>
              <w:t>LRC</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Häggström</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Anna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1869" w:rsidRPr="00E62976" w:rsidRDefault="00861869" w:rsidP="00E62976">
            <w:pPr>
              <w:spacing w:line="240" w:lineRule="auto"/>
              <w:jc w:val="center"/>
              <w:rPr>
                <w:rFonts w:cs="Arial"/>
                <w:bCs/>
                <w:sz w:val="16"/>
                <w:szCs w:val="16"/>
              </w:rPr>
            </w:pPr>
            <w:r w:rsidRPr="00E62976">
              <w:rPr>
                <w:sz w:val="16"/>
                <w:szCs w:val="16"/>
              </w:rPr>
              <w:t>LRC</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Klug</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Joakim</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1869" w:rsidRPr="00E62976" w:rsidRDefault="00861869" w:rsidP="00E62976">
            <w:pPr>
              <w:spacing w:line="240" w:lineRule="auto"/>
              <w:jc w:val="center"/>
              <w:rPr>
                <w:rFonts w:cs="Arial"/>
                <w:bCs/>
                <w:sz w:val="16"/>
                <w:szCs w:val="16"/>
              </w:rPr>
            </w:pPr>
            <w:r w:rsidRPr="00E62976">
              <w:rPr>
                <w:sz w:val="16"/>
                <w:szCs w:val="16"/>
              </w:rPr>
              <w:t>LRC</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Kumar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Manorma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1869" w:rsidRPr="00E62976" w:rsidRDefault="00861869" w:rsidP="00E62976">
            <w:pPr>
              <w:spacing w:line="240" w:lineRule="auto"/>
              <w:jc w:val="center"/>
              <w:rPr>
                <w:rFonts w:cs="Arial"/>
                <w:bCs/>
                <w:sz w:val="16"/>
                <w:szCs w:val="16"/>
              </w:rPr>
            </w:pPr>
            <w:r w:rsidRPr="00E62976">
              <w:rPr>
                <w:sz w:val="16"/>
                <w:szCs w:val="16"/>
              </w:rPr>
              <w:t>LRC</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Knochenhauer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Michael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1869" w:rsidRPr="00E62976" w:rsidRDefault="00861869" w:rsidP="00E62976">
            <w:pPr>
              <w:spacing w:line="240" w:lineRule="auto"/>
              <w:jc w:val="center"/>
              <w:rPr>
                <w:rFonts w:cs="Arial"/>
                <w:bCs/>
                <w:sz w:val="16"/>
                <w:szCs w:val="16"/>
              </w:rPr>
            </w:pPr>
            <w:r w:rsidRPr="00E62976">
              <w:rPr>
                <w:sz w:val="16"/>
                <w:szCs w:val="16"/>
              </w:rPr>
              <w:t>LRC</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Kowal</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Karol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1869" w:rsidRPr="00E62976" w:rsidRDefault="00861869" w:rsidP="00E62976">
            <w:pPr>
              <w:spacing w:line="240" w:lineRule="auto"/>
              <w:jc w:val="center"/>
              <w:rPr>
                <w:rFonts w:cs="Arial"/>
                <w:bCs/>
                <w:sz w:val="16"/>
                <w:szCs w:val="16"/>
              </w:rPr>
            </w:pPr>
            <w:r w:rsidRPr="00E62976">
              <w:rPr>
                <w:sz w:val="16"/>
                <w:szCs w:val="16"/>
              </w:rPr>
              <w:t>NCBJ</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Borysiewicz</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Mieczyslaw</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1869" w:rsidRPr="00E62976" w:rsidRDefault="00861869" w:rsidP="00E62976">
            <w:pPr>
              <w:spacing w:line="240" w:lineRule="auto"/>
              <w:jc w:val="center"/>
              <w:rPr>
                <w:rFonts w:cs="Arial"/>
                <w:bCs/>
                <w:sz w:val="16"/>
                <w:szCs w:val="16"/>
              </w:rPr>
            </w:pPr>
            <w:r w:rsidRPr="00E62976">
              <w:rPr>
                <w:sz w:val="16"/>
                <w:szCs w:val="16"/>
              </w:rPr>
              <w:t>NCBJ</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Potempski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Slawomir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1869" w:rsidRPr="00E62976" w:rsidRDefault="00861869" w:rsidP="00E62976">
            <w:pPr>
              <w:spacing w:line="240" w:lineRule="auto"/>
              <w:jc w:val="center"/>
              <w:rPr>
                <w:rFonts w:cs="Arial"/>
                <w:bCs/>
                <w:sz w:val="16"/>
                <w:szCs w:val="16"/>
              </w:rPr>
            </w:pPr>
            <w:r w:rsidRPr="00E62976">
              <w:rPr>
                <w:sz w:val="16"/>
                <w:szCs w:val="16"/>
              </w:rPr>
              <w:t>NCBJ</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Vestrucci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Paolo</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center"/>
              <w:rPr>
                <w:rFonts w:cs="Arial"/>
                <w:bCs/>
                <w:sz w:val="16"/>
                <w:szCs w:val="16"/>
              </w:rPr>
            </w:pPr>
            <w:r w:rsidRPr="00E62976">
              <w:rPr>
                <w:sz w:val="16"/>
                <w:szCs w:val="16"/>
              </w:rPr>
              <w:t>NIER</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La Rovere</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Stephano</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center"/>
              <w:rPr>
                <w:rFonts w:cs="Arial"/>
                <w:bCs/>
                <w:sz w:val="16"/>
                <w:szCs w:val="16"/>
              </w:rPr>
            </w:pPr>
            <w:r w:rsidRPr="00E62976">
              <w:rPr>
                <w:sz w:val="16"/>
                <w:szCs w:val="16"/>
              </w:rPr>
              <w:t>NIER</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Brinkman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Hans (Johannes L.)</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center"/>
              <w:rPr>
                <w:rFonts w:cs="Arial"/>
                <w:bCs/>
                <w:sz w:val="16"/>
                <w:szCs w:val="16"/>
              </w:rPr>
            </w:pPr>
            <w:r w:rsidRPr="00E62976">
              <w:rPr>
                <w:sz w:val="16"/>
                <w:szCs w:val="16"/>
              </w:rPr>
              <w:t>NRG</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Bareith</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Attila</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center"/>
              <w:rPr>
                <w:rFonts w:cs="Arial"/>
                <w:bCs/>
                <w:sz w:val="16"/>
                <w:szCs w:val="16"/>
              </w:rPr>
            </w:pPr>
            <w:r w:rsidRPr="00E62976">
              <w:rPr>
                <w:sz w:val="16"/>
                <w:szCs w:val="16"/>
              </w:rPr>
              <w:t>NUBIKI</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Lajtha</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Gabor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1869" w:rsidRPr="00E62976" w:rsidRDefault="00861869" w:rsidP="00E62976">
            <w:pPr>
              <w:spacing w:line="240" w:lineRule="auto"/>
              <w:jc w:val="center"/>
              <w:rPr>
                <w:rFonts w:cs="Arial"/>
                <w:bCs/>
                <w:sz w:val="16"/>
                <w:szCs w:val="16"/>
              </w:rPr>
            </w:pPr>
            <w:r w:rsidRPr="00E62976">
              <w:rPr>
                <w:sz w:val="16"/>
                <w:szCs w:val="16"/>
              </w:rPr>
              <w:t>NUBIKI</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Siklossy</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Tamas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1869" w:rsidRPr="00E62976" w:rsidRDefault="00861869" w:rsidP="00E62976">
            <w:pPr>
              <w:spacing w:line="240" w:lineRule="auto"/>
              <w:jc w:val="center"/>
              <w:rPr>
                <w:rFonts w:cs="Arial"/>
                <w:bCs/>
                <w:sz w:val="16"/>
                <w:szCs w:val="16"/>
              </w:rPr>
            </w:pPr>
            <w:r w:rsidRPr="00E62976">
              <w:rPr>
                <w:sz w:val="16"/>
                <w:szCs w:val="16"/>
              </w:rPr>
              <w:t>NUBIKI</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Caracciolo</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Eduardo</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center"/>
              <w:rPr>
                <w:rFonts w:cs="Arial"/>
                <w:bCs/>
                <w:sz w:val="16"/>
                <w:szCs w:val="16"/>
              </w:rPr>
            </w:pPr>
            <w:r w:rsidRPr="00E62976">
              <w:rPr>
                <w:sz w:val="16"/>
                <w:szCs w:val="16"/>
              </w:rPr>
              <w:t>RSE</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Morandi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Sonia</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center"/>
              <w:rPr>
                <w:rFonts w:cs="Arial"/>
                <w:bCs/>
                <w:sz w:val="16"/>
                <w:szCs w:val="16"/>
              </w:rPr>
            </w:pPr>
            <w:r w:rsidRPr="00E62976">
              <w:rPr>
                <w:sz w:val="16"/>
                <w:szCs w:val="16"/>
              </w:rPr>
              <w:t>RSE</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Gorpinchenko</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Oleg</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center"/>
              <w:rPr>
                <w:rFonts w:cs="Arial"/>
                <w:bCs/>
                <w:sz w:val="16"/>
                <w:szCs w:val="16"/>
              </w:rPr>
            </w:pPr>
            <w:r w:rsidRPr="00E62976">
              <w:rPr>
                <w:sz w:val="16"/>
                <w:szCs w:val="16"/>
              </w:rPr>
              <w:t>SSTC</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Dybach</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Oleksiy</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1869" w:rsidRPr="00E62976" w:rsidRDefault="00861869" w:rsidP="00E62976">
            <w:pPr>
              <w:spacing w:line="240" w:lineRule="auto"/>
              <w:jc w:val="center"/>
              <w:rPr>
                <w:rFonts w:cs="Arial"/>
                <w:bCs/>
                <w:sz w:val="16"/>
                <w:szCs w:val="16"/>
              </w:rPr>
            </w:pPr>
            <w:r w:rsidRPr="00E62976">
              <w:rPr>
                <w:sz w:val="16"/>
                <w:szCs w:val="16"/>
              </w:rPr>
              <w:t>SSTC</w:t>
            </w:r>
          </w:p>
        </w:tc>
      </w:tr>
      <w:tr w:rsidR="00861869"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Grondal</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Corentin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1869" w:rsidRPr="00E62976" w:rsidRDefault="00861869" w:rsidP="00E62976">
            <w:pPr>
              <w:spacing w:line="240" w:lineRule="auto"/>
              <w:jc w:val="center"/>
              <w:rPr>
                <w:rFonts w:cs="Arial"/>
                <w:bCs/>
                <w:sz w:val="16"/>
                <w:szCs w:val="16"/>
              </w:rPr>
            </w:pPr>
            <w:r w:rsidRPr="00E62976">
              <w:rPr>
                <w:sz w:val="16"/>
                <w:szCs w:val="16"/>
              </w:rPr>
              <w:t>TRACTEBEL</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Claus</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Etienne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1869" w:rsidRPr="00E62976" w:rsidRDefault="00861869" w:rsidP="00E62976">
            <w:pPr>
              <w:spacing w:line="240" w:lineRule="auto"/>
              <w:jc w:val="center"/>
              <w:rPr>
                <w:rFonts w:cs="Arial"/>
                <w:bCs/>
                <w:sz w:val="16"/>
                <w:szCs w:val="16"/>
              </w:rPr>
            </w:pPr>
            <w:r w:rsidRPr="00E62976">
              <w:rPr>
                <w:sz w:val="16"/>
                <w:szCs w:val="16"/>
              </w:rPr>
              <w:t>TRACTEBEL</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Oury</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Laurence</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center"/>
              <w:rPr>
                <w:rFonts w:cs="Arial"/>
                <w:bCs/>
                <w:sz w:val="16"/>
                <w:szCs w:val="16"/>
              </w:rPr>
            </w:pPr>
            <w:r w:rsidRPr="00E62976">
              <w:rPr>
                <w:sz w:val="16"/>
                <w:szCs w:val="16"/>
              </w:rPr>
              <w:t>TRACTEBEL</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Dejardin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Philippe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1869" w:rsidRPr="00E62976" w:rsidRDefault="00861869" w:rsidP="00E62976">
            <w:pPr>
              <w:spacing w:line="240" w:lineRule="auto"/>
              <w:jc w:val="center"/>
              <w:rPr>
                <w:rFonts w:cs="Arial"/>
                <w:bCs/>
                <w:sz w:val="16"/>
                <w:szCs w:val="16"/>
              </w:rPr>
            </w:pPr>
            <w:r w:rsidRPr="00E62976">
              <w:rPr>
                <w:sz w:val="16"/>
                <w:szCs w:val="16"/>
              </w:rPr>
              <w:t>TRACTEBEL</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Yu</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Shizhen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1869" w:rsidRPr="00E62976" w:rsidRDefault="00861869" w:rsidP="00E62976">
            <w:pPr>
              <w:spacing w:line="240" w:lineRule="auto"/>
              <w:jc w:val="center"/>
              <w:rPr>
                <w:rFonts w:cs="Arial"/>
                <w:bCs/>
                <w:sz w:val="16"/>
                <w:szCs w:val="16"/>
              </w:rPr>
            </w:pPr>
            <w:r w:rsidRPr="00E62976">
              <w:rPr>
                <w:sz w:val="16"/>
                <w:szCs w:val="16"/>
              </w:rPr>
              <w:t>TRACTEBEL</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Mitaille</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61869" w:rsidRPr="00E62976" w:rsidRDefault="00861869" w:rsidP="00E62976">
            <w:pPr>
              <w:spacing w:line="240" w:lineRule="auto"/>
              <w:jc w:val="left"/>
              <w:rPr>
                <w:rFonts w:cs="Arial"/>
                <w:bCs/>
                <w:sz w:val="16"/>
                <w:szCs w:val="16"/>
              </w:rPr>
            </w:pPr>
            <w:r w:rsidRPr="00E62976">
              <w:rPr>
                <w:sz w:val="16"/>
                <w:szCs w:val="16"/>
              </w:rPr>
              <w:t>Stanislas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61869" w:rsidRPr="00E62976" w:rsidRDefault="00861869" w:rsidP="00E62976">
            <w:pPr>
              <w:spacing w:line="240" w:lineRule="auto"/>
              <w:jc w:val="center"/>
              <w:rPr>
                <w:rFonts w:cs="Arial"/>
                <w:bCs/>
                <w:sz w:val="16"/>
                <w:szCs w:val="16"/>
              </w:rPr>
            </w:pPr>
            <w:r w:rsidRPr="00E62976">
              <w:rPr>
                <w:sz w:val="16"/>
                <w:szCs w:val="16"/>
              </w:rPr>
              <w:t>TRACTEBEL</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861869" w:rsidRPr="00E62976" w:rsidRDefault="00861869" w:rsidP="00E62976">
            <w:pPr>
              <w:spacing w:line="240" w:lineRule="auto"/>
              <w:jc w:val="left"/>
              <w:rPr>
                <w:rFonts w:cs="Arial"/>
                <w:bCs/>
                <w:sz w:val="16"/>
                <w:szCs w:val="16"/>
              </w:rPr>
            </w:pPr>
            <w:r w:rsidRPr="00E62976">
              <w:rPr>
                <w:sz w:val="16"/>
                <w:szCs w:val="16"/>
              </w:rPr>
              <w:t>Zeynab</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rsidR="00861869" w:rsidRPr="00E62976" w:rsidRDefault="00861869" w:rsidP="00E62976">
            <w:pPr>
              <w:spacing w:line="240" w:lineRule="auto"/>
              <w:jc w:val="left"/>
              <w:rPr>
                <w:rFonts w:cs="Arial"/>
                <w:bCs/>
                <w:sz w:val="16"/>
                <w:szCs w:val="16"/>
              </w:rPr>
            </w:pPr>
            <w:r w:rsidRPr="00E62976">
              <w:rPr>
                <w:sz w:val="16"/>
                <w:szCs w:val="16"/>
              </w:rPr>
              <w:t xml:space="preserve">Umidova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61869" w:rsidRPr="00E62976" w:rsidRDefault="00861869" w:rsidP="00E62976">
            <w:pPr>
              <w:spacing w:line="240" w:lineRule="auto"/>
              <w:jc w:val="center"/>
              <w:rPr>
                <w:rFonts w:cs="Arial"/>
                <w:bCs/>
                <w:sz w:val="16"/>
                <w:szCs w:val="16"/>
              </w:rPr>
            </w:pPr>
            <w:r w:rsidRPr="00E62976">
              <w:rPr>
                <w:sz w:val="16"/>
                <w:szCs w:val="16"/>
              </w:rPr>
              <w:t>TRACTEBEL</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861869" w:rsidRPr="00E62976" w:rsidRDefault="00861869" w:rsidP="00E62976">
            <w:pPr>
              <w:spacing w:line="240" w:lineRule="auto"/>
              <w:jc w:val="left"/>
              <w:rPr>
                <w:rFonts w:cs="Arial"/>
                <w:bCs/>
                <w:sz w:val="16"/>
                <w:szCs w:val="16"/>
              </w:rPr>
            </w:pPr>
            <w:r w:rsidRPr="00E62976">
              <w:rPr>
                <w:sz w:val="16"/>
                <w:szCs w:val="16"/>
              </w:rPr>
              <w:t>Bogdanov</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rsidR="00861869" w:rsidRPr="00E62976" w:rsidRDefault="00861869" w:rsidP="00E62976">
            <w:pPr>
              <w:spacing w:line="240" w:lineRule="auto"/>
              <w:jc w:val="left"/>
              <w:rPr>
                <w:rFonts w:cs="Arial"/>
                <w:bCs/>
                <w:sz w:val="16"/>
                <w:szCs w:val="16"/>
              </w:rPr>
            </w:pPr>
            <w:r w:rsidRPr="00E62976">
              <w:rPr>
                <w:sz w:val="16"/>
                <w:szCs w:val="16"/>
              </w:rPr>
              <w:t>Dimitar</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61869" w:rsidRPr="00E62976" w:rsidRDefault="00861869" w:rsidP="00E62976">
            <w:pPr>
              <w:spacing w:line="240" w:lineRule="auto"/>
              <w:jc w:val="center"/>
              <w:rPr>
                <w:rFonts w:cs="Arial"/>
                <w:bCs/>
                <w:sz w:val="16"/>
                <w:szCs w:val="16"/>
              </w:rPr>
            </w:pPr>
            <w:r w:rsidRPr="00E62976">
              <w:rPr>
                <w:sz w:val="16"/>
                <w:szCs w:val="16"/>
              </w:rPr>
              <w:t>TUS</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861869" w:rsidRPr="00E62976" w:rsidRDefault="00861869" w:rsidP="00E62976">
            <w:pPr>
              <w:spacing w:line="240" w:lineRule="auto"/>
              <w:jc w:val="left"/>
              <w:rPr>
                <w:rFonts w:cs="Arial"/>
                <w:bCs/>
                <w:sz w:val="16"/>
                <w:szCs w:val="16"/>
              </w:rPr>
            </w:pPr>
            <w:r w:rsidRPr="00E62976">
              <w:rPr>
                <w:sz w:val="16"/>
                <w:szCs w:val="16"/>
              </w:rPr>
              <w:t>Ivanov</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rsidR="00861869" w:rsidRPr="00E62976" w:rsidRDefault="00861869" w:rsidP="00E62976">
            <w:pPr>
              <w:spacing w:line="240" w:lineRule="auto"/>
              <w:jc w:val="left"/>
              <w:rPr>
                <w:rFonts w:cs="Arial"/>
                <w:bCs/>
                <w:sz w:val="16"/>
                <w:szCs w:val="16"/>
              </w:rPr>
            </w:pPr>
            <w:r w:rsidRPr="00E62976">
              <w:rPr>
                <w:sz w:val="16"/>
                <w:szCs w:val="16"/>
              </w:rPr>
              <w:t>Ivan</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61869" w:rsidRPr="00E62976" w:rsidRDefault="00861869" w:rsidP="00E62976">
            <w:pPr>
              <w:spacing w:line="240" w:lineRule="auto"/>
              <w:jc w:val="center"/>
              <w:rPr>
                <w:rFonts w:cs="Arial"/>
                <w:bCs/>
                <w:sz w:val="16"/>
                <w:szCs w:val="16"/>
              </w:rPr>
            </w:pPr>
            <w:r w:rsidRPr="00E62976">
              <w:rPr>
                <w:sz w:val="16"/>
                <w:szCs w:val="16"/>
              </w:rPr>
              <w:t>TUS</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861869" w:rsidRPr="00E62976" w:rsidRDefault="00861869" w:rsidP="00E62976">
            <w:pPr>
              <w:spacing w:line="240" w:lineRule="auto"/>
              <w:jc w:val="left"/>
              <w:rPr>
                <w:rFonts w:cs="Arial"/>
                <w:bCs/>
                <w:sz w:val="16"/>
                <w:szCs w:val="16"/>
              </w:rPr>
            </w:pPr>
            <w:r w:rsidRPr="00E62976">
              <w:rPr>
                <w:sz w:val="16"/>
                <w:szCs w:val="16"/>
              </w:rPr>
              <w:t>Kubicek</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rsidR="00861869" w:rsidRPr="00E62976" w:rsidRDefault="00861869" w:rsidP="00E62976">
            <w:pPr>
              <w:spacing w:line="240" w:lineRule="auto"/>
              <w:jc w:val="left"/>
              <w:rPr>
                <w:rFonts w:cs="Arial"/>
                <w:bCs/>
                <w:sz w:val="16"/>
                <w:szCs w:val="16"/>
              </w:rPr>
            </w:pPr>
            <w:r w:rsidRPr="00E62976">
              <w:rPr>
                <w:sz w:val="16"/>
                <w:szCs w:val="16"/>
              </w:rPr>
              <w:t>Jan</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61869" w:rsidRPr="00E62976" w:rsidRDefault="00861869" w:rsidP="00E62976">
            <w:pPr>
              <w:spacing w:line="240" w:lineRule="auto"/>
              <w:jc w:val="center"/>
              <w:rPr>
                <w:rFonts w:cs="Arial"/>
                <w:bCs/>
                <w:sz w:val="16"/>
                <w:szCs w:val="16"/>
              </w:rPr>
            </w:pPr>
            <w:r w:rsidRPr="00E62976">
              <w:rPr>
                <w:sz w:val="16"/>
                <w:szCs w:val="16"/>
              </w:rPr>
              <w:t>UJV</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861869" w:rsidRPr="00E62976" w:rsidRDefault="00861869" w:rsidP="00E62976">
            <w:pPr>
              <w:spacing w:line="240" w:lineRule="auto"/>
              <w:jc w:val="left"/>
              <w:rPr>
                <w:rFonts w:cs="Arial"/>
                <w:bCs/>
                <w:sz w:val="16"/>
                <w:szCs w:val="16"/>
              </w:rPr>
            </w:pPr>
            <w:r w:rsidRPr="00E62976">
              <w:rPr>
                <w:sz w:val="16"/>
                <w:szCs w:val="16"/>
              </w:rPr>
              <w:t>Holy</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rsidR="00861869" w:rsidRPr="00E62976" w:rsidRDefault="00861869" w:rsidP="00E62976">
            <w:pPr>
              <w:spacing w:line="240" w:lineRule="auto"/>
              <w:jc w:val="left"/>
              <w:rPr>
                <w:rFonts w:cs="Arial"/>
                <w:bCs/>
                <w:sz w:val="16"/>
                <w:szCs w:val="16"/>
              </w:rPr>
            </w:pPr>
            <w:r w:rsidRPr="00E62976">
              <w:rPr>
                <w:sz w:val="16"/>
                <w:szCs w:val="16"/>
              </w:rPr>
              <w:t>Jaroslav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61869" w:rsidRPr="00E62976" w:rsidRDefault="00861869" w:rsidP="00E62976">
            <w:pPr>
              <w:spacing w:line="240" w:lineRule="auto"/>
              <w:jc w:val="center"/>
              <w:rPr>
                <w:rFonts w:cs="Arial"/>
                <w:bCs/>
                <w:sz w:val="16"/>
                <w:szCs w:val="16"/>
              </w:rPr>
            </w:pPr>
            <w:r w:rsidRPr="00E62976">
              <w:rPr>
                <w:sz w:val="16"/>
                <w:szCs w:val="16"/>
              </w:rPr>
              <w:t>UJV</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861869" w:rsidRPr="00E62976" w:rsidRDefault="00861869" w:rsidP="00E62976">
            <w:pPr>
              <w:spacing w:line="240" w:lineRule="auto"/>
              <w:jc w:val="left"/>
              <w:rPr>
                <w:sz w:val="16"/>
                <w:szCs w:val="16"/>
              </w:rPr>
            </w:pPr>
            <w:r w:rsidRPr="00E62976">
              <w:rPr>
                <w:sz w:val="16"/>
                <w:szCs w:val="16"/>
              </w:rPr>
              <w:t>Kolar</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rsidR="00861869" w:rsidRPr="00E62976" w:rsidRDefault="00861869" w:rsidP="00E62976">
            <w:pPr>
              <w:spacing w:line="240" w:lineRule="auto"/>
              <w:jc w:val="left"/>
              <w:rPr>
                <w:sz w:val="16"/>
                <w:szCs w:val="16"/>
              </w:rPr>
            </w:pPr>
            <w:r w:rsidRPr="00E62976">
              <w:rPr>
                <w:sz w:val="16"/>
                <w:szCs w:val="16"/>
              </w:rPr>
              <w:t>Ladislav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61869" w:rsidRPr="00E62976" w:rsidRDefault="00861869" w:rsidP="00E62976">
            <w:pPr>
              <w:spacing w:line="240" w:lineRule="auto"/>
              <w:jc w:val="center"/>
              <w:rPr>
                <w:sz w:val="16"/>
                <w:szCs w:val="16"/>
              </w:rPr>
            </w:pPr>
            <w:r w:rsidRPr="00E62976">
              <w:rPr>
                <w:sz w:val="16"/>
                <w:szCs w:val="16"/>
              </w:rPr>
              <w:t>UJV</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861869" w:rsidRPr="00E62976" w:rsidRDefault="00861869" w:rsidP="00E62976">
            <w:pPr>
              <w:spacing w:line="240" w:lineRule="auto"/>
              <w:jc w:val="left"/>
              <w:rPr>
                <w:sz w:val="16"/>
                <w:szCs w:val="16"/>
              </w:rPr>
            </w:pPr>
            <w:r w:rsidRPr="00E62976">
              <w:rPr>
                <w:sz w:val="16"/>
                <w:szCs w:val="16"/>
              </w:rPr>
              <w:t>Jaros</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rsidR="00861869" w:rsidRPr="00E62976" w:rsidRDefault="00861869" w:rsidP="00E62976">
            <w:pPr>
              <w:spacing w:line="240" w:lineRule="auto"/>
              <w:jc w:val="left"/>
              <w:rPr>
                <w:sz w:val="16"/>
                <w:szCs w:val="16"/>
              </w:rPr>
            </w:pPr>
            <w:r w:rsidRPr="00E62976">
              <w:rPr>
                <w:sz w:val="16"/>
                <w:szCs w:val="16"/>
              </w:rPr>
              <w:t>Milan</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61869" w:rsidRPr="00E62976" w:rsidRDefault="00861869" w:rsidP="00E62976">
            <w:pPr>
              <w:spacing w:line="240" w:lineRule="auto"/>
              <w:jc w:val="center"/>
              <w:rPr>
                <w:sz w:val="16"/>
                <w:szCs w:val="16"/>
              </w:rPr>
            </w:pPr>
            <w:r w:rsidRPr="00E62976">
              <w:rPr>
                <w:sz w:val="16"/>
                <w:szCs w:val="16"/>
              </w:rPr>
              <w:t>UJV</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861869" w:rsidRPr="00E62976" w:rsidRDefault="00861869" w:rsidP="00E62976">
            <w:pPr>
              <w:spacing w:line="240" w:lineRule="auto"/>
              <w:jc w:val="left"/>
              <w:rPr>
                <w:sz w:val="16"/>
                <w:szCs w:val="16"/>
              </w:rPr>
            </w:pPr>
            <w:r w:rsidRPr="00E62976">
              <w:rPr>
                <w:sz w:val="16"/>
                <w:szCs w:val="16"/>
              </w:rPr>
              <w:t>Hustak</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rsidR="00861869" w:rsidRPr="00E62976" w:rsidRDefault="00861869" w:rsidP="00E62976">
            <w:pPr>
              <w:spacing w:line="240" w:lineRule="auto"/>
              <w:jc w:val="left"/>
              <w:rPr>
                <w:sz w:val="16"/>
                <w:szCs w:val="16"/>
              </w:rPr>
            </w:pPr>
            <w:r w:rsidRPr="00E62976">
              <w:rPr>
                <w:sz w:val="16"/>
                <w:szCs w:val="16"/>
              </w:rPr>
              <w:t>Stanislav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61869" w:rsidRPr="00E62976" w:rsidRDefault="00861869" w:rsidP="00E62976">
            <w:pPr>
              <w:spacing w:line="240" w:lineRule="auto"/>
              <w:jc w:val="center"/>
              <w:rPr>
                <w:sz w:val="16"/>
                <w:szCs w:val="16"/>
              </w:rPr>
            </w:pPr>
            <w:r w:rsidRPr="00E62976">
              <w:rPr>
                <w:sz w:val="16"/>
                <w:szCs w:val="16"/>
              </w:rPr>
              <w:t>UJV</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861869" w:rsidRPr="00E62976" w:rsidRDefault="00861869" w:rsidP="00E62976">
            <w:pPr>
              <w:spacing w:line="240" w:lineRule="auto"/>
              <w:jc w:val="left"/>
              <w:rPr>
                <w:sz w:val="16"/>
                <w:szCs w:val="16"/>
              </w:rPr>
            </w:pPr>
            <w:r w:rsidRPr="00E62976">
              <w:rPr>
                <w:sz w:val="16"/>
                <w:szCs w:val="16"/>
              </w:rPr>
              <w:t>Prochaska</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rsidR="00861869" w:rsidRPr="00E62976" w:rsidRDefault="00861869" w:rsidP="00E62976">
            <w:pPr>
              <w:spacing w:line="240" w:lineRule="auto"/>
              <w:jc w:val="left"/>
              <w:rPr>
                <w:sz w:val="16"/>
                <w:szCs w:val="16"/>
              </w:rPr>
            </w:pPr>
            <w:r w:rsidRPr="00E62976">
              <w:rPr>
                <w:sz w:val="16"/>
                <w:szCs w:val="16"/>
              </w:rPr>
              <w:t>Jan</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61869" w:rsidRPr="00E62976" w:rsidRDefault="00861869" w:rsidP="00E62976">
            <w:pPr>
              <w:spacing w:line="240" w:lineRule="auto"/>
              <w:jc w:val="center"/>
              <w:rPr>
                <w:sz w:val="16"/>
                <w:szCs w:val="16"/>
              </w:rPr>
            </w:pPr>
            <w:r w:rsidRPr="00E62976">
              <w:rPr>
                <w:sz w:val="16"/>
                <w:szCs w:val="16"/>
              </w:rPr>
              <w:t>VUJE</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861869" w:rsidRPr="00E62976" w:rsidRDefault="00861869" w:rsidP="00E62976">
            <w:pPr>
              <w:spacing w:line="240" w:lineRule="auto"/>
              <w:jc w:val="left"/>
              <w:rPr>
                <w:sz w:val="16"/>
                <w:szCs w:val="16"/>
              </w:rPr>
            </w:pPr>
            <w:r w:rsidRPr="00E62976">
              <w:rPr>
                <w:sz w:val="16"/>
                <w:szCs w:val="16"/>
              </w:rPr>
              <w:t>Halada</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rsidR="00861869" w:rsidRPr="00E62976" w:rsidRDefault="00861869" w:rsidP="00E62976">
            <w:pPr>
              <w:spacing w:line="240" w:lineRule="auto"/>
              <w:jc w:val="left"/>
              <w:rPr>
                <w:sz w:val="16"/>
                <w:szCs w:val="16"/>
              </w:rPr>
            </w:pPr>
            <w:r w:rsidRPr="00E62976">
              <w:rPr>
                <w:sz w:val="16"/>
                <w:szCs w:val="16"/>
              </w:rPr>
              <w:t>Peter</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61869" w:rsidRPr="00E62976" w:rsidRDefault="00861869" w:rsidP="00E62976">
            <w:pPr>
              <w:spacing w:line="240" w:lineRule="auto"/>
              <w:jc w:val="center"/>
              <w:rPr>
                <w:sz w:val="16"/>
                <w:szCs w:val="16"/>
              </w:rPr>
            </w:pPr>
            <w:r w:rsidRPr="00E62976">
              <w:rPr>
                <w:sz w:val="16"/>
                <w:szCs w:val="16"/>
              </w:rPr>
              <w:t>VUJE</w:t>
            </w:r>
          </w:p>
        </w:tc>
      </w:tr>
      <w:tr w:rsidR="000D3D4D" w:rsidRPr="000E7B29"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861869" w:rsidRPr="00E62976" w:rsidRDefault="00861869" w:rsidP="00E62976">
            <w:pPr>
              <w:spacing w:line="240" w:lineRule="auto"/>
              <w:jc w:val="left"/>
              <w:rPr>
                <w:sz w:val="16"/>
                <w:szCs w:val="16"/>
              </w:rPr>
            </w:pPr>
            <w:r w:rsidRPr="00E62976">
              <w:rPr>
                <w:sz w:val="16"/>
                <w:szCs w:val="16"/>
              </w:rPr>
              <w:t>Stojka</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rsidR="00861869" w:rsidRPr="00E62976" w:rsidRDefault="00861869" w:rsidP="00E62976">
            <w:pPr>
              <w:spacing w:line="240" w:lineRule="auto"/>
              <w:jc w:val="left"/>
              <w:rPr>
                <w:sz w:val="16"/>
                <w:szCs w:val="16"/>
              </w:rPr>
            </w:pPr>
            <w:r w:rsidRPr="00E62976">
              <w:rPr>
                <w:sz w:val="16"/>
                <w:szCs w:val="16"/>
              </w:rPr>
              <w:t>Tibor</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61869" w:rsidRPr="00E62976" w:rsidRDefault="00861869" w:rsidP="00E62976">
            <w:pPr>
              <w:spacing w:line="240" w:lineRule="auto"/>
              <w:jc w:val="center"/>
              <w:rPr>
                <w:sz w:val="16"/>
                <w:szCs w:val="16"/>
              </w:rPr>
            </w:pPr>
            <w:r w:rsidRPr="00E62976">
              <w:rPr>
                <w:sz w:val="16"/>
                <w:szCs w:val="16"/>
              </w:rPr>
              <w:t>VUJE</w:t>
            </w:r>
          </w:p>
        </w:tc>
      </w:tr>
    </w:tbl>
    <w:p w:rsidR="000A309B" w:rsidRPr="005E42A2" w:rsidRDefault="000A309B" w:rsidP="000A309B">
      <w:pPr>
        <w:rPr>
          <w:smallCaps/>
          <w:lang w:val="en-US"/>
        </w:rPr>
      </w:pPr>
      <w:r w:rsidRPr="005E42A2">
        <w:rPr>
          <w:b/>
          <w:lang w:val="en-US"/>
        </w:rPr>
        <w:t>REPRESENTATIVE OF ASSOCIATED PARTNERS (External Experts Advisory Board (EEAB))</w:t>
      </w:r>
    </w:p>
    <w:p w:rsidR="000A309B" w:rsidRPr="005E42A2" w:rsidRDefault="000A309B" w:rsidP="000A309B">
      <w:pPr>
        <w:jc w:val="left"/>
        <w:rPr>
          <w:rFonts w:cs="Arial"/>
          <w:b/>
          <w:bCs/>
          <w:szCs w:val="18"/>
          <w:lang w:val="en-US"/>
        </w:rPr>
      </w:pPr>
    </w:p>
    <w:tbl>
      <w:tblPr>
        <w:tblW w:w="0" w:type="auto"/>
        <w:tblCellMar>
          <w:left w:w="70" w:type="dxa"/>
          <w:right w:w="70" w:type="dxa"/>
        </w:tblCellMar>
        <w:tblLook w:val="04A0" w:firstRow="1" w:lastRow="0" w:firstColumn="1" w:lastColumn="0" w:noHBand="0" w:noVBand="1"/>
      </w:tblPr>
      <w:tblGrid>
        <w:gridCol w:w="895"/>
        <w:gridCol w:w="956"/>
        <w:gridCol w:w="825"/>
      </w:tblGrid>
      <w:tr w:rsidR="000A309B" w:rsidRPr="004819BA"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0A309B" w:rsidRPr="004819BA" w:rsidRDefault="000A309B" w:rsidP="00E62976">
            <w:pPr>
              <w:spacing w:line="240" w:lineRule="auto"/>
              <w:jc w:val="left"/>
              <w:rPr>
                <w:sz w:val="16"/>
                <w:szCs w:val="16"/>
              </w:rPr>
            </w:pPr>
            <w:r w:rsidRPr="004819BA">
              <w:rPr>
                <w:rFonts w:cs="Arial"/>
                <w:b/>
                <w:bCs/>
                <w:sz w:val="16"/>
                <w:szCs w:val="16"/>
              </w:rPr>
              <w:t>Name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0A309B" w:rsidRPr="004819BA" w:rsidRDefault="000A309B" w:rsidP="00E62976">
            <w:pPr>
              <w:spacing w:line="240" w:lineRule="auto"/>
              <w:jc w:val="left"/>
              <w:rPr>
                <w:sz w:val="16"/>
                <w:szCs w:val="16"/>
              </w:rPr>
            </w:pPr>
            <w:r w:rsidRPr="004819BA">
              <w:rPr>
                <w:rFonts w:cs="Arial"/>
                <w:b/>
                <w:bCs/>
                <w:sz w:val="16"/>
                <w:szCs w:val="16"/>
              </w:rPr>
              <w:t>First name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0A309B" w:rsidRPr="004819BA" w:rsidRDefault="000A309B" w:rsidP="00E62976">
            <w:pPr>
              <w:spacing w:line="240" w:lineRule="auto"/>
              <w:jc w:val="center"/>
              <w:rPr>
                <w:sz w:val="16"/>
                <w:szCs w:val="16"/>
              </w:rPr>
            </w:pPr>
            <w:r w:rsidRPr="004819BA">
              <w:rPr>
                <w:rFonts w:cs="Arial"/>
                <w:b/>
                <w:bCs/>
                <w:sz w:val="16"/>
                <w:szCs w:val="16"/>
              </w:rPr>
              <w:t>Company</w:t>
            </w:r>
          </w:p>
        </w:tc>
      </w:tr>
      <w:tr w:rsidR="000A309B" w:rsidRPr="004819BA"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0A309B" w:rsidRPr="004819BA" w:rsidRDefault="000A309B" w:rsidP="00E62976">
            <w:pPr>
              <w:spacing w:line="240" w:lineRule="auto"/>
              <w:jc w:val="left"/>
              <w:rPr>
                <w:sz w:val="16"/>
                <w:szCs w:val="16"/>
              </w:rPr>
            </w:pPr>
            <w:r w:rsidRPr="004819BA">
              <w:rPr>
                <w:rFonts w:cs="Arial"/>
                <w:bCs/>
                <w:sz w:val="16"/>
                <w:szCs w:val="16"/>
              </w:rPr>
              <w:t>Hirata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0A309B" w:rsidRPr="004819BA" w:rsidRDefault="000A309B" w:rsidP="00E62976">
            <w:pPr>
              <w:spacing w:line="240" w:lineRule="auto"/>
              <w:jc w:val="left"/>
              <w:rPr>
                <w:sz w:val="16"/>
                <w:szCs w:val="16"/>
              </w:rPr>
            </w:pPr>
            <w:r w:rsidRPr="004819BA">
              <w:rPr>
                <w:rFonts w:cs="Arial"/>
                <w:bCs/>
                <w:sz w:val="16"/>
                <w:szCs w:val="16"/>
              </w:rPr>
              <w:t>Kazuta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0A309B" w:rsidRPr="004819BA" w:rsidRDefault="000A309B" w:rsidP="00E62976">
            <w:pPr>
              <w:spacing w:line="240" w:lineRule="auto"/>
              <w:jc w:val="center"/>
              <w:rPr>
                <w:sz w:val="16"/>
                <w:szCs w:val="16"/>
              </w:rPr>
            </w:pPr>
            <w:r w:rsidRPr="004819BA">
              <w:rPr>
                <w:rFonts w:cs="Arial"/>
                <w:bCs/>
                <w:sz w:val="16"/>
                <w:szCs w:val="16"/>
              </w:rPr>
              <w:t>JANSI</w:t>
            </w:r>
          </w:p>
        </w:tc>
      </w:tr>
      <w:tr w:rsidR="000A309B" w:rsidRPr="004819BA"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0A309B" w:rsidRPr="004819BA" w:rsidRDefault="000A309B" w:rsidP="00E62976">
            <w:pPr>
              <w:spacing w:line="240" w:lineRule="auto"/>
              <w:jc w:val="left"/>
              <w:rPr>
                <w:sz w:val="16"/>
                <w:szCs w:val="16"/>
              </w:rPr>
            </w:pPr>
            <w:r w:rsidRPr="004819BA">
              <w:rPr>
                <w:rFonts w:cs="Arial"/>
                <w:bCs/>
                <w:sz w:val="16"/>
                <w:szCs w:val="16"/>
              </w:rPr>
              <w:t>Hashimoto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0A309B" w:rsidRPr="004819BA" w:rsidRDefault="000A309B" w:rsidP="00E62976">
            <w:pPr>
              <w:spacing w:line="240" w:lineRule="auto"/>
              <w:jc w:val="left"/>
              <w:rPr>
                <w:sz w:val="16"/>
                <w:szCs w:val="16"/>
              </w:rPr>
            </w:pPr>
            <w:r w:rsidRPr="004819BA">
              <w:rPr>
                <w:rFonts w:cs="Arial"/>
                <w:bCs/>
                <w:sz w:val="16"/>
                <w:szCs w:val="16"/>
              </w:rPr>
              <w:t>Kazunori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0A309B" w:rsidRPr="004819BA" w:rsidRDefault="000A309B" w:rsidP="00E62976">
            <w:pPr>
              <w:spacing w:line="240" w:lineRule="auto"/>
              <w:jc w:val="center"/>
              <w:rPr>
                <w:sz w:val="16"/>
                <w:szCs w:val="16"/>
              </w:rPr>
            </w:pPr>
            <w:r w:rsidRPr="004819BA">
              <w:rPr>
                <w:rFonts w:cs="Arial"/>
                <w:bCs/>
                <w:sz w:val="16"/>
                <w:szCs w:val="16"/>
              </w:rPr>
              <w:t>JANSI</w:t>
            </w:r>
          </w:p>
        </w:tc>
      </w:tr>
      <w:tr w:rsidR="000A309B" w:rsidRPr="004819BA"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0A309B" w:rsidRPr="004819BA" w:rsidRDefault="000A309B" w:rsidP="00E62976">
            <w:pPr>
              <w:spacing w:line="240" w:lineRule="auto"/>
              <w:jc w:val="left"/>
              <w:rPr>
                <w:sz w:val="16"/>
                <w:szCs w:val="16"/>
              </w:rPr>
            </w:pPr>
            <w:r w:rsidRPr="004819BA">
              <w:rPr>
                <w:rFonts w:cs="Arial"/>
                <w:bCs/>
                <w:sz w:val="16"/>
                <w:szCs w:val="16"/>
              </w:rPr>
              <w:t>Inagaki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0A309B" w:rsidRPr="004819BA" w:rsidRDefault="000A309B" w:rsidP="00E62976">
            <w:pPr>
              <w:spacing w:line="240" w:lineRule="auto"/>
              <w:jc w:val="left"/>
              <w:rPr>
                <w:sz w:val="16"/>
                <w:szCs w:val="16"/>
              </w:rPr>
            </w:pPr>
            <w:r w:rsidRPr="004819BA">
              <w:rPr>
                <w:rFonts w:cs="Arial"/>
                <w:bCs/>
                <w:sz w:val="16"/>
                <w:szCs w:val="16"/>
              </w:rPr>
              <w:t>Masakatsu</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0A309B" w:rsidRPr="004819BA" w:rsidRDefault="000A309B" w:rsidP="00E62976">
            <w:pPr>
              <w:spacing w:line="240" w:lineRule="auto"/>
              <w:jc w:val="center"/>
              <w:rPr>
                <w:sz w:val="16"/>
                <w:szCs w:val="16"/>
              </w:rPr>
            </w:pPr>
            <w:r w:rsidRPr="004819BA">
              <w:rPr>
                <w:rFonts w:cs="Arial"/>
                <w:bCs/>
                <w:sz w:val="16"/>
                <w:szCs w:val="16"/>
              </w:rPr>
              <w:t>JANSI</w:t>
            </w:r>
          </w:p>
        </w:tc>
      </w:tr>
      <w:tr w:rsidR="000A309B" w:rsidRPr="004819BA"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0A309B" w:rsidRPr="004819BA" w:rsidRDefault="000A309B" w:rsidP="00E62976">
            <w:pPr>
              <w:spacing w:line="240" w:lineRule="auto"/>
              <w:jc w:val="left"/>
              <w:rPr>
                <w:sz w:val="16"/>
                <w:szCs w:val="16"/>
              </w:rPr>
            </w:pPr>
            <w:r w:rsidRPr="004819BA">
              <w:rPr>
                <w:rFonts w:cs="Arial"/>
                <w:bCs/>
                <w:sz w:val="16"/>
                <w:szCs w:val="16"/>
              </w:rPr>
              <w:t>Yamanana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0A309B" w:rsidRPr="004819BA" w:rsidRDefault="000A309B" w:rsidP="00E62976">
            <w:pPr>
              <w:spacing w:line="240" w:lineRule="auto"/>
              <w:jc w:val="left"/>
              <w:rPr>
                <w:sz w:val="16"/>
                <w:szCs w:val="16"/>
              </w:rPr>
            </w:pPr>
            <w:r w:rsidRPr="004819BA">
              <w:rPr>
                <w:rFonts w:cs="Arial"/>
                <w:bCs/>
                <w:sz w:val="16"/>
                <w:szCs w:val="16"/>
              </w:rPr>
              <w:t>Yasunori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0A309B" w:rsidRPr="004819BA" w:rsidRDefault="000A309B" w:rsidP="00E62976">
            <w:pPr>
              <w:spacing w:line="240" w:lineRule="auto"/>
              <w:jc w:val="center"/>
              <w:rPr>
                <w:sz w:val="16"/>
                <w:szCs w:val="16"/>
              </w:rPr>
            </w:pPr>
            <w:r w:rsidRPr="004819BA">
              <w:rPr>
                <w:rFonts w:cs="Arial"/>
                <w:bCs/>
                <w:sz w:val="16"/>
                <w:szCs w:val="16"/>
              </w:rPr>
              <w:t>TEPCO</w:t>
            </w:r>
          </w:p>
        </w:tc>
      </w:tr>
      <w:tr w:rsidR="000A309B" w:rsidRPr="004819BA"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0A309B" w:rsidRPr="004819BA" w:rsidRDefault="000A309B" w:rsidP="00E62976">
            <w:pPr>
              <w:spacing w:line="240" w:lineRule="auto"/>
              <w:jc w:val="left"/>
              <w:rPr>
                <w:sz w:val="16"/>
                <w:szCs w:val="16"/>
              </w:rPr>
            </w:pPr>
            <w:r w:rsidRPr="004819BA">
              <w:rPr>
                <w:rFonts w:cs="Arial"/>
                <w:bCs/>
                <w:sz w:val="16"/>
                <w:szCs w:val="16"/>
              </w:rPr>
              <w:t>Coyne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0A309B" w:rsidRPr="004819BA" w:rsidRDefault="000A309B" w:rsidP="00E62976">
            <w:pPr>
              <w:spacing w:line="240" w:lineRule="auto"/>
              <w:jc w:val="left"/>
              <w:rPr>
                <w:sz w:val="16"/>
                <w:szCs w:val="16"/>
              </w:rPr>
            </w:pPr>
            <w:r w:rsidRPr="004819BA">
              <w:rPr>
                <w:rFonts w:cs="Arial"/>
                <w:bCs/>
                <w:sz w:val="16"/>
                <w:szCs w:val="16"/>
              </w:rPr>
              <w:t>Kevin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0A309B" w:rsidRPr="004819BA" w:rsidRDefault="000A309B" w:rsidP="00E62976">
            <w:pPr>
              <w:spacing w:line="240" w:lineRule="auto"/>
              <w:jc w:val="center"/>
              <w:rPr>
                <w:sz w:val="16"/>
                <w:szCs w:val="16"/>
              </w:rPr>
            </w:pPr>
            <w:r w:rsidRPr="004819BA">
              <w:rPr>
                <w:rFonts w:cs="Arial"/>
                <w:bCs/>
                <w:sz w:val="16"/>
                <w:szCs w:val="16"/>
              </w:rPr>
              <w:t>US-NRC</w:t>
            </w:r>
          </w:p>
        </w:tc>
      </w:tr>
      <w:tr w:rsidR="000A309B" w:rsidRPr="004819BA" w:rsidTr="00E6297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0A309B" w:rsidRPr="004819BA" w:rsidRDefault="000A309B" w:rsidP="00E62976">
            <w:pPr>
              <w:spacing w:line="240" w:lineRule="auto"/>
              <w:jc w:val="left"/>
              <w:rPr>
                <w:sz w:val="16"/>
                <w:szCs w:val="16"/>
              </w:rPr>
            </w:pPr>
            <w:r w:rsidRPr="004819BA">
              <w:rPr>
                <w:rFonts w:cs="Arial"/>
                <w:bCs/>
                <w:sz w:val="16"/>
                <w:szCs w:val="16"/>
              </w:rPr>
              <w:t>González</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0A309B" w:rsidRPr="004819BA" w:rsidRDefault="000A309B" w:rsidP="00E62976">
            <w:pPr>
              <w:spacing w:line="240" w:lineRule="auto"/>
              <w:jc w:val="left"/>
              <w:rPr>
                <w:sz w:val="16"/>
                <w:szCs w:val="16"/>
              </w:rPr>
            </w:pPr>
            <w:r w:rsidRPr="004819BA">
              <w:rPr>
                <w:rFonts w:cs="Arial"/>
                <w:bCs/>
                <w:sz w:val="16"/>
                <w:szCs w:val="16"/>
              </w:rPr>
              <w:t>Michelle 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0A309B" w:rsidRPr="004819BA" w:rsidRDefault="000A309B" w:rsidP="00E62976">
            <w:pPr>
              <w:spacing w:line="240" w:lineRule="auto"/>
              <w:jc w:val="center"/>
              <w:rPr>
                <w:sz w:val="16"/>
                <w:szCs w:val="16"/>
              </w:rPr>
            </w:pPr>
            <w:r w:rsidRPr="004819BA">
              <w:rPr>
                <w:rFonts w:cs="Arial"/>
                <w:bCs/>
                <w:sz w:val="16"/>
                <w:szCs w:val="16"/>
              </w:rPr>
              <w:t>US-NRC</w:t>
            </w:r>
          </w:p>
        </w:tc>
      </w:tr>
    </w:tbl>
    <w:p w:rsidR="001C5C9D" w:rsidRDefault="001C5C9D" w:rsidP="000A309B">
      <w:pPr>
        <w:rPr>
          <w:smallCaps/>
          <w:lang w:val="en-GB"/>
        </w:rPr>
        <w:sectPr w:rsidR="001C5C9D" w:rsidSect="000E7B29">
          <w:headerReference w:type="even" r:id="rId17"/>
          <w:headerReference w:type="default" r:id="rId18"/>
          <w:footerReference w:type="default" r:id="rId19"/>
          <w:headerReference w:type="first" r:id="rId20"/>
          <w:pgSz w:w="11907" w:h="16840" w:code="9"/>
          <w:pgMar w:top="1304" w:right="1134" w:bottom="1588" w:left="567" w:header="567" w:footer="0" w:gutter="851"/>
          <w:cols w:num="2" w:space="380"/>
          <w:noEndnote/>
        </w:sectPr>
      </w:pPr>
    </w:p>
    <w:p w:rsidR="009A1C44" w:rsidRPr="00E20701" w:rsidRDefault="00583E98" w:rsidP="00764AEC">
      <w:pPr>
        <w:pStyle w:val="Titre1"/>
        <w:pageBreakBefore/>
        <w:numPr>
          <w:ilvl w:val="0"/>
          <w:numId w:val="0"/>
        </w:numPr>
        <w:rPr>
          <w:lang w:val="en-GB"/>
        </w:rPr>
      </w:pPr>
      <w:bookmarkStart w:id="4" w:name="_Toc473303537"/>
      <w:r>
        <w:rPr>
          <w:lang w:val="en-GB"/>
        </w:rPr>
        <w:t>EXECUTIVE</w:t>
      </w:r>
      <w:r w:rsidR="00B54B3B" w:rsidRPr="00E20701">
        <w:rPr>
          <w:lang w:val="en-GB"/>
        </w:rPr>
        <w:t xml:space="preserve"> </w:t>
      </w:r>
      <w:r w:rsidR="005252B9" w:rsidRPr="00E20701">
        <w:rPr>
          <w:lang w:val="en-GB"/>
        </w:rPr>
        <w:t>SUMMARY</w:t>
      </w:r>
      <w:bookmarkEnd w:id="4"/>
    </w:p>
    <w:p w:rsidR="009A3A5D" w:rsidRDefault="009A3A5D" w:rsidP="009A3A5D">
      <w:pPr>
        <w:spacing w:line="360" w:lineRule="auto"/>
        <w:rPr>
          <w:lang w:val="en-GB"/>
        </w:rPr>
      </w:pPr>
    </w:p>
    <w:p w:rsidR="009A3A5D" w:rsidRDefault="009A3A5D" w:rsidP="009A3A5D">
      <w:pPr>
        <w:spacing w:line="360" w:lineRule="auto"/>
        <w:rPr>
          <w:lang w:val="en-GB"/>
        </w:rPr>
      </w:pPr>
      <w:r w:rsidRPr="00DB119E">
        <w:rPr>
          <w:lang w:val="en-GB"/>
        </w:rPr>
        <w:t>An extended PSA applies to a site of one or several Nuclear Power Plant</w:t>
      </w:r>
      <w:r>
        <w:rPr>
          <w:lang w:val="en-GB"/>
        </w:rPr>
        <w:t xml:space="preserve"> unit</w:t>
      </w:r>
      <w:r w:rsidRPr="00DB119E">
        <w:rPr>
          <w:lang w:val="en-GB"/>
        </w:rPr>
        <w:t>(s) and its environment. It intends to calculate the risk induced by the main sources of radioactivity (reactor core and spent fuel storages</w:t>
      </w:r>
      <w:r>
        <w:rPr>
          <w:lang w:val="en-GB"/>
        </w:rPr>
        <w:t>)</w:t>
      </w:r>
      <w:r w:rsidRPr="00DB119E">
        <w:rPr>
          <w:lang w:val="en-GB"/>
        </w:rPr>
        <w:t xml:space="preserve"> on the site, taking into account all operating states for each main source and all possible relevant accident initiating events (both internal and external) affec</w:t>
      </w:r>
      <w:r>
        <w:rPr>
          <w:lang w:val="en-GB"/>
        </w:rPr>
        <w:t xml:space="preserve">ting one unit or the whole site. The combination between hazards or initiating events and their impact on a unit or the whole site is a crucial issue for an extended PSA. </w:t>
      </w:r>
    </w:p>
    <w:p w:rsidR="009A3A5D" w:rsidRDefault="009A3A5D" w:rsidP="009A3A5D">
      <w:pPr>
        <w:spacing w:line="360" w:lineRule="auto"/>
        <w:rPr>
          <w:lang w:val="en-GB"/>
        </w:rPr>
      </w:pPr>
    </w:p>
    <w:p w:rsidR="009A3A5D" w:rsidRPr="00D26363" w:rsidRDefault="009A3A5D" w:rsidP="009A3A5D">
      <w:pPr>
        <w:spacing w:line="360" w:lineRule="auto"/>
        <w:rPr>
          <w:szCs w:val="18"/>
          <w:lang w:val="en-GB"/>
        </w:rPr>
      </w:pPr>
      <w:r w:rsidRPr="00861806">
        <w:rPr>
          <w:szCs w:val="18"/>
          <w:lang w:val="en-GB"/>
        </w:rPr>
        <w:t xml:space="preserve">The report </w:t>
      </w:r>
      <w:r>
        <w:rPr>
          <w:szCs w:val="18"/>
          <w:lang w:val="en-GB"/>
        </w:rPr>
        <w:t>tries to discuss relevant methodologies for this purpose. It includes considerations on:</w:t>
      </w:r>
    </w:p>
    <w:p w:rsidR="009A3A5D" w:rsidRPr="004E52A0" w:rsidRDefault="009A3A5D" w:rsidP="00E62976">
      <w:pPr>
        <w:pStyle w:val="Paragraphedeliste"/>
        <w:numPr>
          <w:ilvl w:val="0"/>
          <w:numId w:val="54"/>
        </w:numPr>
        <w:spacing w:line="360" w:lineRule="auto"/>
        <w:rPr>
          <w:szCs w:val="18"/>
        </w:rPr>
      </w:pPr>
      <w:r w:rsidRPr="001B7918">
        <w:rPr>
          <w:rFonts w:ascii="Trebuchet MS" w:hAnsi="Trebuchet MS"/>
          <w:sz w:val="18"/>
          <w:szCs w:val="18"/>
        </w:rPr>
        <w:t>the existing basic approach for the identification of initiating events and hazards in PSA</w:t>
      </w:r>
      <w:r>
        <w:rPr>
          <w:rFonts w:ascii="Trebuchet MS" w:hAnsi="Trebuchet MS"/>
          <w:sz w:val="18"/>
          <w:szCs w:val="18"/>
        </w:rPr>
        <w:t xml:space="preserve"> (screening methodologies)</w:t>
      </w:r>
      <w:r w:rsidRPr="001B7918">
        <w:rPr>
          <w:rFonts w:ascii="Trebuchet MS" w:hAnsi="Trebuchet MS"/>
          <w:sz w:val="18"/>
          <w:szCs w:val="18"/>
        </w:rPr>
        <w:t>,</w:t>
      </w:r>
    </w:p>
    <w:p w:rsidR="009A3A5D" w:rsidRPr="004E52A0" w:rsidRDefault="009A3A5D" w:rsidP="00E62976">
      <w:pPr>
        <w:pStyle w:val="Paragraphedeliste"/>
        <w:numPr>
          <w:ilvl w:val="0"/>
          <w:numId w:val="54"/>
        </w:numPr>
        <w:spacing w:line="360" w:lineRule="auto"/>
        <w:rPr>
          <w:szCs w:val="18"/>
        </w:rPr>
      </w:pPr>
      <w:r>
        <w:rPr>
          <w:rFonts w:ascii="Trebuchet MS" w:hAnsi="Trebuchet MS"/>
          <w:sz w:val="18"/>
          <w:szCs w:val="18"/>
        </w:rPr>
        <w:t>the</w:t>
      </w:r>
      <w:r w:rsidRPr="001B7918">
        <w:rPr>
          <w:rFonts w:ascii="Trebuchet MS" w:hAnsi="Trebuchet MS"/>
          <w:sz w:val="18"/>
          <w:szCs w:val="18"/>
        </w:rPr>
        <w:t xml:space="preserve"> practices in countries and </w:t>
      </w:r>
      <w:r>
        <w:rPr>
          <w:rFonts w:ascii="Trebuchet MS" w:hAnsi="Trebuchet MS"/>
          <w:sz w:val="18"/>
          <w:szCs w:val="18"/>
        </w:rPr>
        <w:t xml:space="preserve">proposed by </w:t>
      </w:r>
      <w:r w:rsidRPr="001B7918">
        <w:rPr>
          <w:rFonts w:ascii="Trebuchet MS" w:hAnsi="Trebuchet MS"/>
          <w:sz w:val="18"/>
          <w:szCs w:val="18"/>
        </w:rPr>
        <w:t>international standards,</w:t>
      </w:r>
      <w:r>
        <w:rPr>
          <w:rFonts w:ascii="Trebuchet MS" w:hAnsi="Trebuchet MS"/>
          <w:sz w:val="18"/>
          <w:szCs w:val="18"/>
        </w:rPr>
        <w:t xml:space="preserve"> especially from IAEA,</w:t>
      </w:r>
    </w:p>
    <w:p w:rsidR="009A3A5D" w:rsidRDefault="009A3A5D" w:rsidP="00E62976">
      <w:pPr>
        <w:pStyle w:val="Paragraphedeliste"/>
        <w:numPr>
          <w:ilvl w:val="0"/>
          <w:numId w:val="54"/>
        </w:numPr>
        <w:spacing w:line="360" w:lineRule="auto"/>
        <w:rPr>
          <w:szCs w:val="18"/>
        </w:rPr>
      </w:pPr>
      <w:r>
        <w:rPr>
          <w:rFonts w:ascii="Trebuchet MS" w:hAnsi="Trebuchet MS"/>
          <w:sz w:val="18"/>
          <w:szCs w:val="18"/>
        </w:rPr>
        <w:t>the appropriate risk metrics and screening thresholds to be used in the process of initiating events and hazards selection for an extended PSA,</w:t>
      </w:r>
    </w:p>
    <w:p w:rsidR="009A3A5D" w:rsidRDefault="009A3A5D" w:rsidP="00E62976">
      <w:pPr>
        <w:pStyle w:val="Paragraphedeliste"/>
        <w:numPr>
          <w:ilvl w:val="0"/>
          <w:numId w:val="54"/>
        </w:numPr>
        <w:spacing w:line="360" w:lineRule="auto"/>
        <w:rPr>
          <w:rFonts w:ascii="Trebuchet MS" w:hAnsi="Trebuchet MS"/>
          <w:sz w:val="18"/>
          <w:szCs w:val="18"/>
        </w:rPr>
      </w:pPr>
      <w:r>
        <w:rPr>
          <w:rFonts w:ascii="Trebuchet MS" w:hAnsi="Trebuchet MS"/>
          <w:sz w:val="18"/>
          <w:szCs w:val="18"/>
        </w:rPr>
        <w:t xml:space="preserve">the link between </w:t>
      </w:r>
      <w:r w:rsidRPr="00D26363">
        <w:rPr>
          <w:rFonts w:ascii="Trebuchet MS" w:hAnsi="Trebuchet MS"/>
          <w:sz w:val="18"/>
          <w:szCs w:val="18"/>
        </w:rPr>
        <w:t xml:space="preserve">deterministic </w:t>
      </w:r>
      <w:r>
        <w:rPr>
          <w:rFonts w:ascii="Trebuchet MS" w:hAnsi="Trebuchet MS"/>
          <w:sz w:val="18"/>
          <w:szCs w:val="18"/>
        </w:rPr>
        <w:t xml:space="preserve">and probabilistic approaches </w:t>
      </w:r>
      <w:r w:rsidRPr="00D26363">
        <w:rPr>
          <w:rFonts w:ascii="Trebuchet MS" w:hAnsi="Trebuchet MS"/>
          <w:sz w:val="18"/>
          <w:szCs w:val="18"/>
        </w:rPr>
        <w:t>for the selection of initiating events</w:t>
      </w:r>
      <w:r>
        <w:rPr>
          <w:rFonts w:ascii="Trebuchet MS" w:hAnsi="Trebuchet MS"/>
          <w:sz w:val="18"/>
          <w:szCs w:val="18"/>
        </w:rPr>
        <w:t>,</w:t>
      </w:r>
    </w:p>
    <w:p w:rsidR="009A3A5D" w:rsidRDefault="009A3A5D" w:rsidP="00E62976">
      <w:pPr>
        <w:pStyle w:val="Paragraphedeliste"/>
        <w:numPr>
          <w:ilvl w:val="0"/>
          <w:numId w:val="54"/>
        </w:numPr>
        <w:spacing w:line="360" w:lineRule="auto"/>
        <w:ind w:left="714" w:hanging="357"/>
        <w:rPr>
          <w:szCs w:val="18"/>
        </w:rPr>
      </w:pPr>
      <w:r>
        <w:rPr>
          <w:rFonts w:ascii="Trebuchet MS" w:hAnsi="Trebuchet MS"/>
          <w:sz w:val="18"/>
          <w:szCs w:val="18"/>
        </w:rPr>
        <w:t xml:space="preserve">the screening of </w:t>
      </w:r>
      <w:r w:rsidRPr="00D26363">
        <w:rPr>
          <w:rFonts w:ascii="Trebuchet MS" w:hAnsi="Trebuchet MS"/>
          <w:sz w:val="18"/>
          <w:szCs w:val="18"/>
        </w:rPr>
        <w:t xml:space="preserve">high impact events, possibly correlated, associated to a low frequency of occurrence, but </w:t>
      </w:r>
      <w:r w:rsidR="00764AEC">
        <w:rPr>
          <w:rFonts w:ascii="Trebuchet MS" w:hAnsi="Trebuchet MS"/>
          <w:sz w:val="18"/>
          <w:szCs w:val="18"/>
        </w:rPr>
        <w:t>which</w:t>
      </w:r>
      <w:r w:rsidRPr="00D26363">
        <w:rPr>
          <w:rFonts w:ascii="Trebuchet MS" w:hAnsi="Trebuchet MS"/>
          <w:sz w:val="18"/>
          <w:szCs w:val="18"/>
        </w:rPr>
        <w:t xml:space="preserve"> can ind</w:t>
      </w:r>
      <w:r>
        <w:rPr>
          <w:rFonts w:ascii="Trebuchet MS" w:hAnsi="Trebuchet MS"/>
          <w:sz w:val="18"/>
          <w:szCs w:val="18"/>
        </w:rPr>
        <w:t>uce major consequences on a NPP,</w:t>
      </w:r>
    </w:p>
    <w:p w:rsidR="009A3A5D" w:rsidRDefault="009A3A5D" w:rsidP="00E62976">
      <w:pPr>
        <w:pStyle w:val="Paragraphedeliste"/>
        <w:numPr>
          <w:ilvl w:val="0"/>
          <w:numId w:val="54"/>
        </w:numPr>
        <w:spacing w:line="360" w:lineRule="auto"/>
        <w:rPr>
          <w:szCs w:val="18"/>
        </w:rPr>
      </w:pPr>
      <w:r>
        <w:rPr>
          <w:rFonts w:ascii="Trebuchet MS" w:hAnsi="Trebuchet MS"/>
          <w:sz w:val="18"/>
          <w:szCs w:val="18"/>
        </w:rPr>
        <w:t>the specificities of hazards screening.</w:t>
      </w:r>
    </w:p>
    <w:p w:rsidR="00C23BA5" w:rsidRPr="00E20701" w:rsidRDefault="009A3A5D" w:rsidP="00C23BA5">
      <w:pPr>
        <w:rPr>
          <w:lang w:val="en-GB"/>
        </w:rPr>
      </w:pPr>
      <w:r>
        <w:rPr>
          <w:lang w:val="en-US"/>
        </w:rPr>
        <w:t>From these considerations, the report</w:t>
      </w:r>
      <w:r w:rsidRPr="001B7918">
        <w:rPr>
          <w:lang w:val="en-US"/>
        </w:rPr>
        <w:t xml:space="preserve"> proposes a methodology </w:t>
      </w:r>
      <w:r>
        <w:rPr>
          <w:lang w:val="en-US"/>
        </w:rPr>
        <w:t>to select initiating events and hazards for the development of an extended PSA.</w:t>
      </w:r>
      <w:r w:rsidR="00C23BA5" w:rsidRPr="00E20701">
        <w:rPr>
          <w:lang w:val="en-GB"/>
        </w:rPr>
        <w:t xml:space="preserve"> </w:t>
      </w:r>
      <w:r w:rsidR="00C23BA5">
        <w:rPr>
          <w:lang w:val="en-GB"/>
        </w:rPr>
        <w:t>T</w:t>
      </w:r>
      <w:r w:rsidR="00C23BA5" w:rsidRPr="00E20701">
        <w:rPr>
          <w:lang w:val="en-GB"/>
        </w:rPr>
        <w:t xml:space="preserve">he </w:t>
      </w:r>
      <w:r w:rsidR="00C23BA5">
        <w:rPr>
          <w:lang w:val="en-GB"/>
        </w:rPr>
        <w:t>proposed</w:t>
      </w:r>
      <w:r w:rsidR="00C23BA5" w:rsidRPr="00E20701">
        <w:rPr>
          <w:lang w:val="en-GB"/>
        </w:rPr>
        <w:t xml:space="preserve"> methodology for initiating events </w:t>
      </w:r>
      <w:r w:rsidR="007A3F77">
        <w:rPr>
          <w:lang w:val="en-GB"/>
        </w:rPr>
        <w:t xml:space="preserve">and hazards </w:t>
      </w:r>
      <w:r w:rsidR="00C23BA5" w:rsidRPr="00E20701">
        <w:rPr>
          <w:lang w:val="en-GB"/>
        </w:rPr>
        <w:t>identification, screening and bounding analysis for an extended PSA consists of four major steps</w:t>
      </w:r>
      <w:r w:rsidR="00C23BA5">
        <w:rPr>
          <w:lang w:val="en-GB"/>
        </w:rPr>
        <w:t>:</w:t>
      </w:r>
    </w:p>
    <w:p w:rsidR="00C23BA5" w:rsidRPr="00C70893" w:rsidRDefault="0079031E" w:rsidP="00E62976">
      <w:pPr>
        <w:numPr>
          <w:ilvl w:val="0"/>
          <w:numId w:val="93"/>
        </w:numPr>
        <w:rPr>
          <w:lang w:val="en-GB"/>
        </w:rPr>
      </w:pPr>
      <w:r>
        <w:rPr>
          <w:lang w:val="en-GB"/>
        </w:rPr>
        <w:t xml:space="preserve">A </w:t>
      </w:r>
      <w:r w:rsidR="00AD7F9D">
        <w:rPr>
          <w:lang w:val="en-GB"/>
        </w:rPr>
        <w:t>c</w:t>
      </w:r>
      <w:r w:rsidR="00C23BA5" w:rsidRPr="00C70893">
        <w:rPr>
          <w:lang w:val="en-GB"/>
        </w:rPr>
        <w:t>omprehensive identification of events and hazards and their respective combinations applicable to the plant and site</w:t>
      </w:r>
      <w:r w:rsidR="00C23BA5">
        <w:rPr>
          <w:lang w:val="en-GB"/>
        </w:rPr>
        <w:t>. Qualitative screening criteria will be applied</w:t>
      </w:r>
      <w:r>
        <w:rPr>
          <w:lang w:val="en-GB"/>
        </w:rPr>
        <w:t>.</w:t>
      </w:r>
    </w:p>
    <w:p w:rsidR="00C23BA5" w:rsidRPr="00C70893" w:rsidRDefault="0079031E" w:rsidP="00E62976">
      <w:pPr>
        <w:numPr>
          <w:ilvl w:val="0"/>
          <w:numId w:val="93"/>
        </w:numPr>
        <w:rPr>
          <w:lang w:val="en-GB"/>
        </w:rPr>
      </w:pPr>
      <w:r>
        <w:rPr>
          <w:lang w:val="en-GB"/>
        </w:rPr>
        <w:t xml:space="preserve">The </w:t>
      </w:r>
      <w:r w:rsidR="00AD7F9D">
        <w:rPr>
          <w:lang w:val="en-GB"/>
        </w:rPr>
        <w:t>calculation of i</w:t>
      </w:r>
      <w:r w:rsidR="00AD7F9D" w:rsidRPr="00C70893">
        <w:rPr>
          <w:lang w:val="en-GB"/>
        </w:rPr>
        <w:t xml:space="preserve">nitial </w:t>
      </w:r>
      <w:r w:rsidR="00C23BA5">
        <w:rPr>
          <w:lang w:val="en-GB"/>
        </w:rPr>
        <w:t xml:space="preserve">(possibly conservative) </w:t>
      </w:r>
      <w:r w:rsidR="00C23BA5" w:rsidRPr="00C70893">
        <w:rPr>
          <w:lang w:val="en-GB"/>
        </w:rPr>
        <w:t>frequency claims for events and hazards and their respective combinations applicable to the plant and the site</w:t>
      </w:r>
      <w:r w:rsidR="00C23BA5">
        <w:rPr>
          <w:lang w:val="en-GB"/>
        </w:rPr>
        <w:t>. Quantitative screening criteria will be applied</w:t>
      </w:r>
      <w:r>
        <w:rPr>
          <w:lang w:val="en-GB"/>
        </w:rPr>
        <w:t>.</w:t>
      </w:r>
    </w:p>
    <w:p w:rsidR="00C23BA5" w:rsidRPr="00C70893" w:rsidRDefault="0079031E" w:rsidP="00E62976">
      <w:pPr>
        <w:numPr>
          <w:ilvl w:val="0"/>
          <w:numId w:val="93"/>
        </w:numPr>
        <w:rPr>
          <w:lang w:val="en-GB"/>
        </w:rPr>
      </w:pPr>
      <w:r>
        <w:rPr>
          <w:lang w:val="en-GB"/>
        </w:rPr>
        <w:t xml:space="preserve">An </w:t>
      </w:r>
      <w:r w:rsidR="00AD7F9D">
        <w:rPr>
          <w:lang w:val="en-GB"/>
        </w:rPr>
        <w:t>i</w:t>
      </w:r>
      <w:r w:rsidR="00C23BA5" w:rsidRPr="00C70893">
        <w:rPr>
          <w:lang w:val="en-GB"/>
        </w:rPr>
        <w:t>mpact analysis and bounding assessment for all applicable events and scenarios. Events are either screened out from further more detailed analysis, or are assigned to a bounding event (group), or are retained for detailed analysis</w:t>
      </w:r>
      <w:r>
        <w:rPr>
          <w:lang w:val="en-GB"/>
        </w:rPr>
        <w:t>.</w:t>
      </w:r>
    </w:p>
    <w:p w:rsidR="00C23BA5" w:rsidRPr="003C6534" w:rsidRDefault="0079031E" w:rsidP="00E62976">
      <w:pPr>
        <w:numPr>
          <w:ilvl w:val="0"/>
          <w:numId w:val="93"/>
        </w:numPr>
        <w:rPr>
          <w:lang w:val="en-GB"/>
        </w:rPr>
      </w:pPr>
      <w:r w:rsidRPr="003C6534">
        <w:rPr>
          <w:lang w:val="en-GB"/>
        </w:rPr>
        <w:t xml:space="preserve">The </w:t>
      </w:r>
      <w:r w:rsidR="00813C5B" w:rsidRPr="003C6534">
        <w:rPr>
          <w:lang w:val="en-GB"/>
        </w:rPr>
        <w:t>p</w:t>
      </w:r>
      <w:r w:rsidR="00C23BA5" w:rsidRPr="003C6534">
        <w:rPr>
          <w:lang w:val="en-GB"/>
        </w:rPr>
        <w:t>robabilistic analysis of all retained (bounding) events at the appropriate level of detail.</w:t>
      </w:r>
    </w:p>
    <w:p w:rsidR="00C811E7" w:rsidRPr="00C868F4" w:rsidRDefault="00C811E7" w:rsidP="00C23BA5">
      <w:pPr>
        <w:rPr>
          <w:lang w:val="en-GB"/>
        </w:rPr>
      </w:pPr>
    </w:p>
    <w:p w:rsidR="00C811E7" w:rsidRDefault="00E4580D" w:rsidP="00C23BA5">
      <w:pPr>
        <w:rPr>
          <w:lang w:val="en-GB"/>
        </w:rPr>
      </w:pPr>
      <w:r w:rsidRPr="00C868F4">
        <w:rPr>
          <w:lang w:val="en-GB"/>
        </w:rPr>
        <w:t xml:space="preserve">From an industrial end-user perspective, the process must be effective enough to be able to identify rapidly key predominant hazards eligible </w:t>
      </w:r>
      <w:r w:rsidR="00764AEC">
        <w:rPr>
          <w:lang w:val="en-GB"/>
        </w:rPr>
        <w:t>for</w:t>
      </w:r>
      <w:r w:rsidRPr="00C868F4">
        <w:rPr>
          <w:lang w:val="en-GB"/>
        </w:rPr>
        <w:t xml:space="preserve"> extended PSA analysis. This is paramount to enable industrial end-user</w:t>
      </w:r>
      <w:r w:rsidR="00C136C4" w:rsidRPr="00C868F4">
        <w:rPr>
          <w:lang w:val="en-GB"/>
        </w:rPr>
        <w:t>s</w:t>
      </w:r>
      <w:r w:rsidRPr="00C868F4">
        <w:rPr>
          <w:lang w:val="en-GB"/>
        </w:rPr>
        <w:t xml:space="preserve"> to better focus resources and direct them to address issues that present the highest significance to NPP Risks and Safety. The report provide</w:t>
      </w:r>
      <w:r w:rsidR="00EA763F" w:rsidRPr="00C868F4">
        <w:rPr>
          <w:lang w:val="en-GB"/>
        </w:rPr>
        <w:t>s</w:t>
      </w:r>
      <w:r w:rsidRPr="00C868F4">
        <w:rPr>
          <w:lang w:val="en-GB"/>
        </w:rPr>
        <w:t xml:space="preserve"> some envelope good practices for each step of the selection of extended PSA initiating events. From an industrial end-user perspective, each step must be adapted and simplified where necessary </w:t>
      </w:r>
      <w:r w:rsidR="00C868F4" w:rsidRPr="00D2682C">
        <w:rPr>
          <w:lang w:val="en-GB"/>
        </w:rPr>
        <w:t>in accordance with the responsible authorities</w:t>
      </w:r>
      <w:r w:rsidR="00C868F4" w:rsidRPr="00292AED">
        <w:rPr>
          <w:lang w:val="en-GB"/>
        </w:rPr>
        <w:t xml:space="preserve"> </w:t>
      </w:r>
      <w:r w:rsidRPr="003C6534">
        <w:rPr>
          <w:lang w:val="en-GB"/>
        </w:rPr>
        <w:t xml:space="preserve">to be effective enough to be able to identify rapidly predominant hazards eligible </w:t>
      </w:r>
      <w:r w:rsidR="00764AEC">
        <w:rPr>
          <w:lang w:val="en-GB"/>
        </w:rPr>
        <w:t>for</w:t>
      </w:r>
      <w:r w:rsidRPr="003C6534">
        <w:rPr>
          <w:lang w:val="en-GB"/>
        </w:rPr>
        <w:t xml:space="preserve"> ex</w:t>
      </w:r>
      <w:r w:rsidRPr="00C868F4">
        <w:rPr>
          <w:lang w:val="en-GB"/>
        </w:rPr>
        <w:t>tended PSA analysis.</w:t>
      </w:r>
    </w:p>
    <w:p w:rsidR="00E4580D" w:rsidRDefault="00E4580D" w:rsidP="00C23BA5">
      <w:pPr>
        <w:rPr>
          <w:lang w:val="en-US"/>
        </w:rPr>
      </w:pPr>
    </w:p>
    <w:p w:rsidR="00C23BA5" w:rsidRPr="004479EA" w:rsidRDefault="00C23BA5" w:rsidP="00C23BA5">
      <w:pPr>
        <w:rPr>
          <w:lang w:val="en-US"/>
        </w:rPr>
      </w:pPr>
      <w:r w:rsidRPr="004479EA">
        <w:rPr>
          <w:lang w:val="en-US"/>
        </w:rPr>
        <w:t>The concluding section of the report provides summaries and recommendations on:</w:t>
      </w:r>
    </w:p>
    <w:p w:rsidR="00C23BA5" w:rsidRPr="004479EA" w:rsidRDefault="00F61B0B" w:rsidP="00E62976">
      <w:pPr>
        <w:pStyle w:val="Paragraphedeliste"/>
        <w:numPr>
          <w:ilvl w:val="0"/>
          <w:numId w:val="54"/>
        </w:numPr>
        <w:spacing w:before="120" w:after="120" w:line="360" w:lineRule="auto"/>
        <w:ind w:left="714" w:hanging="357"/>
        <w:rPr>
          <w:rFonts w:ascii="Trebuchet MS" w:hAnsi="Trebuchet MS"/>
          <w:sz w:val="18"/>
          <w:szCs w:val="18"/>
        </w:rPr>
      </w:pPr>
      <w:r>
        <w:rPr>
          <w:rFonts w:ascii="Trebuchet MS" w:hAnsi="Trebuchet MS"/>
          <w:sz w:val="18"/>
          <w:szCs w:val="18"/>
        </w:rPr>
        <w:t>t</w:t>
      </w:r>
      <w:r w:rsidR="00C23BA5" w:rsidRPr="004479EA">
        <w:rPr>
          <w:rFonts w:ascii="Trebuchet MS" w:hAnsi="Trebuchet MS"/>
          <w:sz w:val="18"/>
          <w:szCs w:val="18"/>
        </w:rPr>
        <w:t>he main qualitative and quantitative screening criteria</w:t>
      </w:r>
      <w:r w:rsidR="003A5817">
        <w:rPr>
          <w:rFonts w:ascii="Trebuchet MS" w:hAnsi="Trebuchet MS"/>
          <w:sz w:val="18"/>
          <w:szCs w:val="18"/>
        </w:rPr>
        <w:t>,</w:t>
      </w:r>
    </w:p>
    <w:p w:rsidR="00C23BA5" w:rsidRPr="004479EA" w:rsidRDefault="00F61B0B" w:rsidP="00E62976">
      <w:pPr>
        <w:pStyle w:val="Paragraphedeliste"/>
        <w:numPr>
          <w:ilvl w:val="0"/>
          <w:numId w:val="54"/>
        </w:numPr>
        <w:spacing w:before="120" w:after="120" w:line="360" w:lineRule="auto"/>
        <w:ind w:left="714" w:hanging="357"/>
        <w:rPr>
          <w:rFonts w:ascii="Trebuchet MS" w:hAnsi="Trebuchet MS"/>
          <w:sz w:val="18"/>
          <w:szCs w:val="18"/>
        </w:rPr>
      </w:pPr>
      <w:r>
        <w:rPr>
          <w:rFonts w:ascii="Trebuchet MS" w:hAnsi="Trebuchet MS"/>
          <w:sz w:val="18"/>
          <w:szCs w:val="18"/>
        </w:rPr>
        <w:t>t</w:t>
      </w:r>
      <w:r w:rsidR="00C23BA5" w:rsidRPr="004479EA">
        <w:rPr>
          <w:rFonts w:ascii="Trebuchet MS" w:hAnsi="Trebuchet MS"/>
          <w:sz w:val="18"/>
          <w:szCs w:val="18"/>
        </w:rPr>
        <w:t>he structure of the whole screening process</w:t>
      </w:r>
      <w:r w:rsidR="003A5817">
        <w:rPr>
          <w:rFonts w:ascii="Trebuchet MS" w:hAnsi="Trebuchet MS"/>
          <w:sz w:val="18"/>
          <w:szCs w:val="18"/>
        </w:rPr>
        <w:t>,</w:t>
      </w:r>
    </w:p>
    <w:p w:rsidR="00C23BA5" w:rsidRPr="004479EA" w:rsidRDefault="00C23BA5" w:rsidP="00E62976">
      <w:pPr>
        <w:pStyle w:val="Paragraphedeliste"/>
        <w:numPr>
          <w:ilvl w:val="0"/>
          <w:numId w:val="54"/>
        </w:numPr>
        <w:spacing w:before="120" w:after="120" w:line="360" w:lineRule="auto"/>
        <w:ind w:left="714" w:hanging="357"/>
        <w:rPr>
          <w:rFonts w:ascii="Trebuchet MS" w:hAnsi="Trebuchet MS"/>
          <w:sz w:val="18"/>
          <w:szCs w:val="18"/>
        </w:rPr>
      </w:pPr>
      <w:r w:rsidRPr="004479EA">
        <w:rPr>
          <w:rFonts w:ascii="Trebuchet MS" w:hAnsi="Trebuchet MS"/>
          <w:sz w:val="18"/>
          <w:szCs w:val="18"/>
        </w:rPr>
        <w:t>the PSA quality</w:t>
      </w:r>
      <w:r w:rsidR="003A5817">
        <w:rPr>
          <w:rFonts w:ascii="Trebuchet MS" w:hAnsi="Trebuchet MS"/>
          <w:sz w:val="18"/>
          <w:szCs w:val="18"/>
        </w:rPr>
        <w:t>,</w:t>
      </w:r>
    </w:p>
    <w:p w:rsidR="00C23BA5" w:rsidRPr="004479EA" w:rsidRDefault="00F61B0B" w:rsidP="00E62976">
      <w:pPr>
        <w:pStyle w:val="Paragraphedeliste"/>
        <w:numPr>
          <w:ilvl w:val="0"/>
          <w:numId w:val="54"/>
        </w:numPr>
        <w:spacing w:before="120" w:after="120" w:line="360" w:lineRule="auto"/>
        <w:ind w:left="714" w:hanging="357"/>
        <w:rPr>
          <w:rFonts w:ascii="Trebuchet MS" w:hAnsi="Trebuchet MS"/>
          <w:sz w:val="18"/>
          <w:szCs w:val="18"/>
        </w:rPr>
      </w:pPr>
      <w:r>
        <w:rPr>
          <w:rFonts w:ascii="Trebuchet MS" w:hAnsi="Trebuchet MS"/>
          <w:sz w:val="18"/>
          <w:szCs w:val="18"/>
        </w:rPr>
        <w:t>the t</w:t>
      </w:r>
      <w:r w:rsidR="00C23BA5" w:rsidRPr="004479EA">
        <w:rPr>
          <w:rFonts w:ascii="Trebuchet MS" w:hAnsi="Trebuchet MS"/>
          <w:sz w:val="18"/>
          <w:szCs w:val="18"/>
        </w:rPr>
        <w:t xml:space="preserve">ransition from rough </w:t>
      </w:r>
      <w:r w:rsidR="004479EA" w:rsidRPr="004479EA">
        <w:rPr>
          <w:rFonts w:ascii="Trebuchet MS" w:hAnsi="Trebuchet MS"/>
          <w:sz w:val="18"/>
          <w:szCs w:val="18"/>
        </w:rPr>
        <w:t>screening</w:t>
      </w:r>
      <w:r w:rsidR="00C23BA5" w:rsidRPr="004479EA">
        <w:rPr>
          <w:rFonts w:ascii="Trebuchet MS" w:hAnsi="Trebuchet MS"/>
          <w:sz w:val="18"/>
          <w:szCs w:val="18"/>
        </w:rPr>
        <w:t xml:space="preserve"> towards detailed PSA models</w:t>
      </w:r>
      <w:r w:rsidR="003A5817">
        <w:rPr>
          <w:rFonts w:ascii="Trebuchet MS" w:hAnsi="Trebuchet MS"/>
          <w:sz w:val="18"/>
          <w:szCs w:val="18"/>
        </w:rPr>
        <w:t>,</w:t>
      </w:r>
    </w:p>
    <w:p w:rsidR="00C23BA5" w:rsidRPr="009803F6" w:rsidRDefault="00F61B0B" w:rsidP="00E62976">
      <w:pPr>
        <w:pStyle w:val="Paragraphedeliste"/>
        <w:numPr>
          <w:ilvl w:val="0"/>
          <w:numId w:val="54"/>
        </w:numPr>
        <w:spacing w:before="120" w:after="120" w:line="360" w:lineRule="auto"/>
        <w:ind w:left="714" w:hanging="357"/>
      </w:pPr>
      <w:r>
        <w:rPr>
          <w:rFonts w:ascii="Trebuchet MS" w:hAnsi="Trebuchet MS"/>
          <w:sz w:val="18"/>
          <w:szCs w:val="18"/>
        </w:rPr>
        <w:t>the l</w:t>
      </w:r>
      <w:r w:rsidR="00C23BA5" w:rsidRPr="004479EA">
        <w:rPr>
          <w:rFonts w:ascii="Trebuchet MS" w:hAnsi="Trebuchet MS"/>
          <w:sz w:val="18"/>
          <w:szCs w:val="18"/>
        </w:rPr>
        <w:t>ink with the situations that should be practically eliminated</w:t>
      </w:r>
      <w:r w:rsidR="003A5817">
        <w:rPr>
          <w:rFonts w:ascii="Trebuchet MS" w:hAnsi="Trebuchet MS"/>
          <w:sz w:val="18"/>
          <w:szCs w:val="18"/>
        </w:rPr>
        <w:t>.</w:t>
      </w:r>
    </w:p>
    <w:p w:rsidR="009A1C44" w:rsidRPr="00E20701" w:rsidRDefault="009A1C44" w:rsidP="009803F6">
      <w:pPr>
        <w:pStyle w:val="Titre1"/>
        <w:numPr>
          <w:ilvl w:val="0"/>
          <w:numId w:val="0"/>
        </w:numPr>
        <w:rPr>
          <w:lang w:val="en-GB"/>
        </w:rPr>
      </w:pPr>
      <w:r w:rsidRPr="004479EA">
        <w:rPr>
          <w:lang w:val="en-US"/>
        </w:rPr>
        <w:br w:type="page"/>
      </w:r>
      <w:bookmarkStart w:id="5" w:name="_Toc473303538"/>
      <w:r w:rsidRPr="00E20701">
        <w:rPr>
          <w:lang w:val="en-GB"/>
        </w:rPr>
        <w:t>ASAMPSA_E Partners</w:t>
      </w:r>
      <w:bookmarkEnd w:id="5"/>
    </w:p>
    <w:p w:rsidR="00026241" w:rsidRPr="00E20701" w:rsidRDefault="00026241" w:rsidP="009A1C44">
      <w:pPr>
        <w:rPr>
          <w:i/>
          <w:highlight w:val="yellow"/>
          <w:lang w:val="en-GB"/>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7" w:type="dxa"/>
          <w:right w:w="107" w:type="dxa"/>
        </w:tblCellMar>
        <w:tblLook w:val="0000" w:firstRow="0" w:lastRow="0" w:firstColumn="0" w:lastColumn="0" w:noHBand="0" w:noVBand="0"/>
      </w:tblPr>
      <w:tblGrid>
        <w:gridCol w:w="403"/>
        <w:gridCol w:w="6612"/>
        <w:gridCol w:w="1289"/>
        <w:gridCol w:w="1265"/>
      </w:tblGrid>
      <w:tr w:rsidR="00026241" w:rsidRPr="00E20701" w:rsidTr="005252B9">
        <w:tc>
          <w:tcPr>
            <w:tcW w:w="0" w:type="auto"/>
            <w:vAlign w:val="center"/>
          </w:tcPr>
          <w:p w:rsidR="00026241" w:rsidRPr="00E20701" w:rsidRDefault="00026241" w:rsidP="00BC5399">
            <w:pPr>
              <w:spacing w:before="120" w:line="240" w:lineRule="auto"/>
              <w:rPr>
                <w:szCs w:val="22"/>
                <w:lang w:val="en-GB"/>
              </w:rPr>
            </w:pPr>
            <w:r w:rsidRPr="00E20701">
              <w:rPr>
                <w:szCs w:val="22"/>
                <w:lang w:val="en-GB"/>
              </w:rPr>
              <w:t>1</w:t>
            </w:r>
          </w:p>
        </w:tc>
        <w:tc>
          <w:tcPr>
            <w:tcW w:w="0" w:type="auto"/>
            <w:vAlign w:val="center"/>
          </w:tcPr>
          <w:p w:rsidR="00026241" w:rsidRPr="00E20701" w:rsidRDefault="00026241" w:rsidP="00BC5399">
            <w:pPr>
              <w:shd w:val="clear" w:color="auto" w:fill="FFFFFF"/>
              <w:spacing w:before="120" w:line="240" w:lineRule="auto"/>
              <w:rPr>
                <w:szCs w:val="22"/>
                <w:lang w:val="en-GB"/>
              </w:rPr>
            </w:pPr>
            <w:r w:rsidRPr="00E20701">
              <w:rPr>
                <w:szCs w:val="22"/>
                <w:lang w:val="en-GB"/>
              </w:rPr>
              <w:t>Institute for Radiological Protection and Nuclear Safety</w:t>
            </w:r>
          </w:p>
        </w:tc>
        <w:tc>
          <w:tcPr>
            <w:tcW w:w="0" w:type="auto"/>
            <w:vAlign w:val="center"/>
          </w:tcPr>
          <w:p w:rsidR="00026241" w:rsidRPr="00E20701" w:rsidRDefault="00026241" w:rsidP="00BC5399">
            <w:pPr>
              <w:spacing w:before="120" w:line="240" w:lineRule="auto"/>
              <w:rPr>
                <w:szCs w:val="22"/>
                <w:lang w:val="en-GB"/>
              </w:rPr>
            </w:pPr>
            <w:r w:rsidRPr="00E20701">
              <w:rPr>
                <w:szCs w:val="22"/>
                <w:lang w:val="en-GB"/>
              </w:rPr>
              <w:t>IRSN</w:t>
            </w:r>
          </w:p>
        </w:tc>
        <w:tc>
          <w:tcPr>
            <w:tcW w:w="1265" w:type="dxa"/>
            <w:vAlign w:val="center"/>
          </w:tcPr>
          <w:p w:rsidR="00026241" w:rsidRPr="00E20701" w:rsidRDefault="00026241" w:rsidP="00BC5399">
            <w:pPr>
              <w:shd w:val="clear" w:color="auto" w:fill="FFFFFF"/>
              <w:spacing w:before="120" w:line="240" w:lineRule="auto"/>
              <w:rPr>
                <w:szCs w:val="22"/>
                <w:lang w:val="en-GB"/>
              </w:rPr>
            </w:pPr>
            <w:r w:rsidRPr="00E20701">
              <w:rPr>
                <w:szCs w:val="22"/>
                <w:lang w:val="en-GB"/>
              </w:rPr>
              <w:t>France</w:t>
            </w:r>
          </w:p>
        </w:tc>
      </w:tr>
      <w:tr w:rsidR="00026241" w:rsidRPr="00E20701" w:rsidTr="005252B9">
        <w:tc>
          <w:tcPr>
            <w:tcW w:w="0" w:type="auto"/>
            <w:tcBorders>
              <w:bottom w:val="single" w:sz="6" w:space="0" w:color="000000"/>
            </w:tcBorders>
            <w:vAlign w:val="center"/>
          </w:tcPr>
          <w:p w:rsidR="00026241" w:rsidRPr="00E20701" w:rsidRDefault="00026241" w:rsidP="00BC5399">
            <w:pPr>
              <w:spacing w:before="120" w:line="240" w:lineRule="auto"/>
              <w:rPr>
                <w:szCs w:val="22"/>
                <w:lang w:val="en-GB"/>
              </w:rPr>
            </w:pPr>
            <w:r w:rsidRPr="00E20701">
              <w:rPr>
                <w:szCs w:val="22"/>
                <w:lang w:val="en-GB"/>
              </w:rPr>
              <w:t>2</w:t>
            </w:r>
          </w:p>
        </w:tc>
        <w:tc>
          <w:tcPr>
            <w:tcW w:w="0" w:type="auto"/>
            <w:tcBorders>
              <w:bottom w:val="single" w:sz="6" w:space="0" w:color="000000"/>
            </w:tcBorders>
            <w:vAlign w:val="center"/>
          </w:tcPr>
          <w:p w:rsidR="00026241" w:rsidRPr="00C70893" w:rsidRDefault="00026241" w:rsidP="00BC5399">
            <w:pPr>
              <w:shd w:val="clear" w:color="auto" w:fill="FFFFFF"/>
              <w:spacing w:before="120" w:line="240" w:lineRule="auto"/>
              <w:rPr>
                <w:szCs w:val="22"/>
                <w:lang w:val="de-DE"/>
              </w:rPr>
            </w:pPr>
            <w:r w:rsidRPr="00C70893">
              <w:rPr>
                <w:szCs w:val="22"/>
                <w:lang w:val="de-DE"/>
              </w:rPr>
              <w:t>Gesellschaft für Anlagen- und Reaktorsicherheit mbH</w:t>
            </w:r>
          </w:p>
        </w:tc>
        <w:tc>
          <w:tcPr>
            <w:tcW w:w="0" w:type="auto"/>
            <w:tcBorders>
              <w:bottom w:val="single" w:sz="6" w:space="0" w:color="000000"/>
            </w:tcBorders>
            <w:vAlign w:val="center"/>
          </w:tcPr>
          <w:p w:rsidR="00026241" w:rsidRPr="00E20701" w:rsidRDefault="00026241" w:rsidP="00BC5399">
            <w:pPr>
              <w:spacing w:before="120" w:line="240" w:lineRule="auto"/>
              <w:rPr>
                <w:szCs w:val="22"/>
                <w:lang w:val="en-GB"/>
              </w:rPr>
            </w:pPr>
            <w:r w:rsidRPr="00E20701">
              <w:rPr>
                <w:szCs w:val="22"/>
                <w:lang w:val="en-GB"/>
              </w:rPr>
              <w:t>GRS</w:t>
            </w:r>
          </w:p>
        </w:tc>
        <w:tc>
          <w:tcPr>
            <w:tcW w:w="1265" w:type="dxa"/>
            <w:tcBorders>
              <w:bottom w:val="single" w:sz="6" w:space="0" w:color="000000"/>
            </w:tcBorders>
            <w:vAlign w:val="center"/>
          </w:tcPr>
          <w:p w:rsidR="00026241" w:rsidRPr="00E20701" w:rsidRDefault="00026241" w:rsidP="00BC5399">
            <w:pPr>
              <w:shd w:val="clear" w:color="auto" w:fill="FFFFFF"/>
              <w:spacing w:before="120" w:line="240" w:lineRule="auto"/>
              <w:rPr>
                <w:szCs w:val="22"/>
                <w:lang w:val="en-GB"/>
              </w:rPr>
            </w:pPr>
            <w:r w:rsidRPr="00E20701">
              <w:rPr>
                <w:szCs w:val="22"/>
                <w:lang w:val="en-GB"/>
              </w:rPr>
              <w:t>Germany</w:t>
            </w:r>
          </w:p>
        </w:tc>
      </w:tr>
      <w:tr w:rsidR="00026241" w:rsidRPr="00E20701" w:rsidTr="005252B9">
        <w:tc>
          <w:tcPr>
            <w:tcW w:w="0" w:type="auto"/>
            <w:shd w:val="clear" w:color="auto" w:fill="auto"/>
            <w:vAlign w:val="center"/>
          </w:tcPr>
          <w:p w:rsidR="00026241" w:rsidRPr="00E20701" w:rsidRDefault="00026241" w:rsidP="00BC5399">
            <w:pPr>
              <w:spacing w:before="120" w:line="240" w:lineRule="auto"/>
              <w:rPr>
                <w:szCs w:val="22"/>
                <w:lang w:val="en-GB"/>
              </w:rPr>
            </w:pPr>
            <w:r w:rsidRPr="00E20701">
              <w:rPr>
                <w:szCs w:val="22"/>
                <w:lang w:val="en-GB"/>
              </w:rPr>
              <w:t>3</w:t>
            </w:r>
          </w:p>
        </w:tc>
        <w:tc>
          <w:tcPr>
            <w:tcW w:w="0" w:type="auto"/>
            <w:shd w:val="clear" w:color="auto" w:fill="auto"/>
            <w:vAlign w:val="center"/>
          </w:tcPr>
          <w:p w:rsidR="00026241" w:rsidRPr="00E20701" w:rsidRDefault="00026241" w:rsidP="00BC5399">
            <w:pPr>
              <w:shd w:val="clear" w:color="auto" w:fill="FFFFFF"/>
              <w:spacing w:before="120" w:line="240" w:lineRule="auto"/>
              <w:rPr>
                <w:szCs w:val="22"/>
                <w:lang w:val="en-GB"/>
              </w:rPr>
            </w:pPr>
            <w:r w:rsidRPr="00E20701">
              <w:rPr>
                <w:szCs w:val="22"/>
                <w:lang w:val="en-GB"/>
              </w:rPr>
              <w:t>AMEC NNC Limited</w:t>
            </w:r>
          </w:p>
        </w:tc>
        <w:tc>
          <w:tcPr>
            <w:tcW w:w="0" w:type="auto"/>
            <w:shd w:val="clear" w:color="auto" w:fill="auto"/>
            <w:vAlign w:val="center"/>
          </w:tcPr>
          <w:p w:rsidR="00026241" w:rsidRPr="00E20701" w:rsidRDefault="00026241" w:rsidP="00BC5399">
            <w:pPr>
              <w:spacing w:before="120" w:line="240" w:lineRule="auto"/>
              <w:rPr>
                <w:szCs w:val="22"/>
                <w:lang w:val="en-GB"/>
              </w:rPr>
            </w:pPr>
            <w:r w:rsidRPr="00E20701">
              <w:rPr>
                <w:szCs w:val="22"/>
                <w:lang w:val="en-GB"/>
              </w:rPr>
              <w:t>AMEC NNC</w:t>
            </w:r>
          </w:p>
        </w:tc>
        <w:tc>
          <w:tcPr>
            <w:tcW w:w="1265" w:type="dxa"/>
            <w:shd w:val="clear" w:color="auto" w:fill="auto"/>
            <w:vAlign w:val="center"/>
          </w:tcPr>
          <w:p w:rsidR="00026241" w:rsidRPr="00E20701" w:rsidRDefault="00026241" w:rsidP="00BC5399">
            <w:pPr>
              <w:shd w:val="clear" w:color="auto" w:fill="FFFFFF"/>
              <w:spacing w:before="120" w:line="240" w:lineRule="auto"/>
              <w:rPr>
                <w:szCs w:val="22"/>
                <w:lang w:val="en-GB"/>
              </w:rPr>
            </w:pPr>
            <w:r w:rsidRPr="00E20701">
              <w:rPr>
                <w:szCs w:val="22"/>
                <w:lang w:val="en-GB"/>
              </w:rPr>
              <w:t>United-Kingdom</w:t>
            </w:r>
          </w:p>
        </w:tc>
      </w:tr>
      <w:tr w:rsidR="00026241" w:rsidRPr="00E20701" w:rsidTr="005252B9">
        <w:tc>
          <w:tcPr>
            <w:tcW w:w="0" w:type="auto"/>
            <w:vAlign w:val="center"/>
          </w:tcPr>
          <w:p w:rsidR="00026241" w:rsidRPr="00E20701" w:rsidRDefault="00026241" w:rsidP="00BC5399">
            <w:pPr>
              <w:spacing w:before="120" w:line="240" w:lineRule="auto"/>
              <w:rPr>
                <w:szCs w:val="22"/>
                <w:lang w:val="en-GB"/>
              </w:rPr>
            </w:pPr>
            <w:r w:rsidRPr="00E20701">
              <w:rPr>
                <w:szCs w:val="22"/>
                <w:lang w:val="en-GB"/>
              </w:rPr>
              <w:t>4</w:t>
            </w:r>
          </w:p>
        </w:tc>
        <w:tc>
          <w:tcPr>
            <w:tcW w:w="0" w:type="auto"/>
            <w:vAlign w:val="center"/>
          </w:tcPr>
          <w:p w:rsidR="00026241" w:rsidRPr="00E20701" w:rsidRDefault="00026241" w:rsidP="00BC5399">
            <w:pPr>
              <w:shd w:val="clear" w:color="auto" w:fill="FFFFFF"/>
              <w:spacing w:before="120" w:line="240" w:lineRule="auto"/>
              <w:rPr>
                <w:szCs w:val="22"/>
                <w:lang w:val="en-GB"/>
              </w:rPr>
            </w:pPr>
            <w:r w:rsidRPr="00E20701">
              <w:rPr>
                <w:szCs w:val="22"/>
                <w:lang w:val="en-GB"/>
              </w:rPr>
              <w:t>Ricerca sul Sistema Energetico</w:t>
            </w:r>
          </w:p>
        </w:tc>
        <w:tc>
          <w:tcPr>
            <w:tcW w:w="0" w:type="auto"/>
            <w:vAlign w:val="center"/>
          </w:tcPr>
          <w:p w:rsidR="00026241" w:rsidRPr="00E20701" w:rsidRDefault="00026241" w:rsidP="00BC5399">
            <w:pPr>
              <w:spacing w:before="120" w:line="240" w:lineRule="auto"/>
              <w:rPr>
                <w:szCs w:val="22"/>
                <w:lang w:val="en-GB"/>
              </w:rPr>
            </w:pPr>
            <w:r w:rsidRPr="00E20701">
              <w:rPr>
                <w:szCs w:val="22"/>
                <w:lang w:val="en-GB"/>
              </w:rPr>
              <w:t>RSE S.p.A.</w:t>
            </w:r>
          </w:p>
        </w:tc>
        <w:tc>
          <w:tcPr>
            <w:tcW w:w="1265" w:type="dxa"/>
            <w:vAlign w:val="center"/>
          </w:tcPr>
          <w:p w:rsidR="00026241" w:rsidRPr="00E20701" w:rsidRDefault="00026241" w:rsidP="00BC5399">
            <w:pPr>
              <w:shd w:val="clear" w:color="auto" w:fill="FFFFFF"/>
              <w:spacing w:before="120" w:line="240" w:lineRule="auto"/>
              <w:rPr>
                <w:szCs w:val="22"/>
                <w:lang w:val="en-GB"/>
              </w:rPr>
            </w:pPr>
            <w:r w:rsidRPr="00E20701">
              <w:rPr>
                <w:szCs w:val="22"/>
                <w:lang w:val="en-GB"/>
              </w:rPr>
              <w:t>Italy</w:t>
            </w:r>
          </w:p>
        </w:tc>
      </w:tr>
      <w:tr w:rsidR="00D71A4E" w:rsidRPr="00E20701" w:rsidTr="005252B9">
        <w:tc>
          <w:tcPr>
            <w:tcW w:w="0" w:type="auto"/>
            <w:vAlign w:val="center"/>
          </w:tcPr>
          <w:p w:rsidR="00D71A4E" w:rsidRPr="00E20701" w:rsidRDefault="00D71A4E" w:rsidP="00BC5399">
            <w:pPr>
              <w:spacing w:before="120" w:line="240" w:lineRule="auto"/>
              <w:rPr>
                <w:szCs w:val="22"/>
                <w:lang w:val="en-GB"/>
              </w:rPr>
            </w:pPr>
            <w:r w:rsidRPr="00E20701">
              <w:rPr>
                <w:szCs w:val="22"/>
                <w:lang w:val="en-GB"/>
              </w:rPr>
              <w:t>5</w:t>
            </w:r>
          </w:p>
        </w:tc>
        <w:tc>
          <w:tcPr>
            <w:tcW w:w="0" w:type="auto"/>
            <w:vAlign w:val="center"/>
          </w:tcPr>
          <w:p w:rsidR="00D71A4E" w:rsidRPr="00E20701" w:rsidRDefault="00D71A4E" w:rsidP="00BC5399">
            <w:pPr>
              <w:shd w:val="clear" w:color="auto" w:fill="FFFFFF"/>
              <w:spacing w:before="120" w:line="240" w:lineRule="auto"/>
              <w:rPr>
                <w:szCs w:val="22"/>
                <w:lang w:val="en-GB"/>
              </w:rPr>
            </w:pPr>
            <w:r w:rsidRPr="00E20701">
              <w:rPr>
                <w:szCs w:val="18"/>
                <w:lang w:val="en-GB"/>
              </w:rPr>
              <w:t>Lloyd's Register Consulting</w:t>
            </w:r>
          </w:p>
        </w:tc>
        <w:tc>
          <w:tcPr>
            <w:tcW w:w="0" w:type="auto"/>
            <w:vAlign w:val="center"/>
          </w:tcPr>
          <w:p w:rsidR="00D71A4E" w:rsidRPr="00E20701" w:rsidRDefault="00D71A4E" w:rsidP="00BC5399">
            <w:pPr>
              <w:spacing w:before="120" w:line="240" w:lineRule="auto"/>
              <w:rPr>
                <w:szCs w:val="22"/>
                <w:lang w:val="en-GB"/>
              </w:rPr>
            </w:pPr>
            <w:r w:rsidRPr="00E20701">
              <w:rPr>
                <w:szCs w:val="22"/>
                <w:lang w:val="en-GB"/>
              </w:rPr>
              <w:t>LRC</w:t>
            </w:r>
          </w:p>
        </w:tc>
        <w:tc>
          <w:tcPr>
            <w:tcW w:w="1265" w:type="dxa"/>
            <w:vAlign w:val="center"/>
          </w:tcPr>
          <w:p w:rsidR="00D71A4E" w:rsidRPr="00E20701" w:rsidRDefault="00D71A4E" w:rsidP="00BC5399">
            <w:pPr>
              <w:shd w:val="clear" w:color="auto" w:fill="FFFFFF"/>
              <w:spacing w:before="120" w:line="240" w:lineRule="auto"/>
              <w:rPr>
                <w:szCs w:val="22"/>
                <w:lang w:val="en-GB"/>
              </w:rPr>
            </w:pPr>
            <w:r w:rsidRPr="00E20701">
              <w:rPr>
                <w:szCs w:val="22"/>
                <w:lang w:val="en-GB"/>
              </w:rPr>
              <w:t>Sweden</w:t>
            </w:r>
          </w:p>
        </w:tc>
      </w:tr>
      <w:tr w:rsidR="00026241" w:rsidRPr="00E20701" w:rsidTr="005252B9">
        <w:tc>
          <w:tcPr>
            <w:tcW w:w="0" w:type="auto"/>
            <w:vAlign w:val="center"/>
          </w:tcPr>
          <w:p w:rsidR="00026241" w:rsidRPr="00E20701" w:rsidRDefault="00026241" w:rsidP="00BC5399">
            <w:pPr>
              <w:spacing w:before="120" w:line="240" w:lineRule="auto"/>
              <w:rPr>
                <w:szCs w:val="22"/>
                <w:lang w:val="en-GB"/>
              </w:rPr>
            </w:pPr>
            <w:r w:rsidRPr="00E20701">
              <w:rPr>
                <w:szCs w:val="22"/>
                <w:lang w:val="en-GB"/>
              </w:rPr>
              <w:t>6</w:t>
            </w:r>
          </w:p>
        </w:tc>
        <w:tc>
          <w:tcPr>
            <w:tcW w:w="0" w:type="auto"/>
            <w:vAlign w:val="center"/>
          </w:tcPr>
          <w:p w:rsidR="00026241" w:rsidRPr="00E20701" w:rsidRDefault="00026241" w:rsidP="00BC5399">
            <w:pPr>
              <w:shd w:val="clear" w:color="auto" w:fill="FFFFFF"/>
              <w:spacing w:before="120" w:line="240" w:lineRule="auto"/>
              <w:rPr>
                <w:szCs w:val="22"/>
                <w:lang w:val="en-GB"/>
              </w:rPr>
            </w:pPr>
            <w:r w:rsidRPr="00E20701">
              <w:rPr>
                <w:szCs w:val="22"/>
                <w:lang w:val="en-GB"/>
              </w:rPr>
              <w:t>Nuclear Research Institute Rez pl</w:t>
            </w:r>
          </w:p>
        </w:tc>
        <w:tc>
          <w:tcPr>
            <w:tcW w:w="0" w:type="auto"/>
            <w:vAlign w:val="center"/>
          </w:tcPr>
          <w:p w:rsidR="00026241" w:rsidRPr="00E20701" w:rsidRDefault="00026241" w:rsidP="00BC5399">
            <w:pPr>
              <w:spacing w:before="120" w:line="240" w:lineRule="auto"/>
              <w:rPr>
                <w:szCs w:val="22"/>
                <w:lang w:val="en-GB"/>
              </w:rPr>
            </w:pPr>
            <w:r w:rsidRPr="00E20701">
              <w:rPr>
                <w:szCs w:val="22"/>
                <w:lang w:val="en-GB"/>
              </w:rPr>
              <w:t>UJV</w:t>
            </w:r>
          </w:p>
        </w:tc>
        <w:tc>
          <w:tcPr>
            <w:tcW w:w="1265" w:type="dxa"/>
            <w:vAlign w:val="center"/>
          </w:tcPr>
          <w:p w:rsidR="00026241" w:rsidRPr="00E20701" w:rsidRDefault="00026241" w:rsidP="00BC5399">
            <w:pPr>
              <w:shd w:val="clear" w:color="auto" w:fill="FFFFFF"/>
              <w:spacing w:before="120" w:line="240" w:lineRule="auto"/>
              <w:rPr>
                <w:szCs w:val="22"/>
                <w:lang w:val="en-GB"/>
              </w:rPr>
            </w:pPr>
            <w:r w:rsidRPr="00E20701">
              <w:rPr>
                <w:szCs w:val="22"/>
                <w:lang w:val="en-GB"/>
              </w:rPr>
              <w:t>Czech</w:t>
            </w:r>
          </w:p>
        </w:tc>
      </w:tr>
      <w:tr w:rsidR="00026241" w:rsidRPr="00E20701" w:rsidTr="005252B9">
        <w:tc>
          <w:tcPr>
            <w:tcW w:w="0" w:type="auto"/>
            <w:vAlign w:val="center"/>
          </w:tcPr>
          <w:p w:rsidR="00026241" w:rsidRPr="00E20701" w:rsidRDefault="00026241" w:rsidP="00BC5399">
            <w:pPr>
              <w:spacing w:before="120" w:line="240" w:lineRule="auto"/>
              <w:rPr>
                <w:szCs w:val="22"/>
                <w:lang w:val="en-GB"/>
              </w:rPr>
            </w:pPr>
            <w:r w:rsidRPr="00E20701">
              <w:rPr>
                <w:szCs w:val="22"/>
                <w:lang w:val="en-GB"/>
              </w:rPr>
              <w:t>7</w:t>
            </w:r>
          </w:p>
        </w:tc>
        <w:tc>
          <w:tcPr>
            <w:tcW w:w="0" w:type="auto"/>
            <w:vAlign w:val="center"/>
          </w:tcPr>
          <w:p w:rsidR="00026241" w:rsidRPr="00E20701" w:rsidRDefault="00026241" w:rsidP="00BC5399">
            <w:pPr>
              <w:spacing w:before="120" w:line="240" w:lineRule="auto"/>
              <w:rPr>
                <w:szCs w:val="22"/>
                <w:lang w:val="en-GB"/>
              </w:rPr>
            </w:pPr>
            <w:r w:rsidRPr="00E20701">
              <w:rPr>
                <w:szCs w:val="22"/>
                <w:lang w:val="en-GB"/>
              </w:rPr>
              <w:t>Universität Wien</w:t>
            </w:r>
          </w:p>
        </w:tc>
        <w:tc>
          <w:tcPr>
            <w:tcW w:w="0" w:type="auto"/>
            <w:vAlign w:val="center"/>
          </w:tcPr>
          <w:p w:rsidR="00026241" w:rsidRPr="00E20701" w:rsidRDefault="00026241" w:rsidP="00BC5399">
            <w:pPr>
              <w:spacing w:before="120" w:line="240" w:lineRule="auto"/>
              <w:rPr>
                <w:szCs w:val="22"/>
                <w:lang w:val="en-GB"/>
              </w:rPr>
            </w:pPr>
            <w:r w:rsidRPr="00E20701">
              <w:rPr>
                <w:szCs w:val="22"/>
                <w:lang w:val="en-GB"/>
              </w:rPr>
              <w:t>UNIVIE</w:t>
            </w:r>
          </w:p>
        </w:tc>
        <w:tc>
          <w:tcPr>
            <w:tcW w:w="1265" w:type="dxa"/>
            <w:vAlign w:val="center"/>
          </w:tcPr>
          <w:p w:rsidR="00026241" w:rsidRPr="00E20701" w:rsidRDefault="00026241" w:rsidP="00BC5399">
            <w:pPr>
              <w:shd w:val="clear" w:color="auto" w:fill="FFFFFF"/>
              <w:spacing w:before="120" w:line="240" w:lineRule="auto"/>
              <w:rPr>
                <w:szCs w:val="22"/>
                <w:lang w:val="en-GB"/>
              </w:rPr>
            </w:pPr>
            <w:r w:rsidRPr="00E20701">
              <w:rPr>
                <w:szCs w:val="22"/>
                <w:lang w:val="en-GB"/>
              </w:rPr>
              <w:t>Austria</w:t>
            </w:r>
          </w:p>
        </w:tc>
      </w:tr>
      <w:tr w:rsidR="00026241" w:rsidRPr="00E20701" w:rsidTr="005252B9">
        <w:tc>
          <w:tcPr>
            <w:tcW w:w="0" w:type="auto"/>
            <w:vAlign w:val="center"/>
          </w:tcPr>
          <w:p w:rsidR="00026241" w:rsidRPr="00E20701" w:rsidRDefault="00026241" w:rsidP="00BC5399">
            <w:pPr>
              <w:spacing w:before="120" w:line="240" w:lineRule="auto"/>
              <w:rPr>
                <w:szCs w:val="22"/>
                <w:lang w:val="en-GB"/>
              </w:rPr>
            </w:pPr>
            <w:r w:rsidRPr="00E20701">
              <w:rPr>
                <w:szCs w:val="22"/>
                <w:lang w:val="en-GB"/>
              </w:rPr>
              <w:t>8</w:t>
            </w:r>
          </w:p>
        </w:tc>
        <w:tc>
          <w:tcPr>
            <w:tcW w:w="0" w:type="auto"/>
            <w:vAlign w:val="center"/>
          </w:tcPr>
          <w:p w:rsidR="00026241" w:rsidRPr="00E20701" w:rsidRDefault="00026241" w:rsidP="00BC5399">
            <w:pPr>
              <w:spacing w:before="120" w:line="240" w:lineRule="auto"/>
              <w:rPr>
                <w:szCs w:val="22"/>
                <w:lang w:val="en-GB"/>
              </w:rPr>
            </w:pPr>
            <w:r w:rsidRPr="00E20701">
              <w:rPr>
                <w:szCs w:val="22"/>
                <w:lang w:val="en-GB"/>
              </w:rPr>
              <w:t xml:space="preserve">Cazzoli Consulting </w:t>
            </w:r>
          </w:p>
        </w:tc>
        <w:tc>
          <w:tcPr>
            <w:tcW w:w="0" w:type="auto"/>
            <w:vAlign w:val="center"/>
          </w:tcPr>
          <w:p w:rsidR="00026241" w:rsidRPr="00E20701" w:rsidRDefault="00026241" w:rsidP="00BC5399">
            <w:pPr>
              <w:spacing w:before="120" w:line="240" w:lineRule="auto"/>
              <w:rPr>
                <w:szCs w:val="22"/>
                <w:lang w:val="en-GB"/>
              </w:rPr>
            </w:pPr>
            <w:r w:rsidRPr="00E20701">
              <w:rPr>
                <w:szCs w:val="22"/>
                <w:lang w:val="en-GB"/>
              </w:rPr>
              <w:t>CCA</w:t>
            </w:r>
          </w:p>
        </w:tc>
        <w:tc>
          <w:tcPr>
            <w:tcW w:w="1265" w:type="dxa"/>
            <w:vAlign w:val="center"/>
          </w:tcPr>
          <w:p w:rsidR="00026241" w:rsidRPr="00E20701" w:rsidRDefault="00026241" w:rsidP="00BC5399">
            <w:pPr>
              <w:spacing w:before="120" w:line="240" w:lineRule="auto"/>
              <w:rPr>
                <w:szCs w:val="22"/>
                <w:lang w:val="en-GB"/>
              </w:rPr>
            </w:pPr>
            <w:r w:rsidRPr="00E20701">
              <w:rPr>
                <w:szCs w:val="22"/>
                <w:lang w:val="en-GB"/>
              </w:rPr>
              <w:t>Switzerland</w:t>
            </w:r>
          </w:p>
        </w:tc>
      </w:tr>
      <w:tr w:rsidR="00026241" w:rsidRPr="00E20701" w:rsidTr="005252B9">
        <w:tc>
          <w:tcPr>
            <w:tcW w:w="0" w:type="auto"/>
            <w:vAlign w:val="center"/>
          </w:tcPr>
          <w:p w:rsidR="00026241" w:rsidRPr="00E20701" w:rsidRDefault="00026241" w:rsidP="00BC5399">
            <w:pPr>
              <w:spacing w:before="120" w:line="240" w:lineRule="auto"/>
              <w:rPr>
                <w:szCs w:val="22"/>
                <w:lang w:val="en-GB"/>
              </w:rPr>
            </w:pPr>
            <w:r w:rsidRPr="00E20701">
              <w:rPr>
                <w:szCs w:val="22"/>
                <w:lang w:val="en-GB"/>
              </w:rPr>
              <w:t>9</w:t>
            </w:r>
          </w:p>
        </w:tc>
        <w:tc>
          <w:tcPr>
            <w:tcW w:w="0" w:type="auto"/>
            <w:vAlign w:val="center"/>
          </w:tcPr>
          <w:p w:rsidR="00026241" w:rsidRPr="00E20701" w:rsidRDefault="00026241" w:rsidP="00BC5399">
            <w:pPr>
              <w:shd w:val="clear" w:color="auto" w:fill="FFFFFF"/>
              <w:spacing w:before="120" w:line="240" w:lineRule="auto"/>
              <w:rPr>
                <w:szCs w:val="22"/>
                <w:lang w:val="en-GB"/>
              </w:rPr>
            </w:pPr>
            <w:r w:rsidRPr="00E20701">
              <w:rPr>
                <w:szCs w:val="22"/>
                <w:lang w:val="en-GB" w:eastAsia="en-GB"/>
              </w:rPr>
              <w:t>Italian National Agency for New Technologies, Energy and the Sustainable Economic Development</w:t>
            </w:r>
          </w:p>
        </w:tc>
        <w:tc>
          <w:tcPr>
            <w:tcW w:w="0" w:type="auto"/>
            <w:vAlign w:val="center"/>
          </w:tcPr>
          <w:p w:rsidR="00026241" w:rsidRPr="00E20701" w:rsidRDefault="00026241" w:rsidP="00BC5399">
            <w:pPr>
              <w:spacing w:before="120" w:line="240" w:lineRule="auto"/>
              <w:rPr>
                <w:szCs w:val="22"/>
                <w:lang w:val="en-GB"/>
              </w:rPr>
            </w:pPr>
            <w:r w:rsidRPr="00E20701">
              <w:rPr>
                <w:szCs w:val="22"/>
                <w:lang w:val="en-GB"/>
              </w:rPr>
              <w:t>ENEA</w:t>
            </w:r>
          </w:p>
        </w:tc>
        <w:tc>
          <w:tcPr>
            <w:tcW w:w="1265" w:type="dxa"/>
            <w:vAlign w:val="center"/>
          </w:tcPr>
          <w:p w:rsidR="00026241" w:rsidRPr="00E20701" w:rsidRDefault="00026241" w:rsidP="00BC5399">
            <w:pPr>
              <w:shd w:val="clear" w:color="auto" w:fill="FFFFFF"/>
              <w:spacing w:before="120" w:line="240" w:lineRule="auto"/>
              <w:rPr>
                <w:szCs w:val="22"/>
                <w:lang w:val="en-GB"/>
              </w:rPr>
            </w:pPr>
            <w:r w:rsidRPr="00E20701">
              <w:rPr>
                <w:szCs w:val="22"/>
                <w:lang w:val="en-GB"/>
              </w:rPr>
              <w:t>Italy</w:t>
            </w:r>
          </w:p>
        </w:tc>
      </w:tr>
      <w:tr w:rsidR="00026241" w:rsidRPr="00E20701" w:rsidTr="005252B9">
        <w:tc>
          <w:tcPr>
            <w:tcW w:w="0" w:type="auto"/>
            <w:vAlign w:val="center"/>
          </w:tcPr>
          <w:p w:rsidR="00026241" w:rsidRPr="00E20701" w:rsidRDefault="00026241" w:rsidP="00BC5399">
            <w:pPr>
              <w:spacing w:before="120" w:line="240" w:lineRule="auto"/>
              <w:rPr>
                <w:szCs w:val="22"/>
                <w:lang w:val="en-GB"/>
              </w:rPr>
            </w:pPr>
            <w:r w:rsidRPr="00E20701">
              <w:rPr>
                <w:szCs w:val="22"/>
                <w:lang w:val="en-GB"/>
              </w:rPr>
              <w:t>10</w:t>
            </w:r>
          </w:p>
        </w:tc>
        <w:tc>
          <w:tcPr>
            <w:tcW w:w="0" w:type="auto"/>
            <w:vAlign w:val="center"/>
          </w:tcPr>
          <w:p w:rsidR="00026241" w:rsidRPr="00E20701" w:rsidRDefault="00026241" w:rsidP="00BC5399">
            <w:pPr>
              <w:spacing w:before="120" w:line="240" w:lineRule="auto"/>
              <w:rPr>
                <w:szCs w:val="22"/>
                <w:lang w:val="en-GB"/>
              </w:rPr>
            </w:pPr>
            <w:r w:rsidRPr="00E20701">
              <w:rPr>
                <w:szCs w:val="22"/>
                <w:lang w:val="en-GB" w:eastAsia="en-GB"/>
              </w:rPr>
              <w:t>Nuclear Research and consultancy Group</w:t>
            </w:r>
          </w:p>
        </w:tc>
        <w:tc>
          <w:tcPr>
            <w:tcW w:w="0" w:type="auto"/>
            <w:vAlign w:val="center"/>
          </w:tcPr>
          <w:p w:rsidR="00026241" w:rsidRPr="00E20701" w:rsidRDefault="00026241" w:rsidP="00BC5399">
            <w:pPr>
              <w:spacing w:before="120" w:line="240" w:lineRule="auto"/>
              <w:rPr>
                <w:szCs w:val="22"/>
                <w:lang w:val="en-GB"/>
              </w:rPr>
            </w:pPr>
            <w:r w:rsidRPr="00E20701">
              <w:rPr>
                <w:szCs w:val="22"/>
                <w:lang w:val="en-GB"/>
              </w:rPr>
              <w:t>NRG</w:t>
            </w:r>
          </w:p>
        </w:tc>
        <w:tc>
          <w:tcPr>
            <w:tcW w:w="1265" w:type="dxa"/>
            <w:vAlign w:val="center"/>
          </w:tcPr>
          <w:p w:rsidR="00026241" w:rsidRPr="00E20701" w:rsidRDefault="00026241" w:rsidP="00BC5399">
            <w:pPr>
              <w:shd w:val="clear" w:color="auto" w:fill="FFFFFF"/>
              <w:spacing w:before="120" w:line="240" w:lineRule="auto"/>
              <w:rPr>
                <w:szCs w:val="22"/>
                <w:lang w:val="en-GB"/>
              </w:rPr>
            </w:pPr>
            <w:r w:rsidRPr="00E20701">
              <w:rPr>
                <w:szCs w:val="22"/>
                <w:lang w:val="en-GB"/>
              </w:rPr>
              <w:t>Nederland</w:t>
            </w:r>
          </w:p>
        </w:tc>
      </w:tr>
      <w:tr w:rsidR="00026241" w:rsidRPr="00E20701" w:rsidTr="005252B9">
        <w:tc>
          <w:tcPr>
            <w:tcW w:w="0" w:type="auto"/>
            <w:vAlign w:val="center"/>
          </w:tcPr>
          <w:p w:rsidR="00026241" w:rsidRPr="00E20701" w:rsidRDefault="00026241" w:rsidP="00BC5399">
            <w:pPr>
              <w:spacing w:before="120" w:line="240" w:lineRule="auto"/>
              <w:rPr>
                <w:szCs w:val="22"/>
                <w:lang w:val="en-GB"/>
              </w:rPr>
            </w:pPr>
            <w:r w:rsidRPr="00E20701">
              <w:rPr>
                <w:szCs w:val="22"/>
                <w:lang w:val="en-GB"/>
              </w:rPr>
              <w:t>11</w:t>
            </w:r>
          </w:p>
        </w:tc>
        <w:tc>
          <w:tcPr>
            <w:tcW w:w="0" w:type="auto"/>
            <w:vAlign w:val="center"/>
          </w:tcPr>
          <w:p w:rsidR="00026241" w:rsidRPr="001B7918" w:rsidRDefault="00026241" w:rsidP="00BC5399">
            <w:pPr>
              <w:shd w:val="clear" w:color="auto" w:fill="FFFFFF"/>
              <w:spacing w:before="120" w:line="240" w:lineRule="auto"/>
              <w:rPr>
                <w:szCs w:val="22"/>
              </w:rPr>
            </w:pPr>
            <w:r w:rsidRPr="001B7918">
              <w:rPr>
                <w:szCs w:val="22"/>
              </w:rPr>
              <w:t>IBERDROLA Ingeniería y Construcción S.A.U</w:t>
            </w:r>
          </w:p>
        </w:tc>
        <w:tc>
          <w:tcPr>
            <w:tcW w:w="0" w:type="auto"/>
            <w:vAlign w:val="center"/>
          </w:tcPr>
          <w:p w:rsidR="00026241" w:rsidRPr="00E20701" w:rsidRDefault="00026241" w:rsidP="00BC5399">
            <w:pPr>
              <w:spacing w:before="120" w:line="240" w:lineRule="auto"/>
              <w:rPr>
                <w:szCs w:val="22"/>
                <w:lang w:val="en-GB"/>
              </w:rPr>
            </w:pPr>
            <w:r w:rsidRPr="00E20701">
              <w:rPr>
                <w:szCs w:val="22"/>
                <w:lang w:val="en-GB"/>
              </w:rPr>
              <w:t>IEC</w:t>
            </w:r>
          </w:p>
        </w:tc>
        <w:tc>
          <w:tcPr>
            <w:tcW w:w="1265" w:type="dxa"/>
            <w:vAlign w:val="center"/>
          </w:tcPr>
          <w:p w:rsidR="00026241" w:rsidRPr="00E20701" w:rsidRDefault="00026241" w:rsidP="00BC5399">
            <w:pPr>
              <w:shd w:val="clear" w:color="auto" w:fill="FFFFFF"/>
              <w:spacing w:before="120" w:line="240" w:lineRule="auto"/>
              <w:rPr>
                <w:szCs w:val="22"/>
                <w:lang w:val="en-GB"/>
              </w:rPr>
            </w:pPr>
            <w:r w:rsidRPr="00E20701">
              <w:rPr>
                <w:szCs w:val="22"/>
                <w:lang w:val="en-GB"/>
              </w:rPr>
              <w:t>Spain</w:t>
            </w:r>
          </w:p>
        </w:tc>
      </w:tr>
      <w:tr w:rsidR="00026241" w:rsidRPr="00E20701" w:rsidTr="005252B9">
        <w:tc>
          <w:tcPr>
            <w:tcW w:w="0" w:type="auto"/>
            <w:shd w:val="clear" w:color="auto" w:fill="auto"/>
            <w:vAlign w:val="center"/>
          </w:tcPr>
          <w:p w:rsidR="00026241" w:rsidRPr="00E20701" w:rsidRDefault="00026241" w:rsidP="00BC5399">
            <w:pPr>
              <w:spacing w:before="120" w:line="240" w:lineRule="auto"/>
              <w:rPr>
                <w:szCs w:val="22"/>
                <w:lang w:val="en-GB"/>
              </w:rPr>
            </w:pPr>
            <w:r w:rsidRPr="00E20701">
              <w:rPr>
                <w:szCs w:val="22"/>
                <w:lang w:val="en-GB"/>
              </w:rPr>
              <w:t>12</w:t>
            </w:r>
          </w:p>
        </w:tc>
        <w:tc>
          <w:tcPr>
            <w:tcW w:w="0" w:type="auto"/>
            <w:shd w:val="clear" w:color="auto" w:fill="auto"/>
            <w:vAlign w:val="center"/>
          </w:tcPr>
          <w:p w:rsidR="00026241" w:rsidRPr="00E20701" w:rsidRDefault="00026241" w:rsidP="00BC5399">
            <w:pPr>
              <w:spacing w:before="120" w:line="240" w:lineRule="auto"/>
              <w:rPr>
                <w:szCs w:val="22"/>
                <w:lang w:val="en-GB" w:eastAsia="en-GB"/>
              </w:rPr>
            </w:pPr>
            <w:r w:rsidRPr="00E20701">
              <w:rPr>
                <w:szCs w:val="22"/>
                <w:lang w:val="en-GB" w:eastAsia="en-GB"/>
              </w:rPr>
              <w:t>Electricité de France</w:t>
            </w:r>
          </w:p>
        </w:tc>
        <w:tc>
          <w:tcPr>
            <w:tcW w:w="0" w:type="auto"/>
            <w:shd w:val="clear" w:color="auto" w:fill="auto"/>
            <w:vAlign w:val="center"/>
          </w:tcPr>
          <w:p w:rsidR="00026241" w:rsidRPr="00E20701" w:rsidRDefault="00026241" w:rsidP="00BC5399">
            <w:pPr>
              <w:spacing w:before="120" w:line="240" w:lineRule="auto"/>
              <w:rPr>
                <w:szCs w:val="22"/>
                <w:lang w:val="en-GB"/>
              </w:rPr>
            </w:pPr>
            <w:r w:rsidRPr="00E20701">
              <w:rPr>
                <w:szCs w:val="22"/>
                <w:lang w:val="en-GB"/>
              </w:rPr>
              <w:t>EDF</w:t>
            </w:r>
          </w:p>
        </w:tc>
        <w:tc>
          <w:tcPr>
            <w:tcW w:w="1265" w:type="dxa"/>
            <w:shd w:val="clear" w:color="auto" w:fill="auto"/>
            <w:vAlign w:val="center"/>
          </w:tcPr>
          <w:p w:rsidR="00026241" w:rsidRPr="00E20701" w:rsidRDefault="00026241" w:rsidP="00BC5399">
            <w:pPr>
              <w:shd w:val="clear" w:color="auto" w:fill="FFFFFF"/>
              <w:spacing w:before="120" w:line="240" w:lineRule="auto"/>
              <w:rPr>
                <w:szCs w:val="22"/>
                <w:lang w:val="en-GB"/>
              </w:rPr>
            </w:pPr>
            <w:r w:rsidRPr="00E20701">
              <w:rPr>
                <w:szCs w:val="22"/>
                <w:lang w:val="en-GB"/>
              </w:rPr>
              <w:t>France</w:t>
            </w:r>
          </w:p>
        </w:tc>
      </w:tr>
      <w:tr w:rsidR="00026241" w:rsidRPr="00E20701" w:rsidTr="005252B9">
        <w:tc>
          <w:tcPr>
            <w:tcW w:w="0" w:type="auto"/>
            <w:vAlign w:val="center"/>
          </w:tcPr>
          <w:p w:rsidR="00026241" w:rsidRPr="00E20701" w:rsidRDefault="00026241" w:rsidP="00BC5399">
            <w:pPr>
              <w:spacing w:before="120" w:line="240" w:lineRule="auto"/>
              <w:rPr>
                <w:szCs w:val="22"/>
                <w:lang w:val="en-GB"/>
              </w:rPr>
            </w:pPr>
            <w:r w:rsidRPr="00E20701">
              <w:rPr>
                <w:szCs w:val="22"/>
                <w:lang w:val="en-GB"/>
              </w:rPr>
              <w:t>13</w:t>
            </w:r>
          </w:p>
        </w:tc>
        <w:tc>
          <w:tcPr>
            <w:tcW w:w="0" w:type="auto"/>
            <w:vAlign w:val="center"/>
          </w:tcPr>
          <w:p w:rsidR="00026241" w:rsidRPr="00E20701" w:rsidRDefault="00026241" w:rsidP="00BC5399">
            <w:pPr>
              <w:spacing w:before="120" w:line="240" w:lineRule="auto"/>
              <w:rPr>
                <w:szCs w:val="22"/>
                <w:lang w:val="en-GB" w:eastAsia="en-GB"/>
              </w:rPr>
            </w:pPr>
            <w:r w:rsidRPr="00E20701">
              <w:rPr>
                <w:szCs w:val="22"/>
                <w:lang w:val="en-GB" w:eastAsia="en-GB"/>
              </w:rPr>
              <w:t>Lietuvos energetikos institutas</w:t>
            </w:r>
            <w:r w:rsidR="00C811E7">
              <w:rPr>
                <w:szCs w:val="22"/>
                <w:lang w:val="en-GB" w:eastAsia="en-GB"/>
              </w:rPr>
              <w:t xml:space="preserve"> </w:t>
            </w:r>
            <w:r w:rsidRPr="00E20701">
              <w:rPr>
                <w:szCs w:val="22"/>
                <w:lang w:val="en-GB" w:eastAsia="en-GB"/>
              </w:rPr>
              <w:t>(Lithuanian Energy Institute)</w:t>
            </w:r>
          </w:p>
        </w:tc>
        <w:tc>
          <w:tcPr>
            <w:tcW w:w="0" w:type="auto"/>
            <w:vAlign w:val="center"/>
          </w:tcPr>
          <w:p w:rsidR="00026241" w:rsidRPr="00E20701" w:rsidRDefault="00026241" w:rsidP="00BC5399">
            <w:pPr>
              <w:spacing w:before="120" w:line="240" w:lineRule="auto"/>
              <w:rPr>
                <w:szCs w:val="22"/>
                <w:lang w:val="en-GB"/>
              </w:rPr>
            </w:pPr>
            <w:r w:rsidRPr="00E20701">
              <w:rPr>
                <w:szCs w:val="22"/>
                <w:lang w:val="en-GB"/>
              </w:rPr>
              <w:t>LEI</w:t>
            </w:r>
          </w:p>
        </w:tc>
        <w:tc>
          <w:tcPr>
            <w:tcW w:w="1265" w:type="dxa"/>
            <w:vAlign w:val="center"/>
          </w:tcPr>
          <w:p w:rsidR="00026241" w:rsidRPr="00E20701" w:rsidRDefault="00026241" w:rsidP="00BC5399">
            <w:pPr>
              <w:shd w:val="clear" w:color="auto" w:fill="FFFFFF"/>
              <w:spacing w:before="120" w:line="240" w:lineRule="auto"/>
              <w:rPr>
                <w:szCs w:val="22"/>
                <w:lang w:val="en-GB"/>
              </w:rPr>
            </w:pPr>
            <w:r w:rsidRPr="00E20701">
              <w:rPr>
                <w:szCs w:val="22"/>
                <w:lang w:val="en-GB"/>
              </w:rPr>
              <w:t>Lithuania</w:t>
            </w:r>
          </w:p>
        </w:tc>
      </w:tr>
      <w:tr w:rsidR="00026241" w:rsidRPr="00E20701" w:rsidTr="005252B9">
        <w:tc>
          <w:tcPr>
            <w:tcW w:w="0" w:type="auto"/>
            <w:vAlign w:val="center"/>
          </w:tcPr>
          <w:p w:rsidR="00026241" w:rsidRPr="00E20701" w:rsidRDefault="00026241" w:rsidP="00BC5399">
            <w:pPr>
              <w:spacing w:before="120" w:line="240" w:lineRule="auto"/>
              <w:rPr>
                <w:szCs w:val="22"/>
                <w:lang w:val="en-GB"/>
              </w:rPr>
            </w:pPr>
            <w:r w:rsidRPr="00E20701">
              <w:rPr>
                <w:szCs w:val="22"/>
                <w:lang w:val="en-GB"/>
              </w:rPr>
              <w:t>14</w:t>
            </w:r>
          </w:p>
        </w:tc>
        <w:tc>
          <w:tcPr>
            <w:tcW w:w="0" w:type="auto"/>
            <w:vAlign w:val="center"/>
          </w:tcPr>
          <w:p w:rsidR="00026241" w:rsidRPr="00E20701" w:rsidRDefault="00026241" w:rsidP="00BC5399">
            <w:pPr>
              <w:shd w:val="clear" w:color="auto" w:fill="FFFFFF"/>
              <w:spacing w:before="120" w:line="240" w:lineRule="auto"/>
              <w:rPr>
                <w:szCs w:val="22"/>
                <w:lang w:val="en-GB"/>
              </w:rPr>
            </w:pPr>
            <w:r w:rsidRPr="00E20701">
              <w:rPr>
                <w:szCs w:val="22"/>
                <w:lang w:val="en-GB"/>
              </w:rPr>
              <w:t>NUBIKI</w:t>
            </w:r>
          </w:p>
        </w:tc>
        <w:tc>
          <w:tcPr>
            <w:tcW w:w="0" w:type="auto"/>
            <w:vAlign w:val="center"/>
          </w:tcPr>
          <w:p w:rsidR="00026241" w:rsidRPr="00E20701" w:rsidRDefault="00026241" w:rsidP="00BC5399">
            <w:pPr>
              <w:spacing w:before="120" w:line="240" w:lineRule="auto"/>
              <w:rPr>
                <w:szCs w:val="22"/>
                <w:lang w:val="en-GB"/>
              </w:rPr>
            </w:pPr>
            <w:r w:rsidRPr="00E20701">
              <w:rPr>
                <w:szCs w:val="22"/>
                <w:lang w:val="en-GB"/>
              </w:rPr>
              <w:t>NUBIKI</w:t>
            </w:r>
          </w:p>
        </w:tc>
        <w:tc>
          <w:tcPr>
            <w:tcW w:w="1265" w:type="dxa"/>
            <w:vAlign w:val="center"/>
          </w:tcPr>
          <w:p w:rsidR="00026241" w:rsidRPr="00E20701" w:rsidRDefault="00026241" w:rsidP="00BC5399">
            <w:pPr>
              <w:shd w:val="clear" w:color="auto" w:fill="FFFFFF"/>
              <w:spacing w:before="120" w:line="240" w:lineRule="auto"/>
              <w:rPr>
                <w:szCs w:val="22"/>
                <w:lang w:val="en-GB"/>
              </w:rPr>
            </w:pPr>
            <w:r w:rsidRPr="00E20701">
              <w:rPr>
                <w:szCs w:val="22"/>
                <w:lang w:val="en-GB"/>
              </w:rPr>
              <w:t>Hungary</w:t>
            </w:r>
          </w:p>
        </w:tc>
      </w:tr>
      <w:tr w:rsidR="00026241" w:rsidRPr="00E20701" w:rsidTr="005252B9">
        <w:tc>
          <w:tcPr>
            <w:tcW w:w="0" w:type="auto"/>
            <w:vAlign w:val="center"/>
          </w:tcPr>
          <w:p w:rsidR="00026241" w:rsidRPr="00E20701" w:rsidRDefault="00026241" w:rsidP="00BC5399">
            <w:pPr>
              <w:spacing w:before="120" w:line="240" w:lineRule="auto"/>
              <w:rPr>
                <w:szCs w:val="22"/>
                <w:lang w:val="en-GB"/>
              </w:rPr>
            </w:pPr>
            <w:r w:rsidRPr="00E20701">
              <w:rPr>
                <w:szCs w:val="22"/>
                <w:lang w:val="en-GB"/>
              </w:rPr>
              <w:t>15</w:t>
            </w:r>
          </w:p>
        </w:tc>
        <w:tc>
          <w:tcPr>
            <w:tcW w:w="0" w:type="auto"/>
            <w:vAlign w:val="center"/>
          </w:tcPr>
          <w:p w:rsidR="00026241" w:rsidRPr="00E20701" w:rsidRDefault="00026241" w:rsidP="00BC5399">
            <w:pPr>
              <w:shd w:val="clear" w:color="auto" w:fill="FFFFFF"/>
              <w:spacing w:before="120" w:line="240" w:lineRule="auto"/>
              <w:rPr>
                <w:szCs w:val="22"/>
                <w:lang w:val="en-GB"/>
              </w:rPr>
            </w:pPr>
            <w:r w:rsidRPr="00E20701">
              <w:rPr>
                <w:szCs w:val="22"/>
                <w:lang w:val="en-GB" w:eastAsia="en-GB"/>
              </w:rPr>
              <w:t>Forsmark kraftgrupp AB</w:t>
            </w:r>
          </w:p>
        </w:tc>
        <w:tc>
          <w:tcPr>
            <w:tcW w:w="0" w:type="auto"/>
            <w:vAlign w:val="center"/>
          </w:tcPr>
          <w:p w:rsidR="00026241" w:rsidRPr="00E20701" w:rsidRDefault="00026241" w:rsidP="00BC5399">
            <w:pPr>
              <w:spacing w:before="120" w:line="240" w:lineRule="auto"/>
              <w:rPr>
                <w:szCs w:val="22"/>
                <w:lang w:val="en-GB"/>
              </w:rPr>
            </w:pPr>
            <w:r w:rsidRPr="00E20701">
              <w:rPr>
                <w:szCs w:val="22"/>
                <w:lang w:val="en-GB"/>
              </w:rPr>
              <w:t>FKA</w:t>
            </w:r>
          </w:p>
        </w:tc>
        <w:tc>
          <w:tcPr>
            <w:tcW w:w="1265" w:type="dxa"/>
            <w:vAlign w:val="center"/>
          </w:tcPr>
          <w:p w:rsidR="00026241" w:rsidRPr="00E20701" w:rsidRDefault="00026241" w:rsidP="00BC5399">
            <w:pPr>
              <w:shd w:val="clear" w:color="auto" w:fill="FFFFFF"/>
              <w:spacing w:before="120" w:line="240" w:lineRule="auto"/>
              <w:rPr>
                <w:szCs w:val="22"/>
                <w:lang w:val="en-GB"/>
              </w:rPr>
            </w:pPr>
            <w:r w:rsidRPr="00E20701">
              <w:rPr>
                <w:szCs w:val="22"/>
                <w:lang w:val="en-GB"/>
              </w:rPr>
              <w:t>Sweden</w:t>
            </w:r>
          </w:p>
        </w:tc>
      </w:tr>
      <w:tr w:rsidR="00026241" w:rsidRPr="00E20701" w:rsidTr="005252B9">
        <w:tc>
          <w:tcPr>
            <w:tcW w:w="0" w:type="auto"/>
            <w:vAlign w:val="center"/>
          </w:tcPr>
          <w:p w:rsidR="00026241" w:rsidRPr="00E20701" w:rsidRDefault="00026241" w:rsidP="00BC5399">
            <w:pPr>
              <w:spacing w:before="120" w:line="240" w:lineRule="auto"/>
              <w:rPr>
                <w:szCs w:val="22"/>
                <w:lang w:val="en-GB"/>
              </w:rPr>
            </w:pPr>
            <w:r w:rsidRPr="00E20701">
              <w:rPr>
                <w:szCs w:val="22"/>
                <w:lang w:val="en-GB"/>
              </w:rPr>
              <w:t>16</w:t>
            </w:r>
          </w:p>
        </w:tc>
        <w:tc>
          <w:tcPr>
            <w:tcW w:w="0" w:type="auto"/>
            <w:vAlign w:val="center"/>
          </w:tcPr>
          <w:p w:rsidR="00026241" w:rsidRPr="00E20701" w:rsidRDefault="00026241" w:rsidP="00BC5399">
            <w:pPr>
              <w:shd w:val="clear" w:color="auto" w:fill="FFFFFF"/>
              <w:spacing w:before="120" w:line="240" w:lineRule="auto"/>
              <w:rPr>
                <w:szCs w:val="22"/>
                <w:lang w:val="en-GB"/>
              </w:rPr>
            </w:pPr>
            <w:r w:rsidRPr="00E20701">
              <w:rPr>
                <w:szCs w:val="22"/>
                <w:lang w:val="en-GB"/>
              </w:rPr>
              <w:t>AREVA NP SAS France</w:t>
            </w:r>
          </w:p>
        </w:tc>
        <w:tc>
          <w:tcPr>
            <w:tcW w:w="0" w:type="auto"/>
            <w:vAlign w:val="center"/>
          </w:tcPr>
          <w:p w:rsidR="00026241" w:rsidRPr="00E20701" w:rsidRDefault="00026241" w:rsidP="00BC5399">
            <w:pPr>
              <w:spacing w:before="120" w:line="240" w:lineRule="auto"/>
              <w:rPr>
                <w:szCs w:val="22"/>
                <w:lang w:val="en-GB"/>
              </w:rPr>
            </w:pPr>
            <w:r w:rsidRPr="00E20701">
              <w:rPr>
                <w:szCs w:val="22"/>
                <w:lang w:val="en-GB"/>
              </w:rPr>
              <w:t>AREVA NP SAS</w:t>
            </w:r>
          </w:p>
        </w:tc>
        <w:tc>
          <w:tcPr>
            <w:tcW w:w="1265" w:type="dxa"/>
            <w:vAlign w:val="center"/>
          </w:tcPr>
          <w:p w:rsidR="00026241" w:rsidRPr="00E20701" w:rsidRDefault="00026241" w:rsidP="00BC5399">
            <w:pPr>
              <w:shd w:val="clear" w:color="auto" w:fill="FFFFFF"/>
              <w:spacing w:before="120" w:line="240" w:lineRule="auto"/>
              <w:rPr>
                <w:szCs w:val="22"/>
                <w:lang w:val="en-GB"/>
              </w:rPr>
            </w:pPr>
            <w:r w:rsidRPr="00E20701">
              <w:rPr>
                <w:szCs w:val="22"/>
                <w:lang w:val="en-GB"/>
              </w:rPr>
              <w:t>France</w:t>
            </w:r>
          </w:p>
        </w:tc>
      </w:tr>
      <w:tr w:rsidR="00026241" w:rsidRPr="00E20701" w:rsidTr="005252B9">
        <w:tc>
          <w:tcPr>
            <w:tcW w:w="0" w:type="auto"/>
            <w:vAlign w:val="center"/>
          </w:tcPr>
          <w:p w:rsidR="00026241" w:rsidRPr="00E20701" w:rsidRDefault="00026241" w:rsidP="00BC5399">
            <w:pPr>
              <w:spacing w:before="120" w:line="240" w:lineRule="auto"/>
              <w:rPr>
                <w:szCs w:val="22"/>
                <w:lang w:val="en-GB"/>
              </w:rPr>
            </w:pPr>
            <w:r w:rsidRPr="00E20701">
              <w:rPr>
                <w:szCs w:val="22"/>
                <w:lang w:val="en-GB"/>
              </w:rPr>
              <w:t>17</w:t>
            </w:r>
          </w:p>
        </w:tc>
        <w:tc>
          <w:tcPr>
            <w:tcW w:w="0" w:type="auto"/>
            <w:vAlign w:val="center"/>
          </w:tcPr>
          <w:p w:rsidR="00026241" w:rsidRPr="00E20701" w:rsidRDefault="00026241" w:rsidP="00BC5399">
            <w:pPr>
              <w:shd w:val="clear" w:color="auto" w:fill="FFFFFF"/>
              <w:spacing w:before="120" w:line="240" w:lineRule="auto"/>
              <w:rPr>
                <w:szCs w:val="22"/>
                <w:lang w:val="en-GB"/>
              </w:rPr>
            </w:pPr>
            <w:r w:rsidRPr="00E20701">
              <w:rPr>
                <w:szCs w:val="22"/>
                <w:lang w:val="en-GB"/>
              </w:rPr>
              <w:t>NCBJ Institute</w:t>
            </w:r>
          </w:p>
        </w:tc>
        <w:tc>
          <w:tcPr>
            <w:tcW w:w="0" w:type="auto"/>
            <w:vAlign w:val="center"/>
          </w:tcPr>
          <w:p w:rsidR="00026241" w:rsidRPr="00E20701" w:rsidRDefault="00026241" w:rsidP="00BC5399">
            <w:pPr>
              <w:spacing w:before="120" w:line="240" w:lineRule="auto"/>
              <w:rPr>
                <w:szCs w:val="22"/>
                <w:lang w:val="en-GB"/>
              </w:rPr>
            </w:pPr>
            <w:r w:rsidRPr="00E20701">
              <w:rPr>
                <w:szCs w:val="22"/>
                <w:lang w:val="en-GB"/>
              </w:rPr>
              <w:t>NCBJ</w:t>
            </w:r>
          </w:p>
        </w:tc>
        <w:tc>
          <w:tcPr>
            <w:tcW w:w="1265" w:type="dxa"/>
            <w:vAlign w:val="center"/>
          </w:tcPr>
          <w:p w:rsidR="00026241" w:rsidRPr="00E20701" w:rsidRDefault="00026241" w:rsidP="00BC5399">
            <w:pPr>
              <w:spacing w:before="120" w:line="240" w:lineRule="auto"/>
              <w:rPr>
                <w:szCs w:val="22"/>
                <w:lang w:val="en-GB"/>
              </w:rPr>
            </w:pPr>
            <w:r w:rsidRPr="00E20701">
              <w:rPr>
                <w:szCs w:val="22"/>
                <w:lang w:val="en-GB"/>
              </w:rPr>
              <w:t>Poland</w:t>
            </w:r>
          </w:p>
        </w:tc>
      </w:tr>
      <w:tr w:rsidR="00026241" w:rsidRPr="00E20701" w:rsidTr="005252B9">
        <w:tc>
          <w:tcPr>
            <w:tcW w:w="0" w:type="auto"/>
            <w:vAlign w:val="center"/>
          </w:tcPr>
          <w:p w:rsidR="00026241" w:rsidRPr="00E20701" w:rsidRDefault="00026241" w:rsidP="00BC5399">
            <w:pPr>
              <w:spacing w:before="120" w:line="240" w:lineRule="auto"/>
              <w:rPr>
                <w:szCs w:val="22"/>
                <w:lang w:val="en-GB"/>
              </w:rPr>
            </w:pPr>
            <w:r w:rsidRPr="00E20701">
              <w:rPr>
                <w:szCs w:val="22"/>
                <w:lang w:val="en-GB"/>
              </w:rPr>
              <w:t>18</w:t>
            </w:r>
          </w:p>
        </w:tc>
        <w:tc>
          <w:tcPr>
            <w:tcW w:w="0" w:type="auto"/>
            <w:vAlign w:val="center"/>
          </w:tcPr>
          <w:p w:rsidR="00026241" w:rsidRPr="00E20701" w:rsidRDefault="00026241" w:rsidP="00BC5399">
            <w:pPr>
              <w:shd w:val="clear" w:color="auto" w:fill="FFFFFF"/>
              <w:spacing w:before="120" w:line="240" w:lineRule="auto"/>
              <w:rPr>
                <w:szCs w:val="22"/>
                <w:lang w:val="en-GB"/>
              </w:rPr>
            </w:pPr>
            <w:r w:rsidRPr="00E20701">
              <w:rPr>
                <w:szCs w:val="22"/>
                <w:lang w:val="en-GB"/>
              </w:rPr>
              <w:t>State Scientific and Technical Center for Nuclear and Radiation Safety”</w:t>
            </w:r>
          </w:p>
        </w:tc>
        <w:tc>
          <w:tcPr>
            <w:tcW w:w="0" w:type="auto"/>
            <w:vAlign w:val="center"/>
          </w:tcPr>
          <w:p w:rsidR="00026241" w:rsidRPr="00E20701" w:rsidRDefault="00026241" w:rsidP="00BC5399">
            <w:pPr>
              <w:spacing w:before="120" w:line="240" w:lineRule="auto"/>
              <w:rPr>
                <w:szCs w:val="22"/>
                <w:lang w:val="en-GB"/>
              </w:rPr>
            </w:pPr>
            <w:r w:rsidRPr="00E20701">
              <w:rPr>
                <w:szCs w:val="22"/>
                <w:lang w:val="en-GB"/>
              </w:rPr>
              <w:t>SSTC</w:t>
            </w:r>
          </w:p>
        </w:tc>
        <w:tc>
          <w:tcPr>
            <w:tcW w:w="1265" w:type="dxa"/>
            <w:vAlign w:val="center"/>
          </w:tcPr>
          <w:p w:rsidR="00026241" w:rsidRPr="00E20701" w:rsidRDefault="00026241" w:rsidP="00BC5399">
            <w:pPr>
              <w:spacing w:before="120" w:line="240" w:lineRule="auto"/>
              <w:rPr>
                <w:szCs w:val="22"/>
                <w:lang w:val="en-GB"/>
              </w:rPr>
            </w:pPr>
            <w:r w:rsidRPr="00E20701">
              <w:rPr>
                <w:szCs w:val="22"/>
                <w:lang w:val="en-GB"/>
              </w:rPr>
              <w:t>Ukraine</w:t>
            </w:r>
          </w:p>
        </w:tc>
      </w:tr>
      <w:tr w:rsidR="00026241" w:rsidRPr="00E20701" w:rsidTr="005252B9">
        <w:tc>
          <w:tcPr>
            <w:tcW w:w="0" w:type="auto"/>
            <w:vAlign w:val="center"/>
          </w:tcPr>
          <w:p w:rsidR="00026241" w:rsidRPr="00E20701" w:rsidRDefault="00026241" w:rsidP="00BC5399">
            <w:pPr>
              <w:spacing w:before="120" w:line="240" w:lineRule="auto"/>
              <w:rPr>
                <w:szCs w:val="22"/>
                <w:lang w:val="en-GB"/>
              </w:rPr>
            </w:pPr>
            <w:r w:rsidRPr="00E20701">
              <w:rPr>
                <w:szCs w:val="22"/>
                <w:lang w:val="en-GB"/>
              </w:rPr>
              <w:t>19</w:t>
            </w:r>
          </w:p>
        </w:tc>
        <w:tc>
          <w:tcPr>
            <w:tcW w:w="0" w:type="auto"/>
            <w:vAlign w:val="center"/>
          </w:tcPr>
          <w:p w:rsidR="00026241" w:rsidRPr="00E20701" w:rsidRDefault="00026241" w:rsidP="00BC5399">
            <w:pPr>
              <w:shd w:val="clear" w:color="auto" w:fill="FFFFFF"/>
              <w:spacing w:before="120" w:line="240" w:lineRule="auto"/>
              <w:rPr>
                <w:szCs w:val="22"/>
                <w:lang w:val="en-GB"/>
              </w:rPr>
            </w:pPr>
            <w:r w:rsidRPr="00E20701">
              <w:rPr>
                <w:szCs w:val="22"/>
                <w:lang w:val="en-GB"/>
              </w:rPr>
              <w:t>VUJE</w:t>
            </w:r>
          </w:p>
        </w:tc>
        <w:tc>
          <w:tcPr>
            <w:tcW w:w="0" w:type="auto"/>
            <w:vAlign w:val="center"/>
          </w:tcPr>
          <w:p w:rsidR="00026241" w:rsidRPr="00E20701" w:rsidRDefault="00026241" w:rsidP="00BC5399">
            <w:pPr>
              <w:spacing w:before="120" w:line="240" w:lineRule="auto"/>
              <w:rPr>
                <w:szCs w:val="22"/>
                <w:lang w:val="en-GB"/>
              </w:rPr>
            </w:pPr>
            <w:r w:rsidRPr="00E20701">
              <w:rPr>
                <w:szCs w:val="22"/>
                <w:lang w:val="en-GB"/>
              </w:rPr>
              <w:t>VUJE</w:t>
            </w:r>
          </w:p>
        </w:tc>
        <w:tc>
          <w:tcPr>
            <w:tcW w:w="1265" w:type="dxa"/>
            <w:vAlign w:val="center"/>
          </w:tcPr>
          <w:p w:rsidR="00026241" w:rsidRPr="00E20701" w:rsidRDefault="00026241" w:rsidP="00BC5399">
            <w:pPr>
              <w:spacing w:before="120" w:line="240" w:lineRule="auto"/>
              <w:rPr>
                <w:szCs w:val="22"/>
                <w:lang w:val="en-GB"/>
              </w:rPr>
            </w:pPr>
            <w:r w:rsidRPr="00E20701">
              <w:rPr>
                <w:szCs w:val="22"/>
                <w:lang w:val="en-GB"/>
              </w:rPr>
              <w:t>Slovakia</w:t>
            </w:r>
          </w:p>
        </w:tc>
      </w:tr>
      <w:tr w:rsidR="00026241" w:rsidRPr="00E20701" w:rsidTr="005252B9">
        <w:tc>
          <w:tcPr>
            <w:tcW w:w="0" w:type="auto"/>
            <w:tcBorders>
              <w:bottom w:val="single" w:sz="6" w:space="0" w:color="000000"/>
            </w:tcBorders>
            <w:vAlign w:val="center"/>
          </w:tcPr>
          <w:p w:rsidR="00026241" w:rsidRPr="00E20701" w:rsidRDefault="00026241" w:rsidP="00BC5399">
            <w:pPr>
              <w:spacing w:before="120" w:line="240" w:lineRule="auto"/>
              <w:rPr>
                <w:szCs w:val="22"/>
                <w:lang w:val="en-GB"/>
              </w:rPr>
            </w:pPr>
            <w:r w:rsidRPr="00E20701">
              <w:rPr>
                <w:szCs w:val="22"/>
                <w:lang w:val="en-GB"/>
              </w:rPr>
              <w:t>20</w:t>
            </w:r>
          </w:p>
        </w:tc>
        <w:tc>
          <w:tcPr>
            <w:tcW w:w="0" w:type="auto"/>
            <w:tcBorders>
              <w:bottom w:val="single" w:sz="6" w:space="0" w:color="000000"/>
            </w:tcBorders>
            <w:vAlign w:val="center"/>
          </w:tcPr>
          <w:p w:rsidR="00026241" w:rsidRPr="00E20701" w:rsidRDefault="00026241" w:rsidP="00BC5399">
            <w:pPr>
              <w:spacing w:before="120" w:line="240" w:lineRule="auto"/>
              <w:rPr>
                <w:szCs w:val="22"/>
                <w:lang w:val="en-GB" w:eastAsia="en-GB"/>
              </w:rPr>
            </w:pPr>
            <w:r w:rsidRPr="00E20701">
              <w:rPr>
                <w:szCs w:val="22"/>
                <w:lang w:val="en-GB" w:eastAsia="en-GB"/>
              </w:rPr>
              <w:t>NIER Ingegneria</w:t>
            </w:r>
          </w:p>
        </w:tc>
        <w:tc>
          <w:tcPr>
            <w:tcW w:w="0" w:type="auto"/>
            <w:tcBorders>
              <w:bottom w:val="single" w:sz="6" w:space="0" w:color="000000"/>
            </w:tcBorders>
            <w:vAlign w:val="center"/>
          </w:tcPr>
          <w:p w:rsidR="00026241" w:rsidRPr="00E20701" w:rsidRDefault="00026241" w:rsidP="00BC5399">
            <w:pPr>
              <w:spacing w:before="120" w:line="240" w:lineRule="auto"/>
              <w:rPr>
                <w:szCs w:val="22"/>
                <w:lang w:val="en-GB"/>
              </w:rPr>
            </w:pPr>
            <w:r w:rsidRPr="00E20701">
              <w:rPr>
                <w:szCs w:val="22"/>
                <w:lang w:val="en-GB"/>
              </w:rPr>
              <w:t>NIER</w:t>
            </w:r>
          </w:p>
        </w:tc>
        <w:tc>
          <w:tcPr>
            <w:tcW w:w="1265" w:type="dxa"/>
            <w:tcBorders>
              <w:bottom w:val="single" w:sz="6" w:space="0" w:color="000000"/>
            </w:tcBorders>
            <w:vAlign w:val="center"/>
          </w:tcPr>
          <w:p w:rsidR="00026241" w:rsidRPr="00E20701" w:rsidRDefault="00026241" w:rsidP="00BC5399">
            <w:pPr>
              <w:shd w:val="clear" w:color="auto" w:fill="FFFFFF"/>
              <w:spacing w:before="120" w:line="240" w:lineRule="auto"/>
              <w:rPr>
                <w:szCs w:val="22"/>
                <w:lang w:val="en-GB"/>
              </w:rPr>
            </w:pPr>
            <w:r w:rsidRPr="00E20701">
              <w:rPr>
                <w:szCs w:val="22"/>
                <w:lang w:val="en-GB"/>
              </w:rPr>
              <w:t>Italy</w:t>
            </w:r>
          </w:p>
        </w:tc>
      </w:tr>
      <w:tr w:rsidR="00026241" w:rsidRPr="00E20701" w:rsidTr="005252B9">
        <w:tc>
          <w:tcPr>
            <w:tcW w:w="0" w:type="auto"/>
            <w:vAlign w:val="center"/>
          </w:tcPr>
          <w:p w:rsidR="00026241" w:rsidRPr="00E20701" w:rsidRDefault="00026241" w:rsidP="00BC5399">
            <w:pPr>
              <w:spacing w:before="120" w:line="240" w:lineRule="auto"/>
              <w:rPr>
                <w:szCs w:val="22"/>
                <w:lang w:val="en-GB"/>
              </w:rPr>
            </w:pPr>
            <w:r w:rsidRPr="00E20701">
              <w:rPr>
                <w:szCs w:val="22"/>
                <w:lang w:val="en-GB"/>
              </w:rPr>
              <w:t>22</w:t>
            </w:r>
          </w:p>
        </w:tc>
        <w:tc>
          <w:tcPr>
            <w:tcW w:w="0" w:type="auto"/>
            <w:vAlign w:val="center"/>
          </w:tcPr>
          <w:p w:rsidR="00026241" w:rsidRPr="00E20701" w:rsidRDefault="00026241" w:rsidP="00BC5399">
            <w:pPr>
              <w:shd w:val="clear" w:color="auto" w:fill="FFFFFF"/>
              <w:spacing w:before="120" w:line="240" w:lineRule="auto"/>
              <w:rPr>
                <w:szCs w:val="22"/>
                <w:lang w:val="en-GB"/>
              </w:rPr>
            </w:pPr>
            <w:r w:rsidRPr="00E20701">
              <w:rPr>
                <w:szCs w:val="22"/>
                <w:lang w:val="en-GB" w:eastAsia="en-GB"/>
              </w:rPr>
              <w:t>TRACTEBEL ENGINEERING S.A.</w:t>
            </w:r>
          </w:p>
        </w:tc>
        <w:tc>
          <w:tcPr>
            <w:tcW w:w="0" w:type="auto"/>
            <w:vAlign w:val="center"/>
          </w:tcPr>
          <w:p w:rsidR="00026241" w:rsidRPr="00E20701" w:rsidRDefault="00026241" w:rsidP="00BC5399">
            <w:pPr>
              <w:spacing w:before="120" w:line="240" w:lineRule="auto"/>
              <w:rPr>
                <w:szCs w:val="22"/>
                <w:lang w:val="en-GB"/>
              </w:rPr>
            </w:pPr>
            <w:r w:rsidRPr="00E20701">
              <w:rPr>
                <w:szCs w:val="22"/>
                <w:lang w:val="en-GB"/>
              </w:rPr>
              <w:t>TRACTEBEL</w:t>
            </w:r>
          </w:p>
        </w:tc>
        <w:tc>
          <w:tcPr>
            <w:tcW w:w="1265" w:type="dxa"/>
            <w:vAlign w:val="center"/>
          </w:tcPr>
          <w:p w:rsidR="00026241" w:rsidRPr="00E20701" w:rsidRDefault="00026241" w:rsidP="00BC5399">
            <w:pPr>
              <w:shd w:val="clear" w:color="auto" w:fill="FFFFFF"/>
              <w:spacing w:before="120" w:line="240" w:lineRule="auto"/>
              <w:rPr>
                <w:szCs w:val="22"/>
                <w:lang w:val="en-GB"/>
              </w:rPr>
            </w:pPr>
            <w:r w:rsidRPr="00E20701">
              <w:rPr>
                <w:szCs w:val="22"/>
                <w:lang w:val="en-GB"/>
              </w:rPr>
              <w:t>Belgium</w:t>
            </w:r>
          </w:p>
        </w:tc>
      </w:tr>
      <w:tr w:rsidR="00026241" w:rsidRPr="00E20701" w:rsidTr="005252B9">
        <w:tc>
          <w:tcPr>
            <w:tcW w:w="0" w:type="auto"/>
            <w:vAlign w:val="center"/>
          </w:tcPr>
          <w:p w:rsidR="00026241" w:rsidRPr="00E20701" w:rsidRDefault="00026241" w:rsidP="00BC5399">
            <w:pPr>
              <w:spacing w:before="120" w:line="240" w:lineRule="auto"/>
              <w:rPr>
                <w:szCs w:val="22"/>
                <w:lang w:val="en-GB"/>
              </w:rPr>
            </w:pPr>
            <w:r w:rsidRPr="00E20701">
              <w:rPr>
                <w:szCs w:val="22"/>
                <w:lang w:val="en-GB"/>
              </w:rPr>
              <w:t>23</w:t>
            </w:r>
          </w:p>
        </w:tc>
        <w:tc>
          <w:tcPr>
            <w:tcW w:w="0" w:type="auto"/>
            <w:vAlign w:val="center"/>
          </w:tcPr>
          <w:p w:rsidR="00026241" w:rsidRPr="00E20701" w:rsidRDefault="00026241" w:rsidP="00BC5399">
            <w:pPr>
              <w:shd w:val="clear" w:color="auto" w:fill="FFFFFF"/>
              <w:spacing w:before="120" w:line="240" w:lineRule="auto"/>
              <w:rPr>
                <w:szCs w:val="22"/>
                <w:lang w:val="en-GB" w:eastAsia="en-GB"/>
              </w:rPr>
            </w:pPr>
            <w:r w:rsidRPr="00E20701">
              <w:rPr>
                <w:szCs w:val="22"/>
                <w:lang w:val="en-GB" w:eastAsia="en-GB"/>
              </w:rPr>
              <w:t>BeL V</w:t>
            </w:r>
          </w:p>
        </w:tc>
        <w:tc>
          <w:tcPr>
            <w:tcW w:w="0" w:type="auto"/>
            <w:vAlign w:val="center"/>
          </w:tcPr>
          <w:p w:rsidR="00026241" w:rsidRPr="00E20701" w:rsidRDefault="00026241" w:rsidP="00BC5399">
            <w:pPr>
              <w:spacing w:before="120" w:line="240" w:lineRule="auto"/>
              <w:rPr>
                <w:szCs w:val="22"/>
                <w:lang w:val="en-GB"/>
              </w:rPr>
            </w:pPr>
            <w:r w:rsidRPr="00E20701">
              <w:rPr>
                <w:szCs w:val="22"/>
                <w:lang w:val="en-GB"/>
              </w:rPr>
              <w:t>BeL V</w:t>
            </w:r>
          </w:p>
        </w:tc>
        <w:tc>
          <w:tcPr>
            <w:tcW w:w="1265" w:type="dxa"/>
            <w:vAlign w:val="center"/>
          </w:tcPr>
          <w:p w:rsidR="00026241" w:rsidRPr="00E20701" w:rsidRDefault="00026241" w:rsidP="00BC5399">
            <w:pPr>
              <w:shd w:val="clear" w:color="auto" w:fill="FFFFFF"/>
              <w:spacing w:before="120" w:line="240" w:lineRule="auto"/>
              <w:rPr>
                <w:szCs w:val="22"/>
                <w:lang w:val="en-GB"/>
              </w:rPr>
            </w:pPr>
            <w:r w:rsidRPr="00E20701">
              <w:rPr>
                <w:szCs w:val="22"/>
                <w:lang w:val="en-GB"/>
              </w:rPr>
              <w:t>Belgium</w:t>
            </w:r>
          </w:p>
        </w:tc>
      </w:tr>
      <w:tr w:rsidR="00026241" w:rsidRPr="00E20701" w:rsidTr="005252B9">
        <w:tc>
          <w:tcPr>
            <w:tcW w:w="0" w:type="auto"/>
            <w:vAlign w:val="center"/>
          </w:tcPr>
          <w:p w:rsidR="00026241" w:rsidRPr="00E20701" w:rsidRDefault="00026241" w:rsidP="00BC5399">
            <w:pPr>
              <w:spacing w:before="120" w:line="240" w:lineRule="auto"/>
              <w:rPr>
                <w:szCs w:val="22"/>
                <w:lang w:val="en-GB"/>
              </w:rPr>
            </w:pPr>
            <w:r w:rsidRPr="00E20701">
              <w:rPr>
                <w:szCs w:val="22"/>
                <w:lang w:val="en-GB"/>
              </w:rPr>
              <w:t>24</w:t>
            </w:r>
          </w:p>
        </w:tc>
        <w:tc>
          <w:tcPr>
            <w:tcW w:w="0" w:type="auto"/>
            <w:vAlign w:val="center"/>
          </w:tcPr>
          <w:p w:rsidR="00026241" w:rsidRPr="00E20701" w:rsidRDefault="00026241" w:rsidP="00BC5399">
            <w:pPr>
              <w:shd w:val="clear" w:color="auto" w:fill="FFFFFF"/>
              <w:spacing w:before="120" w:line="240" w:lineRule="auto"/>
              <w:rPr>
                <w:szCs w:val="22"/>
                <w:lang w:val="en-GB" w:eastAsia="en-GB"/>
              </w:rPr>
            </w:pPr>
            <w:r w:rsidRPr="00E20701">
              <w:rPr>
                <w:szCs w:val="22"/>
                <w:lang w:val="en-GB" w:eastAsia="en-GB"/>
              </w:rPr>
              <w:t>Institut Jozef Stefan</w:t>
            </w:r>
          </w:p>
        </w:tc>
        <w:tc>
          <w:tcPr>
            <w:tcW w:w="0" w:type="auto"/>
            <w:vAlign w:val="center"/>
          </w:tcPr>
          <w:p w:rsidR="00026241" w:rsidRPr="00E20701" w:rsidRDefault="00026241" w:rsidP="00BC5399">
            <w:pPr>
              <w:spacing w:before="120" w:line="240" w:lineRule="auto"/>
              <w:rPr>
                <w:szCs w:val="22"/>
                <w:lang w:val="en-GB"/>
              </w:rPr>
            </w:pPr>
            <w:r w:rsidRPr="00E20701">
              <w:rPr>
                <w:szCs w:val="22"/>
                <w:lang w:val="en-GB"/>
              </w:rPr>
              <w:t>JSI</w:t>
            </w:r>
          </w:p>
        </w:tc>
        <w:tc>
          <w:tcPr>
            <w:tcW w:w="1265" w:type="dxa"/>
            <w:vAlign w:val="center"/>
          </w:tcPr>
          <w:p w:rsidR="00026241" w:rsidRPr="00E20701" w:rsidRDefault="00026241" w:rsidP="00BC5399">
            <w:pPr>
              <w:shd w:val="clear" w:color="auto" w:fill="FFFFFF"/>
              <w:spacing w:before="120" w:line="240" w:lineRule="auto"/>
              <w:rPr>
                <w:szCs w:val="22"/>
                <w:lang w:val="en-GB"/>
              </w:rPr>
            </w:pPr>
            <w:r w:rsidRPr="00E20701">
              <w:rPr>
                <w:szCs w:val="22"/>
                <w:lang w:val="en-GB"/>
              </w:rPr>
              <w:t>Slovenia</w:t>
            </w:r>
          </w:p>
        </w:tc>
      </w:tr>
      <w:tr w:rsidR="00026241" w:rsidRPr="00E20701" w:rsidTr="005252B9">
        <w:tc>
          <w:tcPr>
            <w:tcW w:w="0" w:type="auto"/>
            <w:vAlign w:val="center"/>
          </w:tcPr>
          <w:p w:rsidR="00026241" w:rsidRPr="00E20701" w:rsidRDefault="00026241" w:rsidP="00BC5399">
            <w:pPr>
              <w:spacing w:before="120" w:line="240" w:lineRule="auto"/>
              <w:rPr>
                <w:szCs w:val="22"/>
                <w:lang w:val="en-GB"/>
              </w:rPr>
            </w:pPr>
            <w:r w:rsidRPr="00E20701">
              <w:rPr>
                <w:szCs w:val="22"/>
                <w:lang w:val="en-GB"/>
              </w:rPr>
              <w:t>25</w:t>
            </w:r>
          </w:p>
        </w:tc>
        <w:tc>
          <w:tcPr>
            <w:tcW w:w="0" w:type="auto"/>
            <w:vAlign w:val="center"/>
          </w:tcPr>
          <w:p w:rsidR="00026241" w:rsidRPr="00E20701" w:rsidRDefault="00026241" w:rsidP="00BC5399">
            <w:pPr>
              <w:shd w:val="clear" w:color="auto" w:fill="FFFFFF"/>
              <w:spacing w:before="120" w:line="240" w:lineRule="auto"/>
              <w:rPr>
                <w:szCs w:val="22"/>
                <w:lang w:val="en-GB" w:eastAsia="en-GB"/>
              </w:rPr>
            </w:pPr>
            <w:r w:rsidRPr="00E20701">
              <w:rPr>
                <w:szCs w:val="22"/>
                <w:lang w:val="en-GB" w:eastAsia="en-GB"/>
              </w:rPr>
              <w:t>Institute of nuclear research and nuclear energy – Bulgarian Academia of science</w:t>
            </w:r>
          </w:p>
        </w:tc>
        <w:tc>
          <w:tcPr>
            <w:tcW w:w="0" w:type="auto"/>
            <w:vAlign w:val="center"/>
          </w:tcPr>
          <w:p w:rsidR="00026241" w:rsidRPr="00E20701" w:rsidRDefault="00026241" w:rsidP="00BC5399">
            <w:pPr>
              <w:spacing w:before="120" w:line="240" w:lineRule="auto"/>
              <w:rPr>
                <w:szCs w:val="22"/>
                <w:lang w:val="en-GB"/>
              </w:rPr>
            </w:pPr>
            <w:r w:rsidRPr="00E20701">
              <w:rPr>
                <w:szCs w:val="22"/>
                <w:lang w:val="en-GB"/>
              </w:rPr>
              <w:t>INRNE</w:t>
            </w:r>
          </w:p>
        </w:tc>
        <w:tc>
          <w:tcPr>
            <w:tcW w:w="1265" w:type="dxa"/>
            <w:vAlign w:val="center"/>
          </w:tcPr>
          <w:p w:rsidR="00026241" w:rsidRPr="00E20701" w:rsidRDefault="00026241" w:rsidP="00BC5399">
            <w:pPr>
              <w:shd w:val="clear" w:color="auto" w:fill="FFFFFF"/>
              <w:spacing w:before="120" w:line="240" w:lineRule="auto"/>
              <w:rPr>
                <w:szCs w:val="22"/>
                <w:lang w:val="en-GB"/>
              </w:rPr>
            </w:pPr>
            <w:r w:rsidRPr="00E20701">
              <w:rPr>
                <w:szCs w:val="22"/>
                <w:lang w:val="en-GB"/>
              </w:rPr>
              <w:t>Bulgaria</w:t>
            </w:r>
          </w:p>
        </w:tc>
      </w:tr>
      <w:tr w:rsidR="00026241" w:rsidRPr="00E20701" w:rsidTr="005252B9">
        <w:tc>
          <w:tcPr>
            <w:tcW w:w="0" w:type="auto"/>
            <w:vAlign w:val="center"/>
          </w:tcPr>
          <w:p w:rsidR="00026241" w:rsidRPr="00E20701" w:rsidRDefault="00026241" w:rsidP="00BC5399">
            <w:pPr>
              <w:spacing w:before="120" w:line="240" w:lineRule="auto"/>
              <w:rPr>
                <w:szCs w:val="22"/>
                <w:lang w:val="en-GB"/>
              </w:rPr>
            </w:pPr>
            <w:r w:rsidRPr="00E20701">
              <w:rPr>
                <w:szCs w:val="22"/>
                <w:lang w:val="en-GB"/>
              </w:rPr>
              <w:t>26</w:t>
            </w:r>
          </w:p>
        </w:tc>
        <w:tc>
          <w:tcPr>
            <w:tcW w:w="0" w:type="auto"/>
            <w:vAlign w:val="center"/>
          </w:tcPr>
          <w:p w:rsidR="00026241" w:rsidRPr="00E20701" w:rsidRDefault="00026241" w:rsidP="00BC5399">
            <w:pPr>
              <w:shd w:val="clear" w:color="auto" w:fill="FFFFFF"/>
              <w:spacing w:before="120" w:line="240" w:lineRule="auto"/>
              <w:rPr>
                <w:szCs w:val="22"/>
                <w:lang w:val="en-GB" w:eastAsia="en-GB"/>
              </w:rPr>
            </w:pPr>
            <w:r w:rsidRPr="00E20701">
              <w:rPr>
                <w:szCs w:val="22"/>
                <w:lang w:val="en-GB" w:eastAsia="en-GB"/>
              </w:rPr>
              <w:t>Regia Autonoma Pentru Activatati Nucleare Droberta Tr. Severin RA Suc</w:t>
            </w:r>
          </w:p>
        </w:tc>
        <w:tc>
          <w:tcPr>
            <w:tcW w:w="0" w:type="auto"/>
            <w:vAlign w:val="center"/>
          </w:tcPr>
          <w:p w:rsidR="00026241" w:rsidRPr="00E20701" w:rsidRDefault="00026241" w:rsidP="00BC5399">
            <w:pPr>
              <w:spacing w:before="120" w:line="240" w:lineRule="auto"/>
              <w:rPr>
                <w:szCs w:val="22"/>
                <w:lang w:val="en-GB"/>
              </w:rPr>
            </w:pPr>
            <w:r w:rsidRPr="00E20701">
              <w:rPr>
                <w:szCs w:val="22"/>
                <w:lang w:val="en-GB"/>
              </w:rPr>
              <w:t>INR</w:t>
            </w:r>
          </w:p>
        </w:tc>
        <w:tc>
          <w:tcPr>
            <w:tcW w:w="1265" w:type="dxa"/>
            <w:vAlign w:val="center"/>
          </w:tcPr>
          <w:p w:rsidR="00026241" w:rsidRPr="00E20701" w:rsidRDefault="00026241" w:rsidP="00BC5399">
            <w:pPr>
              <w:shd w:val="clear" w:color="auto" w:fill="FFFFFF"/>
              <w:spacing w:before="120" w:line="240" w:lineRule="auto"/>
              <w:rPr>
                <w:szCs w:val="22"/>
                <w:lang w:val="en-GB"/>
              </w:rPr>
            </w:pPr>
            <w:r w:rsidRPr="00E20701">
              <w:rPr>
                <w:szCs w:val="22"/>
                <w:lang w:val="en-GB"/>
              </w:rPr>
              <w:t>Roumania</w:t>
            </w:r>
          </w:p>
        </w:tc>
      </w:tr>
      <w:tr w:rsidR="00026241" w:rsidRPr="00E20701" w:rsidTr="005252B9">
        <w:tc>
          <w:tcPr>
            <w:tcW w:w="0" w:type="auto"/>
            <w:vAlign w:val="center"/>
          </w:tcPr>
          <w:p w:rsidR="00026241" w:rsidRPr="00E20701" w:rsidRDefault="00026241" w:rsidP="00BC5399">
            <w:pPr>
              <w:spacing w:before="120" w:line="240" w:lineRule="auto"/>
              <w:rPr>
                <w:szCs w:val="22"/>
                <w:lang w:val="en-GB"/>
              </w:rPr>
            </w:pPr>
            <w:r w:rsidRPr="00E20701">
              <w:rPr>
                <w:szCs w:val="22"/>
                <w:lang w:val="en-GB"/>
              </w:rPr>
              <w:t>27</w:t>
            </w:r>
          </w:p>
        </w:tc>
        <w:tc>
          <w:tcPr>
            <w:tcW w:w="0" w:type="auto"/>
            <w:vAlign w:val="center"/>
          </w:tcPr>
          <w:p w:rsidR="00026241" w:rsidRPr="00E20701" w:rsidRDefault="00026241" w:rsidP="00BC5399">
            <w:pPr>
              <w:shd w:val="clear" w:color="auto" w:fill="FFFFFF"/>
              <w:spacing w:before="120" w:line="240" w:lineRule="auto"/>
              <w:rPr>
                <w:szCs w:val="22"/>
                <w:lang w:val="en-GB" w:eastAsia="en-GB"/>
              </w:rPr>
            </w:pPr>
            <w:r w:rsidRPr="00E20701">
              <w:rPr>
                <w:szCs w:val="22"/>
                <w:lang w:val="en-GB" w:eastAsia="en-GB"/>
              </w:rPr>
              <w:t>Technical University of Sofia – Research and Development Sector</w:t>
            </w:r>
          </w:p>
        </w:tc>
        <w:tc>
          <w:tcPr>
            <w:tcW w:w="0" w:type="auto"/>
            <w:vAlign w:val="center"/>
          </w:tcPr>
          <w:p w:rsidR="00026241" w:rsidRPr="00E20701" w:rsidRDefault="00026241" w:rsidP="00BC5399">
            <w:pPr>
              <w:spacing w:before="120" w:line="240" w:lineRule="auto"/>
              <w:rPr>
                <w:szCs w:val="22"/>
                <w:lang w:val="en-GB"/>
              </w:rPr>
            </w:pPr>
            <w:r w:rsidRPr="00E20701">
              <w:rPr>
                <w:szCs w:val="22"/>
                <w:lang w:val="en-GB"/>
              </w:rPr>
              <w:t>TUS</w:t>
            </w:r>
          </w:p>
        </w:tc>
        <w:tc>
          <w:tcPr>
            <w:tcW w:w="1265" w:type="dxa"/>
            <w:vAlign w:val="center"/>
          </w:tcPr>
          <w:p w:rsidR="00026241" w:rsidRPr="00E20701" w:rsidRDefault="00026241" w:rsidP="00BC5399">
            <w:pPr>
              <w:shd w:val="clear" w:color="auto" w:fill="FFFFFF"/>
              <w:spacing w:before="120" w:line="240" w:lineRule="auto"/>
              <w:rPr>
                <w:szCs w:val="22"/>
                <w:lang w:val="en-GB"/>
              </w:rPr>
            </w:pPr>
            <w:r w:rsidRPr="00E20701">
              <w:rPr>
                <w:szCs w:val="22"/>
                <w:lang w:val="en-GB"/>
              </w:rPr>
              <w:t>Bulgaria</w:t>
            </w:r>
          </w:p>
        </w:tc>
      </w:tr>
      <w:tr w:rsidR="00026241" w:rsidRPr="00E20701" w:rsidTr="005252B9">
        <w:tc>
          <w:tcPr>
            <w:tcW w:w="0" w:type="auto"/>
            <w:vAlign w:val="center"/>
          </w:tcPr>
          <w:p w:rsidR="00026241" w:rsidRPr="00E20701" w:rsidRDefault="00026241" w:rsidP="00BC5399">
            <w:pPr>
              <w:spacing w:before="120" w:line="240" w:lineRule="auto"/>
              <w:rPr>
                <w:szCs w:val="22"/>
                <w:lang w:val="en-GB"/>
              </w:rPr>
            </w:pPr>
            <w:r w:rsidRPr="00E20701">
              <w:rPr>
                <w:szCs w:val="22"/>
                <w:lang w:val="en-GB"/>
              </w:rPr>
              <w:t>28</w:t>
            </w:r>
          </w:p>
        </w:tc>
        <w:tc>
          <w:tcPr>
            <w:tcW w:w="0" w:type="auto"/>
            <w:vAlign w:val="center"/>
          </w:tcPr>
          <w:p w:rsidR="00026241" w:rsidRPr="00E20701" w:rsidRDefault="00026241" w:rsidP="00BC5399">
            <w:pPr>
              <w:shd w:val="clear" w:color="auto" w:fill="FFFFFF"/>
              <w:spacing w:before="120" w:line="240" w:lineRule="auto"/>
              <w:rPr>
                <w:szCs w:val="22"/>
                <w:lang w:val="en-GB" w:eastAsia="en-GB"/>
              </w:rPr>
            </w:pPr>
            <w:r w:rsidRPr="00E20701">
              <w:rPr>
                <w:szCs w:val="22"/>
                <w:lang w:val="en-GB" w:eastAsia="en-GB"/>
              </w:rPr>
              <w:t>AREXIS S.A.R.L.</w:t>
            </w:r>
          </w:p>
        </w:tc>
        <w:tc>
          <w:tcPr>
            <w:tcW w:w="0" w:type="auto"/>
            <w:vAlign w:val="center"/>
          </w:tcPr>
          <w:p w:rsidR="00026241" w:rsidRPr="00E20701" w:rsidRDefault="00026241" w:rsidP="00BC5399">
            <w:pPr>
              <w:spacing w:before="120" w:line="240" w:lineRule="auto"/>
              <w:rPr>
                <w:szCs w:val="22"/>
                <w:lang w:val="en-GB"/>
              </w:rPr>
            </w:pPr>
            <w:r w:rsidRPr="00E20701">
              <w:rPr>
                <w:szCs w:val="22"/>
                <w:lang w:val="en-GB"/>
              </w:rPr>
              <w:t>AREXIS</w:t>
            </w:r>
          </w:p>
        </w:tc>
        <w:tc>
          <w:tcPr>
            <w:tcW w:w="1265" w:type="dxa"/>
            <w:vAlign w:val="center"/>
          </w:tcPr>
          <w:p w:rsidR="00026241" w:rsidRPr="00E20701" w:rsidRDefault="00026241" w:rsidP="00BC5399">
            <w:pPr>
              <w:shd w:val="clear" w:color="auto" w:fill="FFFFFF"/>
              <w:spacing w:before="120" w:line="240" w:lineRule="auto"/>
              <w:rPr>
                <w:szCs w:val="22"/>
                <w:lang w:val="en-GB"/>
              </w:rPr>
            </w:pPr>
            <w:r w:rsidRPr="00E20701">
              <w:rPr>
                <w:szCs w:val="22"/>
                <w:lang w:val="en-GB"/>
              </w:rPr>
              <w:t>France</w:t>
            </w:r>
          </w:p>
        </w:tc>
      </w:tr>
      <w:tr w:rsidR="00026241" w:rsidRPr="00E20701" w:rsidTr="005252B9">
        <w:tc>
          <w:tcPr>
            <w:tcW w:w="0" w:type="auto"/>
            <w:vAlign w:val="center"/>
          </w:tcPr>
          <w:p w:rsidR="00026241" w:rsidRPr="00E20701" w:rsidRDefault="00F61B0B" w:rsidP="00BC5399">
            <w:pPr>
              <w:spacing w:before="120" w:line="240" w:lineRule="auto"/>
              <w:rPr>
                <w:szCs w:val="22"/>
                <w:lang w:val="en-GB"/>
              </w:rPr>
            </w:pPr>
            <w:r>
              <w:rPr>
                <w:szCs w:val="22"/>
                <w:lang w:val="en-GB"/>
              </w:rPr>
              <w:t>29</w:t>
            </w:r>
          </w:p>
        </w:tc>
        <w:tc>
          <w:tcPr>
            <w:tcW w:w="0" w:type="auto"/>
            <w:vAlign w:val="center"/>
          </w:tcPr>
          <w:p w:rsidR="00026241" w:rsidRPr="009803F6" w:rsidRDefault="003A5817" w:rsidP="00BC5399">
            <w:pPr>
              <w:shd w:val="clear" w:color="auto" w:fill="FFFFFF"/>
              <w:spacing w:before="120" w:line="240" w:lineRule="auto"/>
              <w:rPr>
                <w:szCs w:val="22"/>
                <w:lang w:val="en-US" w:eastAsia="en-GB"/>
              </w:rPr>
            </w:pPr>
            <w:r w:rsidRPr="003A5817">
              <w:rPr>
                <w:szCs w:val="22"/>
                <w:lang w:val="en-US" w:eastAsia="en-GB"/>
              </w:rPr>
              <w:t>United States Nuclear Regulatory Commission</w:t>
            </w:r>
          </w:p>
        </w:tc>
        <w:tc>
          <w:tcPr>
            <w:tcW w:w="0" w:type="auto"/>
            <w:vAlign w:val="center"/>
          </w:tcPr>
          <w:p w:rsidR="00026241" w:rsidRPr="00E20701" w:rsidRDefault="00026241" w:rsidP="00BC5399">
            <w:pPr>
              <w:shd w:val="clear" w:color="auto" w:fill="FFFFFF"/>
              <w:spacing w:before="120" w:line="240" w:lineRule="auto"/>
              <w:rPr>
                <w:szCs w:val="22"/>
                <w:lang w:val="en-GB" w:eastAsia="en-GB"/>
              </w:rPr>
            </w:pPr>
            <w:r w:rsidRPr="00E20701">
              <w:rPr>
                <w:szCs w:val="22"/>
                <w:lang w:val="en-GB" w:eastAsia="en-GB"/>
              </w:rPr>
              <w:t>US-NRC</w:t>
            </w:r>
          </w:p>
        </w:tc>
        <w:tc>
          <w:tcPr>
            <w:tcW w:w="1265" w:type="dxa"/>
            <w:vAlign w:val="center"/>
          </w:tcPr>
          <w:p w:rsidR="00026241" w:rsidRPr="00E20701" w:rsidRDefault="003A5817" w:rsidP="00BC5399">
            <w:pPr>
              <w:shd w:val="clear" w:color="auto" w:fill="FFFFFF"/>
              <w:spacing w:before="120" w:line="240" w:lineRule="auto"/>
              <w:rPr>
                <w:szCs w:val="22"/>
                <w:lang w:val="en-GB"/>
              </w:rPr>
            </w:pPr>
            <w:r>
              <w:rPr>
                <w:szCs w:val="22"/>
                <w:lang w:val="en-GB"/>
              </w:rPr>
              <w:t>US</w:t>
            </w:r>
          </w:p>
        </w:tc>
      </w:tr>
      <w:tr w:rsidR="00026241" w:rsidRPr="00E20701" w:rsidTr="005252B9">
        <w:tc>
          <w:tcPr>
            <w:tcW w:w="0" w:type="auto"/>
            <w:vAlign w:val="center"/>
          </w:tcPr>
          <w:p w:rsidR="00026241" w:rsidRPr="00E20701" w:rsidRDefault="00F61B0B" w:rsidP="00BC5399">
            <w:pPr>
              <w:spacing w:before="120" w:line="240" w:lineRule="auto"/>
              <w:rPr>
                <w:szCs w:val="22"/>
                <w:lang w:val="en-GB"/>
              </w:rPr>
            </w:pPr>
            <w:r>
              <w:rPr>
                <w:szCs w:val="22"/>
                <w:lang w:val="en-GB"/>
              </w:rPr>
              <w:t>30</w:t>
            </w:r>
          </w:p>
        </w:tc>
        <w:tc>
          <w:tcPr>
            <w:tcW w:w="0" w:type="auto"/>
            <w:vAlign w:val="center"/>
          </w:tcPr>
          <w:p w:rsidR="00026241" w:rsidRPr="00E20701" w:rsidRDefault="003A5817" w:rsidP="003A5817">
            <w:pPr>
              <w:shd w:val="clear" w:color="auto" w:fill="FFFFFF"/>
              <w:spacing w:before="120" w:line="240" w:lineRule="auto"/>
              <w:rPr>
                <w:szCs w:val="22"/>
                <w:lang w:val="en-GB" w:eastAsia="en-GB"/>
              </w:rPr>
            </w:pPr>
            <w:r w:rsidRPr="003A5817">
              <w:rPr>
                <w:szCs w:val="22"/>
                <w:lang w:val="en-GB" w:eastAsia="en-GB"/>
              </w:rPr>
              <w:t>Tokyo Electric Power Company</w:t>
            </w:r>
          </w:p>
        </w:tc>
        <w:tc>
          <w:tcPr>
            <w:tcW w:w="0" w:type="auto"/>
            <w:vAlign w:val="center"/>
          </w:tcPr>
          <w:p w:rsidR="00026241" w:rsidRPr="00E20701" w:rsidRDefault="00026241" w:rsidP="00BC5399">
            <w:pPr>
              <w:shd w:val="clear" w:color="auto" w:fill="FFFFFF"/>
              <w:spacing w:before="120" w:line="240" w:lineRule="auto"/>
              <w:rPr>
                <w:szCs w:val="22"/>
                <w:lang w:val="en-GB" w:eastAsia="en-GB"/>
              </w:rPr>
            </w:pPr>
            <w:r w:rsidRPr="00E20701">
              <w:rPr>
                <w:szCs w:val="22"/>
                <w:lang w:val="en-GB" w:eastAsia="en-GB"/>
              </w:rPr>
              <w:t>TEPCO</w:t>
            </w:r>
          </w:p>
        </w:tc>
        <w:tc>
          <w:tcPr>
            <w:tcW w:w="1265" w:type="dxa"/>
            <w:vAlign w:val="center"/>
          </w:tcPr>
          <w:p w:rsidR="00026241" w:rsidRPr="00E20701" w:rsidRDefault="003A5817" w:rsidP="00BC5399">
            <w:pPr>
              <w:shd w:val="clear" w:color="auto" w:fill="FFFFFF"/>
              <w:spacing w:before="120" w:line="240" w:lineRule="auto"/>
              <w:rPr>
                <w:szCs w:val="22"/>
                <w:lang w:val="en-GB"/>
              </w:rPr>
            </w:pPr>
            <w:r>
              <w:rPr>
                <w:szCs w:val="22"/>
                <w:lang w:val="en-GB"/>
              </w:rPr>
              <w:t>Japan</w:t>
            </w:r>
          </w:p>
        </w:tc>
      </w:tr>
      <w:tr w:rsidR="00026241" w:rsidRPr="00E20701" w:rsidTr="00026241">
        <w:trPr>
          <w:trHeight w:val="272"/>
        </w:trPr>
        <w:tc>
          <w:tcPr>
            <w:tcW w:w="0" w:type="auto"/>
            <w:vAlign w:val="center"/>
          </w:tcPr>
          <w:p w:rsidR="00026241" w:rsidRPr="00E20701" w:rsidRDefault="00F61B0B" w:rsidP="00BC5399">
            <w:pPr>
              <w:spacing w:before="120" w:line="240" w:lineRule="auto"/>
              <w:rPr>
                <w:szCs w:val="22"/>
                <w:lang w:val="en-GB"/>
              </w:rPr>
            </w:pPr>
            <w:r>
              <w:rPr>
                <w:szCs w:val="22"/>
                <w:lang w:val="en-GB"/>
              </w:rPr>
              <w:t>31</w:t>
            </w:r>
          </w:p>
        </w:tc>
        <w:tc>
          <w:tcPr>
            <w:tcW w:w="0" w:type="auto"/>
            <w:vAlign w:val="center"/>
          </w:tcPr>
          <w:p w:rsidR="00026241" w:rsidRPr="00E20701" w:rsidRDefault="003A5817" w:rsidP="00BC5399">
            <w:pPr>
              <w:shd w:val="clear" w:color="auto" w:fill="FFFFFF"/>
              <w:spacing w:before="120" w:line="240" w:lineRule="auto"/>
              <w:rPr>
                <w:szCs w:val="22"/>
                <w:lang w:val="en-GB" w:eastAsia="en-GB"/>
              </w:rPr>
            </w:pPr>
            <w:r>
              <w:rPr>
                <w:szCs w:val="22"/>
                <w:lang w:val="en-GB" w:eastAsia="en-GB"/>
              </w:rPr>
              <w:t>Japan Nuclear Safety Institute</w:t>
            </w:r>
          </w:p>
        </w:tc>
        <w:tc>
          <w:tcPr>
            <w:tcW w:w="0" w:type="auto"/>
            <w:vAlign w:val="center"/>
          </w:tcPr>
          <w:p w:rsidR="00026241" w:rsidRPr="00E20701" w:rsidRDefault="00026241" w:rsidP="00BC5399">
            <w:pPr>
              <w:shd w:val="clear" w:color="auto" w:fill="FFFFFF"/>
              <w:spacing w:before="120" w:line="240" w:lineRule="auto"/>
              <w:rPr>
                <w:szCs w:val="22"/>
                <w:lang w:val="en-GB" w:eastAsia="en-GB"/>
              </w:rPr>
            </w:pPr>
            <w:r w:rsidRPr="00E20701">
              <w:rPr>
                <w:szCs w:val="22"/>
                <w:lang w:val="en-GB" w:eastAsia="en-GB"/>
              </w:rPr>
              <w:t>JANSI</w:t>
            </w:r>
          </w:p>
        </w:tc>
        <w:tc>
          <w:tcPr>
            <w:tcW w:w="1265" w:type="dxa"/>
            <w:vAlign w:val="center"/>
          </w:tcPr>
          <w:p w:rsidR="00026241" w:rsidRPr="00E20701" w:rsidRDefault="003A5817" w:rsidP="00BC5399">
            <w:pPr>
              <w:shd w:val="clear" w:color="auto" w:fill="FFFFFF"/>
              <w:spacing w:before="120" w:line="240" w:lineRule="auto"/>
              <w:rPr>
                <w:szCs w:val="22"/>
                <w:lang w:val="en-GB"/>
              </w:rPr>
            </w:pPr>
            <w:r>
              <w:rPr>
                <w:szCs w:val="22"/>
                <w:lang w:val="en-GB"/>
              </w:rPr>
              <w:t>Japan</w:t>
            </w:r>
          </w:p>
        </w:tc>
      </w:tr>
    </w:tbl>
    <w:p w:rsidR="009A1C44" w:rsidRPr="00E20701" w:rsidRDefault="009A1C44" w:rsidP="009A1C44">
      <w:pPr>
        <w:rPr>
          <w:color w:val="666699"/>
          <w:lang w:val="en-GB"/>
        </w:rPr>
      </w:pPr>
    </w:p>
    <w:p w:rsidR="009A1C44" w:rsidRPr="00E20701" w:rsidRDefault="009A1C44" w:rsidP="009A1C44">
      <w:pPr>
        <w:rPr>
          <w:color w:val="666699"/>
          <w:lang w:val="en-GB"/>
        </w:rPr>
      </w:pPr>
      <w:r w:rsidRPr="00E20701">
        <w:rPr>
          <w:color w:val="666699"/>
          <w:lang w:val="en-GB"/>
        </w:rPr>
        <w:br w:type="page"/>
      </w:r>
    </w:p>
    <w:p w:rsidR="009A1C44" w:rsidRPr="00E20701" w:rsidRDefault="009A1C44" w:rsidP="005252B9">
      <w:pPr>
        <w:pStyle w:val="Titre1"/>
        <w:numPr>
          <w:ilvl w:val="0"/>
          <w:numId w:val="0"/>
        </w:numPr>
        <w:rPr>
          <w:lang w:val="en-GB"/>
        </w:rPr>
      </w:pPr>
      <w:bookmarkStart w:id="6" w:name="_Toc473303539"/>
      <w:r w:rsidRPr="00E20701">
        <w:rPr>
          <w:lang w:val="en-GB"/>
        </w:rPr>
        <w:t>CONTENT</w:t>
      </w:r>
      <w:bookmarkEnd w:id="6"/>
    </w:p>
    <w:p w:rsidR="00E62976" w:rsidRDefault="009803F6">
      <w:pPr>
        <w:pStyle w:val="TM1"/>
        <w:tabs>
          <w:tab w:val="right" w:leader="dot" w:pos="9345"/>
        </w:tabs>
        <w:rPr>
          <w:rFonts w:asciiTheme="minorHAnsi" w:eastAsiaTheme="minorEastAsia" w:hAnsiTheme="minorHAnsi" w:cstheme="minorBidi"/>
          <w:bCs w:val="0"/>
          <w:iCs w:val="0"/>
          <w:noProof/>
          <w:sz w:val="22"/>
          <w:szCs w:val="22"/>
        </w:rPr>
      </w:pPr>
      <w:r>
        <w:rPr>
          <w:rFonts w:ascii="Arial" w:hAnsi="Arial" w:cs="Arial"/>
          <w:bCs w:val="0"/>
          <w:i/>
          <w:caps/>
          <w:sz w:val="24"/>
          <w:lang w:val="en-GB"/>
        </w:rPr>
        <w:fldChar w:fldCharType="begin"/>
      </w:r>
      <w:r>
        <w:rPr>
          <w:rFonts w:ascii="Arial" w:hAnsi="Arial" w:cs="Arial"/>
          <w:bCs w:val="0"/>
          <w:i/>
          <w:caps/>
          <w:sz w:val="24"/>
          <w:lang w:val="en-GB"/>
        </w:rPr>
        <w:instrText xml:space="preserve"> TOC \o "1-3" \h \z \u </w:instrText>
      </w:r>
      <w:r>
        <w:rPr>
          <w:rFonts w:ascii="Arial" w:hAnsi="Arial" w:cs="Arial"/>
          <w:bCs w:val="0"/>
          <w:i/>
          <w:caps/>
          <w:sz w:val="24"/>
          <w:lang w:val="en-GB"/>
        </w:rPr>
        <w:fldChar w:fldCharType="separate"/>
      </w:r>
      <w:hyperlink w:anchor="_Toc473303535" w:history="1">
        <w:r w:rsidR="00E62976" w:rsidRPr="00B20874">
          <w:rPr>
            <w:rStyle w:val="Lienhypertexte"/>
            <w:b/>
            <w:smallCaps/>
            <w:noProof/>
            <w:lang w:val="en-GB"/>
          </w:rPr>
          <w:t>Modifications of the document</w:t>
        </w:r>
        <w:r w:rsidR="00E62976">
          <w:rPr>
            <w:noProof/>
            <w:webHidden/>
          </w:rPr>
          <w:tab/>
        </w:r>
        <w:r w:rsidR="00E62976">
          <w:rPr>
            <w:noProof/>
            <w:webHidden/>
          </w:rPr>
          <w:fldChar w:fldCharType="begin"/>
        </w:r>
        <w:r w:rsidR="00E62976">
          <w:rPr>
            <w:noProof/>
            <w:webHidden/>
          </w:rPr>
          <w:instrText xml:space="preserve"> PAGEREF _Toc473303535 \h </w:instrText>
        </w:r>
        <w:r w:rsidR="00E62976">
          <w:rPr>
            <w:noProof/>
            <w:webHidden/>
          </w:rPr>
        </w:r>
        <w:r w:rsidR="00E62976">
          <w:rPr>
            <w:noProof/>
            <w:webHidden/>
          </w:rPr>
          <w:fldChar w:fldCharType="separate"/>
        </w:r>
        <w:r w:rsidR="00E62976">
          <w:rPr>
            <w:noProof/>
            <w:webHidden/>
          </w:rPr>
          <w:t>3</w:t>
        </w:r>
        <w:r w:rsidR="00E62976">
          <w:rPr>
            <w:noProof/>
            <w:webHidden/>
          </w:rPr>
          <w:fldChar w:fldCharType="end"/>
        </w:r>
      </w:hyperlink>
    </w:p>
    <w:p w:rsidR="00E62976" w:rsidRDefault="00E62976">
      <w:pPr>
        <w:pStyle w:val="TM1"/>
        <w:tabs>
          <w:tab w:val="right" w:leader="dot" w:pos="9345"/>
        </w:tabs>
        <w:rPr>
          <w:rFonts w:asciiTheme="minorHAnsi" w:eastAsiaTheme="minorEastAsia" w:hAnsiTheme="minorHAnsi" w:cstheme="minorBidi"/>
          <w:bCs w:val="0"/>
          <w:iCs w:val="0"/>
          <w:noProof/>
          <w:sz w:val="22"/>
          <w:szCs w:val="22"/>
        </w:rPr>
      </w:pPr>
      <w:hyperlink w:anchor="_Toc473303536" w:history="1">
        <w:r w:rsidRPr="00B20874">
          <w:rPr>
            <w:rStyle w:val="Lienhypertexte"/>
            <w:b/>
            <w:smallCaps/>
            <w:noProof/>
            <w:lang w:val="en-GB"/>
          </w:rPr>
          <w:t>List of diffusion</w:t>
        </w:r>
        <w:r>
          <w:rPr>
            <w:noProof/>
            <w:webHidden/>
          </w:rPr>
          <w:tab/>
        </w:r>
        <w:r>
          <w:rPr>
            <w:noProof/>
            <w:webHidden/>
          </w:rPr>
          <w:fldChar w:fldCharType="begin"/>
        </w:r>
        <w:r>
          <w:rPr>
            <w:noProof/>
            <w:webHidden/>
          </w:rPr>
          <w:instrText xml:space="preserve"> PAGEREF _Toc473303536 \h </w:instrText>
        </w:r>
        <w:r>
          <w:rPr>
            <w:noProof/>
            <w:webHidden/>
          </w:rPr>
        </w:r>
        <w:r>
          <w:rPr>
            <w:noProof/>
            <w:webHidden/>
          </w:rPr>
          <w:fldChar w:fldCharType="separate"/>
        </w:r>
        <w:r>
          <w:rPr>
            <w:noProof/>
            <w:webHidden/>
          </w:rPr>
          <w:t>4</w:t>
        </w:r>
        <w:r>
          <w:rPr>
            <w:noProof/>
            <w:webHidden/>
          </w:rPr>
          <w:fldChar w:fldCharType="end"/>
        </w:r>
      </w:hyperlink>
    </w:p>
    <w:p w:rsidR="00E62976" w:rsidRDefault="00E62976">
      <w:pPr>
        <w:pStyle w:val="TM1"/>
        <w:tabs>
          <w:tab w:val="right" w:leader="dot" w:pos="9345"/>
        </w:tabs>
        <w:rPr>
          <w:rFonts w:asciiTheme="minorHAnsi" w:eastAsiaTheme="minorEastAsia" w:hAnsiTheme="minorHAnsi" w:cstheme="minorBidi"/>
          <w:bCs w:val="0"/>
          <w:iCs w:val="0"/>
          <w:noProof/>
          <w:sz w:val="22"/>
          <w:szCs w:val="22"/>
        </w:rPr>
      </w:pPr>
      <w:hyperlink w:anchor="_Toc473303537" w:history="1">
        <w:r w:rsidRPr="00B20874">
          <w:rPr>
            <w:rStyle w:val="Lienhypertexte"/>
            <w:noProof/>
            <w:lang w:val="en-GB"/>
          </w:rPr>
          <w:t>EXECUTIVE SUMMARY</w:t>
        </w:r>
        <w:r>
          <w:rPr>
            <w:noProof/>
            <w:webHidden/>
          </w:rPr>
          <w:tab/>
        </w:r>
        <w:r>
          <w:rPr>
            <w:noProof/>
            <w:webHidden/>
          </w:rPr>
          <w:fldChar w:fldCharType="begin"/>
        </w:r>
        <w:r>
          <w:rPr>
            <w:noProof/>
            <w:webHidden/>
          </w:rPr>
          <w:instrText xml:space="preserve"> PAGEREF _Toc473303537 \h </w:instrText>
        </w:r>
        <w:r>
          <w:rPr>
            <w:noProof/>
            <w:webHidden/>
          </w:rPr>
        </w:r>
        <w:r>
          <w:rPr>
            <w:noProof/>
            <w:webHidden/>
          </w:rPr>
          <w:fldChar w:fldCharType="separate"/>
        </w:r>
        <w:r>
          <w:rPr>
            <w:noProof/>
            <w:webHidden/>
          </w:rPr>
          <w:t>6</w:t>
        </w:r>
        <w:r>
          <w:rPr>
            <w:noProof/>
            <w:webHidden/>
          </w:rPr>
          <w:fldChar w:fldCharType="end"/>
        </w:r>
      </w:hyperlink>
    </w:p>
    <w:p w:rsidR="00E62976" w:rsidRDefault="00E62976">
      <w:pPr>
        <w:pStyle w:val="TM1"/>
        <w:tabs>
          <w:tab w:val="right" w:leader="dot" w:pos="9345"/>
        </w:tabs>
        <w:rPr>
          <w:rFonts w:asciiTheme="minorHAnsi" w:eastAsiaTheme="minorEastAsia" w:hAnsiTheme="minorHAnsi" w:cstheme="minorBidi"/>
          <w:bCs w:val="0"/>
          <w:iCs w:val="0"/>
          <w:noProof/>
          <w:sz w:val="22"/>
          <w:szCs w:val="22"/>
        </w:rPr>
      </w:pPr>
      <w:hyperlink w:anchor="_Toc473303538" w:history="1">
        <w:r w:rsidRPr="00B20874">
          <w:rPr>
            <w:rStyle w:val="Lienhypertexte"/>
            <w:noProof/>
            <w:lang w:val="en-GB"/>
          </w:rPr>
          <w:t>ASAMPSA_E Partners</w:t>
        </w:r>
        <w:r>
          <w:rPr>
            <w:noProof/>
            <w:webHidden/>
          </w:rPr>
          <w:tab/>
        </w:r>
        <w:r>
          <w:rPr>
            <w:noProof/>
            <w:webHidden/>
          </w:rPr>
          <w:fldChar w:fldCharType="begin"/>
        </w:r>
        <w:r>
          <w:rPr>
            <w:noProof/>
            <w:webHidden/>
          </w:rPr>
          <w:instrText xml:space="preserve"> PAGEREF _Toc473303538 \h </w:instrText>
        </w:r>
        <w:r>
          <w:rPr>
            <w:noProof/>
            <w:webHidden/>
          </w:rPr>
        </w:r>
        <w:r>
          <w:rPr>
            <w:noProof/>
            <w:webHidden/>
          </w:rPr>
          <w:fldChar w:fldCharType="separate"/>
        </w:r>
        <w:r>
          <w:rPr>
            <w:noProof/>
            <w:webHidden/>
          </w:rPr>
          <w:t>8</w:t>
        </w:r>
        <w:r>
          <w:rPr>
            <w:noProof/>
            <w:webHidden/>
          </w:rPr>
          <w:fldChar w:fldCharType="end"/>
        </w:r>
      </w:hyperlink>
    </w:p>
    <w:p w:rsidR="00E62976" w:rsidRDefault="00E62976">
      <w:pPr>
        <w:pStyle w:val="TM1"/>
        <w:tabs>
          <w:tab w:val="right" w:leader="dot" w:pos="9345"/>
        </w:tabs>
        <w:rPr>
          <w:rFonts w:asciiTheme="minorHAnsi" w:eastAsiaTheme="minorEastAsia" w:hAnsiTheme="minorHAnsi" w:cstheme="minorBidi"/>
          <w:bCs w:val="0"/>
          <w:iCs w:val="0"/>
          <w:noProof/>
          <w:sz w:val="22"/>
          <w:szCs w:val="22"/>
        </w:rPr>
      </w:pPr>
      <w:hyperlink w:anchor="_Toc473303539" w:history="1">
        <w:r w:rsidRPr="00B20874">
          <w:rPr>
            <w:rStyle w:val="Lienhypertexte"/>
            <w:noProof/>
            <w:lang w:val="en-GB"/>
          </w:rPr>
          <w:t>CONTENT</w:t>
        </w:r>
        <w:r>
          <w:rPr>
            <w:noProof/>
            <w:webHidden/>
          </w:rPr>
          <w:tab/>
        </w:r>
        <w:r>
          <w:rPr>
            <w:noProof/>
            <w:webHidden/>
          </w:rPr>
          <w:fldChar w:fldCharType="begin"/>
        </w:r>
        <w:r>
          <w:rPr>
            <w:noProof/>
            <w:webHidden/>
          </w:rPr>
          <w:instrText xml:space="preserve"> PAGEREF _Toc473303539 \h </w:instrText>
        </w:r>
        <w:r>
          <w:rPr>
            <w:noProof/>
            <w:webHidden/>
          </w:rPr>
        </w:r>
        <w:r>
          <w:rPr>
            <w:noProof/>
            <w:webHidden/>
          </w:rPr>
          <w:fldChar w:fldCharType="separate"/>
        </w:r>
        <w:r>
          <w:rPr>
            <w:noProof/>
            <w:webHidden/>
          </w:rPr>
          <w:t>9</w:t>
        </w:r>
        <w:r>
          <w:rPr>
            <w:noProof/>
            <w:webHidden/>
          </w:rPr>
          <w:fldChar w:fldCharType="end"/>
        </w:r>
      </w:hyperlink>
    </w:p>
    <w:p w:rsidR="00E62976" w:rsidRDefault="00E62976">
      <w:pPr>
        <w:pStyle w:val="TM1"/>
        <w:tabs>
          <w:tab w:val="right" w:leader="dot" w:pos="9345"/>
        </w:tabs>
        <w:rPr>
          <w:rFonts w:asciiTheme="minorHAnsi" w:eastAsiaTheme="minorEastAsia" w:hAnsiTheme="minorHAnsi" w:cstheme="minorBidi"/>
          <w:bCs w:val="0"/>
          <w:iCs w:val="0"/>
          <w:noProof/>
          <w:sz w:val="22"/>
          <w:szCs w:val="22"/>
        </w:rPr>
      </w:pPr>
      <w:hyperlink w:anchor="_Toc473303540" w:history="1">
        <w:r w:rsidRPr="00B20874">
          <w:rPr>
            <w:rStyle w:val="Lienhypertexte"/>
            <w:noProof/>
            <w:lang w:val="en-GB"/>
          </w:rPr>
          <w:t>GLOSSARY</w:t>
        </w:r>
        <w:r>
          <w:rPr>
            <w:noProof/>
            <w:webHidden/>
          </w:rPr>
          <w:tab/>
        </w:r>
        <w:r>
          <w:rPr>
            <w:noProof/>
            <w:webHidden/>
          </w:rPr>
          <w:fldChar w:fldCharType="begin"/>
        </w:r>
        <w:r>
          <w:rPr>
            <w:noProof/>
            <w:webHidden/>
          </w:rPr>
          <w:instrText xml:space="preserve"> PAGEREF _Toc473303540 \h </w:instrText>
        </w:r>
        <w:r>
          <w:rPr>
            <w:noProof/>
            <w:webHidden/>
          </w:rPr>
        </w:r>
        <w:r>
          <w:rPr>
            <w:noProof/>
            <w:webHidden/>
          </w:rPr>
          <w:fldChar w:fldCharType="separate"/>
        </w:r>
        <w:r>
          <w:rPr>
            <w:noProof/>
            <w:webHidden/>
          </w:rPr>
          <w:t>11</w:t>
        </w:r>
        <w:r>
          <w:rPr>
            <w:noProof/>
            <w:webHidden/>
          </w:rPr>
          <w:fldChar w:fldCharType="end"/>
        </w:r>
      </w:hyperlink>
    </w:p>
    <w:p w:rsidR="00E62976" w:rsidRDefault="00E62976">
      <w:pPr>
        <w:pStyle w:val="TM1"/>
        <w:tabs>
          <w:tab w:val="right" w:leader="dot" w:pos="9345"/>
        </w:tabs>
        <w:rPr>
          <w:rFonts w:asciiTheme="minorHAnsi" w:eastAsiaTheme="minorEastAsia" w:hAnsiTheme="minorHAnsi" w:cstheme="minorBidi"/>
          <w:bCs w:val="0"/>
          <w:iCs w:val="0"/>
          <w:noProof/>
          <w:sz w:val="22"/>
          <w:szCs w:val="22"/>
        </w:rPr>
      </w:pPr>
      <w:hyperlink w:anchor="_Toc473303541" w:history="1">
        <w:r w:rsidRPr="00B20874">
          <w:rPr>
            <w:rStyle w:val="Lienhypertexte"/>
            <w:noProof/>
            <w:lang w:val="en-GB"/>
          </w:rPr>
          <w:t>1 INTRODUCTION</w:t>
        </w:r>
        <w:r>
          <w:rPr>
            <w:noProof/>
            <w:webHidden/>
          </w:rPr>
          <w:tab/>
        </w:r>
        <w:r>
          <w:rPr>
            <w:noProof/>
            <w:webHidden/>
          </w:rPr>
          <w:fldChar w:fldCharType="begin"/>
        </w:r>
        <w:r>
          <w:rPr>
            <w:noProof/>
            <w:webHidden/>
          </w:rPr>
          <w:instrText xml:space="preserve"> PAGEREF _Toc473303541 \h </w:instrText>
        </w:r>
        <w:r>
          <w:rPr>
            <w:noProof/>
            <w:webHidden/>
          </w:rPr>
        </w:r>
        <w:r>
          <w:rPr>
            <w:noProof/>
            <w:webHidden/>
          </w:rPr>
          <w:fldChar w:fldCharType="separate"/>
        </w:r>
        <w:r>
          <w:rPr>
            <w:noProof/>
            <w:webHidden/>
          </w:rPr>
          <w:t>13</w:t>
        </w:r>
        <w:r>
          <w:rPr>
            <w:noProof/>
            <w:webHidden/>
          </w:rPr>
          <w:fldChar w:fldCharType="end"/>
        </w:r>
      </w:hyperlink>
    </w:p>
    <w:p w:rsidR="00E62976" w:rsidRDefault="00E62976">
      <w:pPr>
        <w:pStyle w:val="TM1"/>
        <w:tabs>
          <w:tab w:val="right" w:leader="dot" w:pos="9345"/>
        </w:tabs>
        <w:rPr>
          <w:rFonts w:asciiTheme="minorHAnsi" w:eastAsiaTheme="minorEastAsia" w:hAnsiTheme="minorHAnsi" w:cstheme="minorBidi"/>
          <w:bCs w:val="0"/>
          <w:iCs w:val="0"/>
          <w:noProof/>
          <w:sz w:val="22"/>
          <w:szCs w:val="22"/>
        </w:rPr>
      </w:pPr>
      <w:hyperlink w:anchor="_Toc473303542" w:history="1">
        <w:r w:rsidRPr="00B20874">
          <w:rPr>
            <w:rStyle w:val="Lienhypertexte"/>
            <w:noProof/>
            <w:lang w:val="en-GB"/>
          </w:rPr>
          <w:t>2 PSA END-USERS RECOMMENDATIONS FOR SCREENING</w:t>
        </w:r>
        <w:r>
          <w:rPr>
            <w:noProof/>
            <w:webHidden/>
          </w:rPr>
          <w:tab/>
        </w:r>
        <w:r>
          <w:rPr>
            <w:noProof/>
            <w:webHidden/>
          </w:rPr>
          <w:fldChar w:fldCharType="begin"/>
        </w:r>
        <w:r>
          <w:rPr>
            <w:noProof/>
            <w:webHidden/>
          </w:rPr>
          <w:instrText xml:space="preserve"> PAGEREF _Toc473303542 \h </w:instrText>
        </w:r>
        <w:r>
          <w:rPr>
            <w:noProof/>
            <w:webHidden/>
          </w:rPr>
        </w:r>
        <w:r>
          <w:rPr>
            <w:noProof/>
            <w:webHidden/>
          </w:rPr>
          <w:fldChar w:fldCharType="separate"/>
        </w:r>
        <w:r>
          <w:rPr>
            <w:noProof/>
            <w:webHidden/>
          </w:rPr>
          <w:t>13</w:t>
        </w:r>
        <w:r>
          <w:rPr>
            <w:noProof/>
            <w:webHidden/>
          </w:rPr>
          <w:fldChar w:fldCharType="end"/>
        </w:r>
      </w:hyperlink>
    </w:p>
    <w:p w:rsidR="00E62976" w:rsidRDefault="00E62976">
      <w:pPr>
        <w:pStyle w:val="TM1"/>
        <w:tabs>
          <w:tab w:val="right" w:leader="dot" w:pos="9345"/>
        </w:tabs>
        <w:rPr>
          <w:rFonts w:asciiTheme="minorHAnsi" w:eastAsiaTheme="minorEastAsia" w:hAnsiTheme="minorHAnsi" w:cstheme="minorBidi"/>
          <w:bCs w:val="0"/>
          <w:iCs w:val="0"/>
          <w:noProof/>
          <w:sz w:val="22"/>
          <w:szCs w:val="22"/>
        </w:rPr>
      </w:pPr>
      <w:hyperlink w:anchor="_Toc473303543" w:history="1">
        <w:r w:rsidRPr="00B20874">
          <w:rPr>
            <w:rStyle w:val="Lienhypertexte"/>
            <w:noProof/>
            <w:lang w:val="en-US"/>
          </w:rPr>
          <w:t>3 DEFINITIONS USED IN THE REPORT</w:t>
        </w:r>
        <w:r>
          <w:rPr>
            <w:noProof/>
            <w:webHidden/>
          </w:rPr>
          <w:tab/>
        </w:r>
        <w:r>
          <w:rPr>
            <w:noProof/>
            <w:webHidden/>
          </w:rPr>
          <w:fldChar w:fldCharType="begin"/>
        </w:r>
        <w:r>
          <w:rPr>
            <w:noProof/>
            <w:webHidden/>
          </w:rPr>
          <w:instrText xml:space="preserve"> PAGEREF _Toc473303543 \h </w:instrText>
        </w:r>
        <w:r>
          <w:rPr>
            <w:noProof/>
            <w:webHidden/>
          </w:rPr>
        </w:r>
        <w:r>
          <w:rPr>
            <w:noProof/>
            <w:webHidden/>
          </w:rPr>
          <w:fldChar w:fldCharType="separate"/>
        </w:r>
        <w:r>
          <w:rPr>
            <w:noProof/>
            <w:webHidden/>
          </w:rPr>
          <w:t>14</w:t>
        </w:r>
        <w:r>
          <w:rPr>
            <w:noProof/>
            <w:webHidden/>
          </w:rPr>
          <w:fldChar w:fldCharType="end"/>
        </w:r>
      </w:hyperlink>
    </w:p>
    <w:p w:rsidR="00E62976" w:rsidRDefault="00E62976">
      <w:pPr>
        <w:pStyle w:val="TM1"/>
        <w:tabs>
          <w:tab w:val="right" w:leader="dot" w:pos="9345"/>
        </w:tabs>
        <w:rPr>
          <w:rFonts w:asciiTheme="minorHAnsi" w:eastAsiaTheme="minorEastAsia" w:hAnsiTheme="minorHAnsi" w:cstheme="minorBidi"/>
          <w:bCs w:val="0"/>
          <w:iCs w:val="0"/>
          <w:noProof/>
          <w:sz w:val="22"/>
          <w:szCs w:val="22"/>
        </w:rPr>
      </w:pPr>
      <w:hyperlink w:anchor="_Toc473303544" w:history="1">
        <w:r w:rsidRPr="00B20874">
          <w:rPr>
            <w:rStyle w:val="Lienhypertexte"/>
            <w:noProof/>
            <w:lang w:val="en-GB"/>
          </w:rPr>
          <w:t>4</w:t>
        </w:r>
        <w:r w:rsidRPr="00B20874">
          <w:rPr>
            <w:rStyle w:val="Lienhypertexte"/>
            <w:rFonts w:eastAsia="Batang"/>
            <w:noProof/>
            <w:lang w:val="en-GB"/>
          </w:rPr>
          <w:t xml:space="preserve"> GENERAL METHODOLOGY FOR THE SELECTION OF INITIATING EVENTS and hazards </w:t>
        </w:r>
        <w:r w:rsidRPr="00B20874">
          <w:rPr>
            <w:rStyle w:val="Lienhypertexte"/>
            <w:noProof/>
            <w:lang w:val="en-GB"/>
          </w:rPr>
          <w:t>IN AN EXTENDED PSA</w:t>
        </w:r>
        <w:r>
          <w:rPr>
            <w:noProof/>
            <w:webHidden/>
          </w:rPr>
          <w:tab/>
        </w:r>
        <w:r>
          <w:rPr>
            <w:noProof/>
            <w:webHidden/>
          </w:rPr>
          <w:fldChar w:fldCharType="begin"/>
        </w:r>
        <w:r>
          <w:rPr>
            <w:noProof/>
            <w:webHidden/>
          </w:rPr>
          <w:instrText xml:space="preserve"> PAGEREF _Toc473303544 \h </w:instrText>
        </w:r>
        <w:r>
          <w:rPr>
            <w:noProof/>
            <w:webHidden/>
          </w:rPr>
        </w:r>
        <w:r>
          <w:rPr>
            <w:noProof/>
            <w:webHidden/>
          </w:rPr>
          <w:fldChar w:fldCharType="separate"/>
        </w:r>
        <w:r>
          <w:rPr>
            <w:noProof/>
            <w:webHidden/>
          </w:rPr>
          <w:t>20</w:t>
        </w:r>
        <w:r>
          <w:rPr>
            <w:noProof/>
            <w:webHidden/>
          </w:rPr>
          <w:fldChar w:fldCharType="end"/>
        </w:r>
      </w:hyperlink>
    </w:p>
    <w:p w:rsidR="00E62976" w:rsidRDefault="00E62976">
      <w:pPr>
        <w:pStyle w:val="TM1"/>
        <w:tabs>
          <w:tab w:val="right" w:leader="dot" w:pos="9345"/>
        </w:tabs>
        <w:rPr>
          <w:rFonts w:asciiTheme="minorHAnsi" w:eastAsiaTheme="minorEastAsia" w:hAnsiTheme="minorHAnsi" w:cstheme="minorBidi"/>
          <w:bCs w:val="0"/>
          <w:iCs w:val="0"/>
          <w:noProof/>
          <w:sz w:val="22"/>
          <w:szCs w:val="22"/>
        </w:rPr>
      </w:pPr>
      <w:hyperlink w:anchor="_Toc473303545" w:history="1">
        <w:r w:rsidRPr="00B20874">
          <w:rPr>
            <w:rStyle w:val="Lienhypertexte"/>
            <w:noProof/>
            <w:lang w:val="en-GB"/>
          </w:rPr>
          <w:t>5 REVIEW OF EXISTING APPROACHES</w:t>
        </w:r>
        <w:r>
          <w:rPr>
            <w:noProof/>
            <w:webHidden/>
          </w:rPr>
          <w:tab/>
        </w:r>
        <w:r>
          <w:rPr>
            <w:noProof/>
            <w:webHidden/>
          </w:rPr>
          <w:fldChar w:fldCharType="begin"/>
        </w:r>
        <w:r>
          <w:rPr>
            <w:noProof/>
            <w:webHidden/>
          </w:rPr>
          <w:instrText xml:space="preserve"> PAGEREF _Toc473303545 \h </w:instrText>
        </w:r>
        <w:r>
          <w:rPr>
            <w:noProof/>
            <w:webHidden/>
          </w:rPr>
        </w:r>
        <w:r>
          <w:rPr>
            <w:noProof/>
            <w:webHidden/>
          </w:rPr>
          <w:fldChar w:fldCharType="separate"/>
        </w:r>
        <w:r>
          <w:rPr>
            <w:noProof/>
            <w:webHidden/>
          </w:rPr>
          <w:t>22</w:t>
        </w:r>
        <w:r>
          <w:rPr>
            <w:noProof/>
            <w:webHidden/>
          </w:rPr>
          <w:fldChar w:fldCharType="end"/>
        </w:r>
      </w:hyperlink>
    </w:p>
    <w:p w:rsidR="00E62976" w:rsidRDefault="00E62976">
      <w:pPr>
        <w:pStyle w:val="TM2"/>
        <w:tabs>
          <w:tab w:val="right" w:leader="dot" w:pos="9345"/>
        </w:tabs>
        <w:rPr>
          <w:rFonts w:asciiTheme="minorHAnsi" w:eastAsiaTheme="minorEastAsia" w:hAnsiTheme="minorHAnsi" w:cstheme="minorBidi"/>
          <w:bCs w:val="0"/>
          <w:noProof/>
          <w:sz w:val="22"/>
        </w:rPr>
      </w:pPr>
      <w:hyperlink w:anchor="_Toc473303546" w:history="1">
        <w:r w:rsidRPr="00B20874">
          <w:rPr>
            <w:rStyle w:val="Lienhypertexte"/>
            <w:noProof/>
            <w:lang w:val="en-GB"/>
          </w:rPr>
          <w:t>5.1 INTERNATIONAL ORGANIZATIONS</w:t>
        </w:r>
        <w:r>
          <w:rPr>
            <w:noProof/>
            <w:webHidden/>
          </w:rPr>
          <w:tab/>
        </w:r>
        <w:r>
          <w:rPr>
            <w:noProof/>
            <w:webHidden/>
          </w:rPr>
          <w:fldChar w:fldCharType="begin"/>
        </w:r>
        <w:r>
          <w:rPr>
            <w:noProof/>
            <w:webHidden/>
          </w:rPr>
          <w:instrText xml:space="preserve"> PAGEREF _Toc473303546 \h </w:instrText>
        </w:r>
        <w:r>
          <w:rPr>
            <w:noProof/>
            <w:webHidden/>
          </w:rPr>
        </w:r>
        <w:r>
          <w:rPr>
            <w:noProof/>
            <w:webHidden/>
          </w:rPr>
          <w:fldChar w:fldCharType="separate"/>
        </w:r>
        <w:r>
          <w:rPr>
            <w:noProof/>
            <w:webHidden/>
          </w:rPr>
          <w:t>22</w:t>
        </w:r>
        <w:r>
          <w:rPr>
            <w:noProof/>
            <w:webHidden/>
          </w:rPr>
          <w:fldChar w:fldCharType="end"/>
        </w:r>
      </w:hyperlink>
    </w:p>
    <w:p w:rsidR="00E62976" w:rsidRDefault="00E62976">
      <w:pPr>
        <w:pStyle w:val="TM3"/>
        <w:tabs>
          <w:tab w:val="right" w:leader="dot" w:pos="9345"/>
        </w:tabs>
        <w:rPr>
          <w:rFonts w:asciiTheme="minorHAnsi" w:eastAsiaTheme="minorEastAsia" w:hAnsiTheme="minorHAnsi" w:cstheme="minorBidi"/>
          <w:noProof/>
          <w:sz w:val="22"/>
          <w:szCs w:val="22"/>
        </w:rPr>
      </w:pPr>
      <w:hyperlink w:anchor="_Toc473303547" w:history="1">
        <w:r w:rsidRPr="00B20874">
          <w:rPr>
            <w:rStyle w:val="Lienhypertexte"/>
            <w:noProof/>
            <w:lang w:val="en-GB"/>
          </w:rPr>
          <w:t>5.1.1 International Atomic Energy Agency (IAEA)</w:t>
        </w:r>
        <w:r>
          <w:rPr>
            <w:noProof/>
            <w:webHidden/>
          </w:rPr>
          <w:tab/>
        </w:r>
        <w:r>
          <w:rPr>
            <w:noProof/>
            <w:webHidden/>
          </w:rPr>
          <w:fldChar w:fldCharType="begin"/>
        </w:r>
        <w:r>
          <w:rPr>
            <w:noProof/>
            <w:webHidden/>
          </w:rPr>
          <w:instrText xml:space="preserve"> PAGEREF _Toc473303547 \h </w:instrText>
        </w:r>
        <w:r>
          <w:rPr>
            <w:noProof/>
            <w:webHidden/>
          </w:rPr>
        </w:r>
        <w:r>
          <w:rPr>
            <w:noProof/>
            <w:webHidden/>
          </w:rPr>
          <w:fldChar w:fldCharType="separate"/>
        </w:r>
        <w:r>
          <w:rPr>
            <w:noProof/>
            <w:webHidden/>
          </w:rPr>
          <w:t>22</w:t>
        </w:r>
        <w:r>
          <w:rPr>
            <w:noProof/>
            <w:webHidden/>
          </w:rPr>
          <w:fldChar w:fldCharType="end"/>
        </w:r>
      </w:hyperlink>
    </w:p>
    <w:p w:rsidR="00E62976" w:rsidRDefault="00E62976">
      <w:pPr>
        <w:pStyle w:val="TM3"/>
        <w:tabs>
          <w:tab w:val="right" w:leader="dot" w:pos="9345"/>
        </w:tabs>
        <w:rPr>
          <w:rFonts w:asciiTheme="minorHAnsi" w:eastAsiaTheme="minorEastAsia" w:hAnsiTheme="minorHAnsi" w:cstheme="minorBidi"/>
          <w:noProof/>
          <w:sz w:val="22"/>
          <w:szCs w:val="22"/>
        </w:rPr>
      </w:pPr>
      <w:hyperlink w:anchor="_Toc473303548" w:history="1">
        <w:r w:rsidRPr="00B20874">
          <w:rPr>
            <w:rStyle w:val="Lienhypertexte"/>
            <w:noProof/>
            <w:lang w:val="en-GB"/>
          </w:rPr>
          <w:t>5.1.2 Western European Nuclear Regulators Association (WENRA)</w:t>
        </w:r>
        <w:r>
          <w:rPr>
            <w:noProof/>
            <w:webHidden/>
          </w:rPr>
          <w:tab/>
        </w:r>
        <w:r>
          <w:rPr>
            <w:noProof/>
            <w:webHidden/>
          </w:rPr>
          <w:fldChar w:fldCharType="begin"/>
        </w:r>
        <w:r>
          <w:rPr>
            <w:noProof/>
            <w:webHidden/>
          </w:rPr>
          <w:instrText xml:space="preserve"> PAGEREF _Toc473303548 \h </w:instrText>
        </w:r>
        <w:r>
          <w:rPr>
            <w:noProof/>
            <w:webHidden/>
          </w:rPr>
        </w:r>
        <w:r>
          <w:rPr>
            <w:noProof/>
            <w:webHidden/>
          </w:rPr>
          <w:fldChar w:fldCharType="separate"/>
        </w:r>
        <w:r>
          <w:rPr>
            <w:noProof/>
            <w:webHidden/>
          </w:rPr>
          <w:t>34</w:t>
        </w:r>
        <w:r>
          <w:rPr>
            <w:noProof/>
            <w:webHidden/>
          </w:rPr>
          <w:fldChar w:fldCharType="end"/>
        </w:r>
      </w:hyperlink>
    </w:p>
    <w:p w:rsidR="00E62976" w:rsidRDefault="00E62976">
      <w:pPr>
        <w:pStyle w:val="TM3"/>
        <w:tabs>
          <w:tab w:val="right" w:leader="dot" w:pos="9345"/>
        </w:tabs>
        <w:rPr>
          <w:rFonts w:asciiTheme="minorHAnsi" w:eastAsiaTheme="minorEastAsia" w:hAnsiTheme="minorHAnsi" w:cstheme="minorBidi"/>
          <w:noProof/>
          <w:sz w:val="22"/>
          <w:szCs w:val="22"/>
        </w:rPr>
      </w:pPr>
      <w:hyperlink w:anchor="_Toc473303549" w:history="1">
        <w:r w:rsidRPr="00B20874">
          <w:rPr>
            <w:rStyle w:val="Lienhypertexte"/>
            <w:noProof/>
            <w:lang w:val="en-GB"/>
          </w:rPr>
          <w:t>5.1.3 Organisation for Economic Co-operation and Development/ Nuclear Energy Agency (OECD/NEA)</w:t>
        </w:r>
        <w:r>
          <w:rPr>
            <w:noProof/>
            <w:webHidden/>
          </w:rPr>
          <w:tab/>
        </w:r>
        <w:r>
          <w:rPr>
            <w:noProof/>
            <w:webHidden/>
          </w:rPr>
          <w:fldChar w:fldCharType="begin"/>
        </w:r>
        <w:r>
          <w:rPr>
            <w:noProof/>
            <w:webHidden/>
          </w:rPr>
          <w:instrText xml:space="preserve"> PAGEREF _Toc473303549 \h </w:instrText>
        </w:r>
        <w:r>
          <w:rPr>
            <w:noProof/>
            <w:webHidden/>
          </w:rPr>
        </w:r>
        <w:r>
          <w:rPr>
            <w:noProof/>
            <w:webHidden/>
          </w:rPr>
          <w:fldChar w:fldCharType="separate"/>
        </w:r>
        <w:r>
          <w:rPr>
            <w:noProof/>
            <w:webHidden/>
          </w:rPr>
          <w:t>37</w:t>
        </w:r>
        <w:r>
          <w:rPr>
            <w:noProof/>
            <w:webHidden/>
          </w:rPr>
          <w:fldChar w:fldCharType="end"/>
        </w:r>
      </w:hyperlink>
    </w:p>
    <w:p w:rsidR="00E62976" w:rsidRDefault="00E62976">
      <w:pPr>
        <w:pStyle w:val="TM3"/>
        <w:tabs>
          <w:tab w:val="right" w:leader="dot" w:pos="9345"/>
        </w:tabs>
        <w:rPr>
          <w:rFonts w:asciiTheme="minorHAnsi" w:eastAsiaTheme="minorEastAsia" w:hAnsiTheme="minorHAnsi" w:cstheme="minorBidi"/>
          <w:noProof/>
          <w:sz w:val="22"/>
          <w:szCs w:val="22"/>
        </w:rPr>
      </w:pPr>
      <w:hyperlink w:anchor="_Toc473303550" w:history="1">
        <w:r w:rsidRPr="00B20874">
          <w:rPr>
            <w:rStyle w:val="Lienhypertexte"/>
            <w:noProof/>
            <w:lang w:val="en-GB"/>
          </w:rPr>
          <w:t>5.1.4 ASME/ANS</w:t>
        </w:r>
        <w:r>
          <w:rPr>
            <w:noProof/>
            <w:webHidden/>
          </w:rPr>
          <w:tab/>
        </w:r>
        <w:r>
          <w:rPr>
            <w:noProof/>
            <w:webHidden/>
          </w:rPr>
          <w:fldChar w:fldCharType="begin"/>
        </w:r>
        <w:r>
          <w:rPr>
            <w:noProof/>
            <w:webHidden/>
          </w:rPr>
          <w:instrText xml:space="preserve"> PAGEREF _Toc473303550 \h </w:instrText>
        </w:r>
        <w:r>
          <w:rPr>
            <w:noProof/>
            <w:webHidden/>
          </w:rPr>
        </w:r>
        <w:r>
          <w:rPr>
            <w:noProof/>
            <w:webHidden/>
          </w:rPr>
          <w:fldChar w:fldCharType="separate"/>
        </w:r>
        <w:r>
          <w:rPr>
            <w:noProof/>
            <w:webHidden/>
          </w:rPr>
          <w:t>38</w:t>
        </w:r>
        <w:r>
          <w:rPr>
            <w:noProof/>
            <w:webHidden/>
          </w:rPr>
          <w:fldChar w:fldCharType="end"/>
        </w:r>
      </w:hyperlink>
    </w:p>
    <w:p w:rsidR="00E62976" w:rsidRDefault="00E62976">
      <w:pPr>
        <w:pStyle w:val="TM2"/>
        <w:tabs>
          <w:tab w:val="right" w:leader="dot" w:pos="9345"/>
        </w:tabs>
        <w:rPr>
          <w:rFonts w:asciiTheme="minorHAnsi" w:eastAsiaTheme="minorEastAsia" w:hAnsiTheme="minorHAnsi" w:cstheme="minorBidi"/>
          <w:bCs w:val="0"/>
          <w:noProof/>
          <w:sz w:val="22"/>
        </w:rPr>
      </w:pPr>
      <w:hyperlink w:anchor="_Toc473303551" w:history="1">
        <w:r w:rsidRPr="00B20874">
          <w:rPr>
            <w:rStyle w:val="Lienhypertexte"/>
            <w:noProof/>
            <w:lang w:val="en-GB"/>
          </w:rPr>
          <w:t>5.2 COUNTRIES</w:t>
        </w:r>
        <w:r>
          <w:rPr>
            <w:noProof/>
            <w:webHidden/>
          </w:rPr>
          <w:tab/>
        </w:r>
        <w:r>
          <w:rPr>
            <w:noProof/>
            <w:webHidden/>
          </w:rPr>
          <w:fldChar w:fldCharType="begin"/>
        </w:r>
        <w:r>
          <w:rPr>
            <w:noProof/>
            <w:webHidden/>
          </w:rPr>
          <w:instrText xml:space="preserve"> PAGEREF _Toc473303551 \h </w:instrText>
        </w:r>
        <w:r>
          <w:rPr>
            <w:noProof/>
            <w:webHidden/>
          </w:rPr>
        </w:r>
        <w:r>
          <w:rPr>
            <w:noProof/>
            <w:webHidden/>
          </w:rPr>
          <w:fldChar w:fldCharType="separate"/>
        </w:r>
        <w:r>
          <w:rPr>
            <w:noProof/>
            <w:webHidden/>
          </w:rPr>
          <w:t>40</w:t>
        </w:r>
        <w:r>
          <w:rPr>
            <w:noProof/>
            <w:webHidden/>
          </w:rPr>
          <w:fldChar w:fldCharType="end"/>
        </w:r>
      </w:hyperlink>
    </w:p>
    <w:p w:rsidR="00E62976" w:rsidRDefault="00E62976">
      <w:pPr>
        <w:pStyle w:val="TM3"/>
        <w:tabs>
          <w:tab w:val="right" w:leader="dot" w:pos="9345"/>
        </w:tabs>
        <w:rPr>
          <w:rFonts w:asciiTheme="minorHAnsi" w:eastAsiaTheme="minorEastAsia" w:hAnsiTheme="minorHAnsi" w:cstheme="minorBidi"/>
          <w:noProof/>
          <w:sz w:val="22"/>
          <w:szCs w:val="22"/>
        </w:rPr>
      </w:pPr>
      <w:hyperlink w:anchor="_Toc473303552" w:history="1">
        <w:r w:rsidRPr="00B20874">
          <w:rPr>
            <w:rStyle w:val="Lienhypertexte"/>
            <w:noProof/>
            <w:lang w:val="en-GB"/>
          </w:rPr>
          <w:t>5.2.1 Belgium</w:t>
        </w:r>
        <w:r>
          <w:rPr>
            <w:noProof/>
            <w:webHidden/>
          </w:rPr>
          <w:tab/>
        </w:r>
        <w:r>
          <w:rPr>
            <w:noProof/>
            <w:webHidden/>
          </w:rPr>
          <w:fldChar w:fldCharType="begin"/>
        </w:r>
        <w:r>
          <w:rPr>
            <w:noProof/>
            <w:webHidden/>
          </w:rPr>
          <w:instrText xml:space="preserve"> PAGEREF _Toc473303552 \h </w:instrText>
        </w:r>
        <w:r>
          <w:rPr>
            <w:noProof/>
            <w:webHidden/>
          </w:rPr>
        </w:r>
        <w:r>
          <w:rPr>
            <w:noProof/>
            <w:webHidden/>
          </w:rPr>
          <w:fldChar w:fldCharType="separate"/>
        </w:r>
        <w:r>
          <w:rPr>
            <w:noProof/>
            <w:webHidden/>
          </w:rPr>
          <w:t>40</w:t>
        </w:r>
        <w:r>
          <w:rPr>
            <w:noProof/>
            <w:webHidden/>
          </w:rPr>
          <w:fldChar w:fldCharType="end"/>
        </w:r>
      </w:hyperlink>
    </w:p>
    <w:p w:rsidR="00E62976" w:rsidRDefault="00E62976">
      <w:pPr>
        <w:pStyle w:val="TM3"/>
        <w:tabs>
          <w:tab w:val="right" w:leader="dot" w:pos="9345"/>
        </w:tabs>
        <w:rPr>
          <w:rFonts w:asciiTheme="minorHAnsi" w:eastAsiaTheme="minorEastAsia" w:hAnsiTheme="minorHAnsi" w:cstheme="minorBidi"/>
          <w:noProof/>
          <w:sz w:val="22"/>
          <w:szCs w:val="22"/>
        </w:rPr>
      </w:pPr>
      <w:hyperlink w:anchor="_Toc473303553" w:history="1">
        <w:r w:rsidRPr="00B20874">
          <w:rPr>
            <w:rStyle w:val="Lienhypertexte"/>
            <w:noProof/>
            <w:lang w:val="en-GB"/>
          </w:rPr>
          <w:t>5.2.2 Bulgaria</w:t>
        </w:r>
        <w:r>
          <w:rPr>
            <w:noProof/>
            <w:webHidden/>
          </w:rPr>
          <w:tab/>
        </w:r>
        <w:r>
          <w:rPr>
            <w:noProof/>
            <w:webHidden/>
          </w:rPr>
          <w:fldChar w:fldCharType="begin"/>
        </w:r>
        <w:r>
          <w:rPr>
            <w:noProof/>
            <w:webHidden/>
          </w:rPr>
          <w:instrText xml:space="preserve"> PAGEREF _Toc473303553 \h </w:instrText>
        </w:r>
        <w:r>
          <w:rPr>
            <w:noProof/>
            <w:webHidden/>
          </w:rPr>
        </w:r>
        <w:r>
          <w:rPr>
            <w:noProof/>
            <w:webHidden/>
          </w:rPr>
          <w:fldChar w:fldCharType="separate"/>
        </w:r>
        <w:r>
          <w:rPr>
            <w:noProof/>
            <w:webHidden/>
          </w:rPr>
          <w:t>40</w:t>
        </w:r>
        <w:r>
          <w:rPr>
            <w:noProof/>
            <w:webHidden/>
          </w:rPr>
          <w:fldChar w:fldCharType="end"/>
        </w:r>
      </w:hyperlink>
    </w:p>
    <w:p w:rsidR="00E62976" w:rsidRDefault="00E62976">
      <w:pPr>
        <w:pStyle w:val="TM3"/>
        <w:tabs>
          <w:tab w:val="right" w:leader="dot" w:pos="9345"/>
        </w:tabs>
        <w:rPr>
          <w:rFonts w:asciiTheme="minorHAnsi" w:eastAsiaTheme="minorEastAsia" w:hAnsiTheme="minorHAnsi" w:cstheme="minorBidi"/>
          <w:noProof/>
          <w:sz w:val="22"/>
          <w:szCs w:val="22"/>
        </w:rPr>
      </w:pPr>
      <w:hyperlink w:anchor="_Toc473303554" w:history="1">
        <w:r w:rsidRPr="00B20874">
          <w:rPr>
            <w:rStyle w:val="Lienhypertexte"/>
            <w:noProof/>
            <w:lang w:val="en-GB"/>
          </w:rPr>
          <w:t>5.2.3 Canada</w:t>
        </w:r>
        <w:r>
          <w:rPr>
            <w:noProof/>
            <w:webHidden/>
          </w:rPr>
          <w:tab/>
        </w:r>
        <w:r>
          <w:rPr>
            <w:noProof/>
            <w:webHidden/>
          </w:rPr>
          <w:fldChar w:fldCharType="begin"/>
        </w:r>
        <w:r>
          <w:rPr>
            <w:noProof/>
            <w:webHidden/>
          </w:rPr>
          <w:instrText xml:space="preserve"> PAGEREF _Toc473303554 \h </w:instrText>
        </w:r>
        <w:r>
          <w:rPr>
            <w:noProof/>
            <w:webHidden/>
          </w:rPr>
        </w:r>
        <w:r>
          <w:rPr>
            <w:noProof/>
            <w:webHidden/>
          </w:rPr>
          <w:fldChar w:fldCharType="separate"/>
        </w:r>
        <w:r>
          <w:rPr>
            <w:noProof/>
            <w:webHidden/>
          </w:rPr>
          <w:t>42</w:t>
        </w:r>
        <w:r>
          <w:rPr>
            <w:noProof/>
            <w:webHidden/>
          </w:rPr>
          <w:fldChar w:fldCharType="end"/>
        </w:r>
      </w:hyperlink>
    </w:p>
    <w:p w:rsidR="00E62976" w:rsidRDefault="00E62976">
      <w:pPr>
        <w:pStyle w:val="TM3"/>
        <w:tabs>
          <w:tab w:val="right" w:leader="dot" w:pos="9345"/>
        </w:tabs>
        <w:rPr>
          <w:rFonts w:asciiTheme="minorHAnsi" w:eastAsiaTheme="minorEastAsia" w:hAnsiTheme="minorHAnsi" w:cstheme="minorBidi"/>
          <w:noProof/>
          <w:sz w:val="22"/>
          <w:szCs w:val="22"/>
        </w:rPr>
      </w:pPr>
      <w:hyperlink w:anchor="_Toc473303555" w:history="1">
        <w:r w:rsidRPr="00B20874">
          <w:rPr>
            <w:rStyle w:val="Lienhypertexte"/>
            <w:noProof/>
            <w:lang w:val="en-GB"/>
          </w:rPr>
          <w:t>5.2.4 Czech Republic</w:t>
        </w:r>
        <w:r>
          <w:rPr>
            <w:noProof/>
            <w:webHidden/>
          </w:rPr>
          <w:tab/>
        </w:r>
        <w:r>
          <w:rPr>
            <w:noProof/>
            <w:webHidden/>
          </w:rPr>
          <w:fldChar w:fldCharType="begin"/>
        </w:r>
        <w:r>
          <w:rPr>
            <w:noProof/>
            <w:webHidden/>
          </w:rPr>
          <w:instrText xml:space="preserve"> PAGEREF _Toc473303555 \h </w:instrText>
        </w:r>
        <w:r>
          <w:rPr>
            <w:noProof/>
            <w:webHidden/>
          </w:rPr>
        </w:r>
        <w:r>
          <w:rPr>
            <w:noProof/>
            <w:webHidden/>
          </w:rPr>
          <w:fldChar w:fldCharType="separate"/>
        </w:r>
        <w:r>
          <w:rPr>
            <w:noProof/>
            <w:webHidden/>
          </w:rPr>
          <w:t>45</w:t>
        </w:r>
        <w:r>
          <w:rPr>
            <w:noProof/>
            <w:webHidden/>
          </w:rPr>
          <w:fldChar w:fldCharType="end"/>
        </w:r>
      </w:hyperlink>
    </w:p>
    <w:p w:rsidR="00E62976" w:rsidRDefault="00E62976">
      <w:pPr>
        <w:pStyle w:val="TM3"/>
        <w:tabs>
          <w:tab w:val="right" w:leader="dot" w:pos="9345"/>
        </w:tabs>
        <w:rPr>
          <w:rFonts w:asciiTheme="minorHAnsi" w:eastAsiaTheme="minorEastAsia" w:hAnsiTheme="minorHAnsi" w:cstheme="minorBidi"/>
          <w:noProof/>
          <w:sz w:val="22"/>
          <w:szCs w:val="22"/>
        </w:rPr>
      </w:pPr>
      <w:hyperlink w:anchor="_Toc473303556" w:history="1">
        <w:r w:rsidRPr="00B20874">
          <w:rPr>
            <w:rStyle w:val="Lienhypertexte"/>
            <w:noProof/>
            <w:lang w:val="en-GB"/>
          </w:rPr>
          <w:t>5.2.5 France</w:t>
        </w:r>
        <w:r>
          <w:rPr>
            <w:noProof/>
            <w:webHidden/>
          </w:rPr>
          <w:tab/>
        </w:r>
        <w:r>
          <w:rPr>
            <w:noProof/>
            <w:webHidden/>
          </w:rPr>
          <w:fldChar w:fldCharType="begin"/>
        </w:r>
        <w:r>
          <w:rPr>
            <w:noProof/>
            <w:webHidden/>
          </w:rPr>
          <w:instrText xml:space="preserve"> PAGEREF _Toc473303556 \h </w:instrText>
        </w:r>
        <w:r>
          <w:rPr>
            <w:noProof/>
            <w:webHidden/>
          </w:rPr>
        </w:r>
        <w:r>
          <w:rPr>
            <w:noProof/>
            <w:webHidden/>
          </w:rPr>
          <w:fldChar w:fldCharType="separate"/>
        </w:r>
        <w:r>
          <w:rPr>
            <w:noProof/>
            <w:webHidden/>
          </w:rPr>
          <w:t>49</w:t>
        </w:r>
        <w:r>
          <w:rPr>
            <w:noProof/>
            <w:webHidden/>
          </w:rPr>
          <w:fldChar w:fldCharType="end"/>
        </w:r>
      </w:hyperlink>
    </w:p>
    <w:p w:rsidR="00E62976" w:rsidRDefault="00E62976">
      <w:pPr>
        <w:pStyle w:val="TM3"/>
        <w:tabs>
          <w:tab w:val="right" w:leader="dot" w:pos="9345"/>
        </w:tabs>
        <w:rPr>
          <w:rFonts w:asciiTheme="minorHAnsi" w:eastAsiaTheme="minorEastAsia" w:hAnsiTheme="minorHAnsi" w:cstheme="minorBidi"/>
          <w:noProof/>
          <w:sz w:val="22"/>
          <w:szCs w:val="22"/>
        </w:rPr>
      </w:pPr>
      <w:hyperlink w:anchor="_Toc473303557" w:history="1">
        <w:r w:rsidRPr="00B20874">
          <w:rPr>
            <w:rStyle w:val="Lienhypertexte"/>
            <w:noProof/>
            <w:lang w:val="en-GB"/>
          </w:rPr>
          <w:t>5.2.6 Germany</w:t>
        </w:r>
        <w:r>
          <w:rPr>
            <w:noProof/>
            <w:webHidden/>
          </w:rPr>
          <w:tab/>
        </w:r>
        <w:r>
          <w:rPr>
            <w:noProof/>
            <w:webHidden/>
          </w:rPr>
          <w:fldChar w:fldCharType="begin"/>
        </w:r>
        <w:r>
          <w:rPr>
            <w:noProof/>
            <w:webHidden/>
          </w:rPr>
          <w:instrText xml:space="preserve"> PAGEREF _Toc473303557 \h </w:instrText>
        </w:r>
        <w:r>
          <w:rPr>
            <w:noProof/>
            <w:webHidden/>
          </w:rPr>
        </w:r>
        <w:r>
          <w:rPr>
            <w:noProof/>
            <w:webHidden/>
          </w:rPr>
          <w:fldChar w:fldCharType="separate"/>
        </w:r>
        <w:r>
          <w:rPr>
            <w:noProof/>
            <w:webHidden/>
          </w:rPr>
          <w:t>55</w:t>
        </w:r>
        <w:r>
          <w:rPr>
            <w:noProof/>
            <w:webHidden/>
          </w:rPr>
          <w:fldChar w:fldCharType="end"/>
        </w:r>
      </w:hyperlink>
    </w:p>
    <w:p w:rsidR="00E62976" w:rsidRDefault="00E62976">
      <w:pPr>
        <w:pStyle w:val="TM3"/>
        <w:tabs>
          <w:tab w:val="right" w:leader="dot" w:pos="9345"/>
        </w:tabs>
        <w:rPr>
          <w:rFonts w:asciiTheme="minorHAnsi" w:eastAsiaTheme="minorEastAsia" w:hAnsiTheme="minorHAnsi" w:cstheme="minorBidi"/>
          <w:noProof/>
          <w:sz w:val="22"/>
          <w:szCs w:val="22"/>
        </w:rPr>
      </w:pPr>
      <w:hyperlink w:anchor="_Toc473303558" w:history="1">
        <w:r w:rsidRPr="00B20874">
          <w:rPr>
            <w:rStyle w:val="Lienhypertexte"/>
            <w:noProof/>
            <w:lang w:val="en-GB"/>
          </w:rPr>
          <w:t>5.2.7 Hungary</w:t>
        </w:r>
        <w:r>
          <w:rPr>
            <w:noProof/>
            <w:webHidden/>
          </w:rPr>
          <w:tab/>
        </w:r>
        <w:r>
          <w:rPr>
            <w:noProof/>
            <w:webHidden/>
          </w:rPr>
          <w:fldChar w:fldCharType="begin"/>
        </w:r>
        <w:r>
          <w:rPr>
            <w:noProof/>
            <w:webHidden/>
          </w:rPr>
          <w:instrText xml:space="preserve"> PAGEREF _Toc473303558 \h </w:instrText>
        </w:r>
        <w:r>
          <w:rPr>
            <w:noProof/>
            <w:webHidden/>
          </w:rPr>
        </w:r>
        <w:r>
          <w:rPr>
            <w:noProof/>
            <w:webHidden/>
          </w:rPr>
          <w:fldChar w:fldCharType="separate"/>
        </w:r>
        <w:r>
          <w:rPr>
            <w:noProof/>
            <w:webHidden/>
          </w:rPr>
          <w:t>62</w:t>
        </w:r>
        <w:r>
          <w:rPr>
            <w:noProof/>
            <w:webHidden/>
          </w:rPr>
          <w:fldChar w:fldCharType="end"/>
        </w:r>
      </w:hyperlink>
    </w:p>
    <w:p w:rsidR="00E62976" w:rsidRDefault="00E62976">
      <w:pPr>
        <w:pStyle w:val="TM3"/>
        <w:tabs>
          <w:tab w:val="right" w:leader="dot" w:pos="9345"/>
        </w:tabs>
        <w:rPr>
          <w:rFonts w:asciiTheme="minorHAnsi" w:eastAsiaTheme="minorEastAsia" w:hAnsiTheme="minorHAnsi" w:cstheme="minorBidi"/>
          <w:noProof/>
          <w:sz w:val="22"/>
          <w:szCs w:val="22"/>
        </w:rPr>
      </w:pPr>
      <w:hyperlink w:anchor="_Toc473303559" w:history="1">
        <w:r w:rsidRPr="00B20874">
          <w:rPr>
            <w:rStyle w:val="Lienhypertexte"/>
            <w:noProof/>
            <w:lang w:val="en-GB"/>
          </w:rPr>
          <w:t>5.2.8 Japan</w:t>
        </w:r>
        <w:r>
          <w:rPr>
            <w:noProof/>
            <w:webHidden/>
          </w:rPr>
          <w:tab/>
        </w:r>
        <w:r>
          <w:rPr>
            <w:noProof/>
            <w:webHidden/>
          </w:rPr>
          <w:fldChar w:fldCharType="begin"/>
        </w:r>
        <w:r>
          <w:rPr>
            <w:noProof/>
            <w:webHidden/>
          </w:rPr>
          <w:instrText xml:space="preserve"> PAGEREF _Toc473303559 \h </w:instrText>
        </w:r>
        <w:r>
          <w:rPr>
            <w:noProof/>
            <w:webHidden/>
          </w:rPr>
        </w:r>
        <w:r>
          <w:rPr>
            <w:noProof/>
            <w:webHidden/>
          </w:rPr>
          <w:fldChar w:fldCharType="separate"/>
        </w:r>
        <w:r>
          <w:rPr>
            <w:noProof/>
            <w:webHidden/>
          </w:rPr>
          <w:t>63</w:t>
        </w:r>
        <w:r>
          <w:rPr>
            <w:noProof/>
            <w:webHidden/>
          </w:rPr>
          <w:fldChar w:fldCharType="end"/>
        </w:r>
      </w:hyperlink>
    </w:p>
    <w:p w:rsidR="00E62976" w:rsidRDefault="00E62976">
      <w:pPr>
        <w:pStyle w:val="TM3"/>
        <w:tabs>
          <w:tab w:val="right" w:leader="dot" w:pos="9345"/>
        </w:tabs>
        <w:rPr>
          <w:rFonts w:asciiTheme="minorHAnsi" w:eastAsiaTheme="minorEastAsia" w:hAnsiTheme="minorHAnsi" w:cstheme="minorBidi"/>
          <w:noProof/>
          <w:sz w:val="22"/>
          <w:szCs w:val="22"/>
        </w:rPr>
      </w:pPr>
      <w:hyperlink w:anchor="_Toc473303560" w:history="1">
        <w:r w:rsidRPr="00B20874">
          <w:rPr>
            <w:rStyle w:val="Lienhypertexte"/>
            <w:noProof/>
            <w:lang w:val="en-GB"/>
          </w:rPr>
          <w:t>5.2.9 Lithuania</w:t>
        </w:r>
        <w:r>
          <w:rPr>
            <w:noProof/>
            <w:webHidden/>
          </w:rPr>
          <w:tab/>
        </w:r>
        <w:r>
          <w:rPr>
            <w:noProof/>
            <w:webHidden/>
          </w:rPr>
          <w:fldChar w:fldCharType="begin"/>
        </w:r>
        <w:r>
          <w:rPr>
            <w:noProof/>
            <w:webHidden/>
          </w:rPr>
          <w:instrText xml:space="preserve"> PAGEREF _Toc473303560 \h </w:instrText>
        </w:r>
        <w:r>
          <w:rPr>
            <w:noProof/>
            <w:webHidden/>
          </w:rPr>
        </w:r>
        <w:r>
          <w:rPr>
            <w:noProof/>
            <w:webHidden/>
          </w:rPr>
          <w:fldChar w:fldCharType="separate"/>
        </w:r>
        <w:r>
          <w:rPr>
            <w:noProof/>
            <w:webHidden/>
          </w:rPr>
          <w:t>66</w:t>
        </w:r>
        <w:r>
          <w:rPr>
            <w:noProof/>
            <w:webHidden/>
          </w:rPr>
          <w:fldChar w:fldCharType="end"/>
        </w:r>
      </w:hyperlink>
    </w:p>
    <w:p w:rsidR="00E62976" w:rsidRDefault="00E62976">
      <w:pPr>
        <w:pStyle w:val="TM3"/>
        <w:tabs>
          <w:tab w:val="right" w:leader="dot" w:pos="9345"/>
        </w:tabs>
        <w:rPr>
          <w:rFonts w:asciiTheme="minorHAnsi" w:eastAsiaTheme="minorEastAsia" w:hAnsiTheme="minorHAnsi" w:cstheme="minorBidi"/>
          <w:noProof/>
          <w:sz w:val="22"/>
          <w:szCs w:val="22"/>
        </w:rPr>
      </w:pPr>
      <w:hyperlink w:anchor="_Toc473303561" w:history="1">
        <w:r w:rsidRPr="00B20874">
          <w:rPr>
            <w:rStyle w:val="Lienhypertexte"/>
            <w:noProof/>
            <w:lang w:val="en-GB"/>
          </w:rPr>
          <w:t>5.2.10 Romania</w:t>
        </w:r>
        <w:r>
          <w:rPr>
            <w:noProof/>
            <w:webHidden/>
          </w:rPr>
          <w:tab/>
        </w:r>
        <w:r>
          <w:rPr>
            <w:noProof/>
            <w:webHidden/>
          </w:rPr>
          <w:fldChar w:fldCharType="begin"/>
        </w:r>
        <w:r>
          <w:rPr>
            <w:noProof/>
            <w:webHidden/>
          </w:rPr>
          <w:instrText xml:space="preserve"> PAGEREF _Toc473303561 \h </w:instrText>
        </w:r>
        <w:r>
          <w:rPr>
            <w:noProof/>
            <w:webHidden/>
          </w:rPr>
        </w:r>
        <w:r>
          <w:rPr>
            <w:noProof/>
            <w:webHidden/>
          </w:rPr>
          <w:fldChar w:fldCharType="separate"/>
        </w:r>
        <w:r>
          <w:rPr>
            <w:noProof/>
            <w:webHidden/>
          </w:rPr>
          <w:t>69</w:t>
        </w:r>
        <w:r>
          <w:rPr>
            <w:noProof/>
            <w:webHidden/>
          </w:rPr>
          <w:fldChar w:fldCharType="end"/>
        </w:r>
      </w:hyperlink>
    </w:p>
    <w:p w:rsidR="00E62976" w:rsidRDefault="00E62976">
      <w:pPr>
        <w:pStyle w:val="TM3"/>
        <w:tabs>
          <w:tab w:val="right" w:leader="dot" w:pos="9345"/>
        </w:tabs>
        <w:rPr>
          <w:rFonts w:asciiTheme="minorHAnsi" w:eastAsiaTheme="minorEastAsia" w:hAnsiTheme="minorHAnsi" w:cstheme="minorBidi"/>
          <w:noProof/>
          <w:sz w:val="22"/>
          <w:szCs w:val="22"/>
        </w:rPr>
      </w:pPr>
      <w:hyperlink w:anchor="_Toc473303562" w:history="1">
        <w:r w:rsidRPr="00B20874">
          <w:rPr>
            <w:rStyle w:val="Lienhypertexte"/>
            <w:noProof/>
            <w:lang w:val="en-GB"/>
          </w:rPr>
          <w:t>5.2.11 Russia</w:t>
        </w:r>
        <w:r>
          <w:rPr>
            <w:noProof/>
            <w:webHidden/>
          </w:rPr>
          <w:tab/>
        </w:r>
        <w:r>
          <w:rPr>
            <w:noProof/>
            <w:webHidden/>
          </w:rPr>
          <w:fldChar w:fldCharType="begin"/>
        </w:r>
        <w:r>
          <w:rPr>
            <w:noProof/>
            <w:webHidden/>
          </w:rPr>
          <w:instrText xml:space="preserve"> PAGEREF _Toc473303562 \h </w:instrText>
        </w:r>
        <w:r>
          <w:rPr>
            <w:noProof/>
            <w:webHidden/>
          </w:rPr>
        </w:r>
        <w:r>
          <w:rPr>
            <w:noProof/>
            <w:webHidden/>
          </w:rPr>
          <w:fldChar w:fldCharType="separate"/>
        </w:r>
        <w:r>
          <w:rPr>
            <w:noProof/>
            <w:webHidden/>
          </w:rPr>
          <w:t>72</w:t>
        </w:r>
        <w:r>
          <w:rPr>
            <w:noProof/>
            <w:webHidden/>
          </w:rPr>
          <w:fldChar w:fldCharType="end"/>
        </w:r>
      </w:hyperlink>
    </w:p>
    <w:p w:rsidR="00E62976" w:rsidRDefault="00E62976">
      <w:pPr>
        <w:pStyle w:val="TM3"/>
        <w:tabs>
          <w:tab w:val="right" w:leader="dot" w:pos="9345"/>
        </w:tabs>
        <w:rPr>
          <w:rFonts w:asciiTheme="minorHAnsi" w:eastAsiaTheme="minorEastAsia" w:hAnsiTheme="minorHAnsi" w:cstheme="minorBidi"/>
          <w:noProof/>
          <w:sz w:val="22"/>
          <w:szCs w:val="22"/>
        </w:rPr>
      </w:pPr>
      <w:hyperlink w:anchor="_Toc473303563" w:history="1">
        <w:r w:rsidRPr="00B20874">
          <w:rPr>
            <w:rStyle w:val="Lienhypertexte"/>
            <w:noProof/>
            <w:lang w:val="en-GB"/>
          </w:rPr>
          <w:t>5.2.12 Sweden</w:t>
        </w:r>
        <w:r>
          <w:rPr>
            <w:noProof/>
            <w:webHidden/>
          </w:rPr>
          <w:tab/>
        </w:r>
        <w:r>
          <w:rPr>
            <w:noProof/>
            <w:webHidden/>
          </w:rPr>
          <w:fldChar w:fldCharType="begin"/>
        </w:r>
        <w:r>
          <w:rPr>
            <w:noProof/>
            <w:webHidden/>
          </w:rPr>
          <w:instrText xml:space="preserve"> PAGEREF _Toc473303563 \h </w:instrText>
        </w:r>
        <w:r>
          <w:rPr>
            <w:noProof/>
            <w:webHidden/>
          </w:rPr>
        </w:r>
        <w:r>
          <w:rPr>
            <w:noProof/>
            <w:webHidden/>
          </w:rPr>
          <w:fldChar w:fldCharType="separate"/>
        </w:r>
        <w:r>
          <w:rPr>
            <w:noProof/>
            <w:webHidden/>
          </w:rPr>
          <w:t>72</w:t>
        </w:r>
        <w:r>
          <w:rPr>
            <w:noProof/>
            <w:webHidden/>
          </w:rPr>
          <w:fldChar w:fldCharType="end"/>
        </w:r>
      </w:hyperlink>
    </w:p>
    <w:p w:rsidR="00E62976" w:rsidRDefault="00E62976">
      <w:pPr>
        <w:pStyle w:val="TM3"/>
        <w:tabs>
          <w:tab w:val="right" w:leader="dot" w:pos="9345"/>
        </w:tabs>
        <w:rPr>
          <w:rFonts w:asciiTheme="minorHAnsi" w:eastAsiaTheme="minorEastAsia" w:hAnsiTheme="minorHAnsi" w:cstheme="minorBidi"/>
          <w:noProof/>
          <w:sz w:val="22"/>
          <w:szCs w:val="22"/>
        </w:rPr>
      </w:pPr>
      <w:hyperlink w:anchor="_Toc473303564" w:history="1">
        <w:r w:rsidRPr="00B20874">
          <w:rPr>
            <w:rStyle w:val="Lienhypertexte"/>
            <w:noProof/>
            <w:lang w:val="en-GB"/>
          </w:rPr>
          <w:t>5.2.13 Slovakia</w:t>
        </w:r>
        <w:r>
          <w:rPr>
            <w:noProof/>
            <w:webHidden/>
          </w:rPr>
          <w:tab/>
        </w:r>
        <w:r>
          <w:rPr>
            <w:noProof/>
            <w:webHidden/>
          </w:rPr>
          <w:fldChar w:fldCharType="begin"/>
        </w:r>
        <w:r>
          <w:rPr>
            <w:noProof/>
            <w:webHidden/>
          </w:rPr>
          <w:instrText xml:space="preserve"> PAGEREF _Toc473303564 \h </w:instrText>
        </w:r>
        <w:r>
          <w:rPr>
            <w:noProof/>
            <w:webHidden/>
          </w:rPr>
        </w:r>
        <w:r>
          <w:rPr>
            <w:noProof/>
            <w:webHidden/>
          </w:rPr>
          <w:fldChar w:fldCharType="separate"/>
        </w:r>
        <w:r>
          <w:rPr>
            <w:noProof/>
            <w:webHidden/>
          </w:rPr>
          <w:t>74</w:t>
        </w:r>
        <w:r>
          <w:rPr>
            <w:noProof/>
            <w:webHidden/>
          </w:rPr>
          <w:fldChar w:fldCharType="end"/>
        </w:r>
      </w:hyperlink>
    </w:p>
    <w:p w:rsidR="00E62976" w:rsidRDefault="00E62976">
      <w:pPr>
        <w:pStyle w:val="TM3"/>
        <w:tabs>
          <w:tab w:val="right" w:leader="dot" w:pos="9345"/>
        </w:tabs>
        <w:rPr>
          <w:rFonts w:asciiTheme="minorHAnsi" w:eastAsiaTheme="minorEastAsia" w:hAnsiTheme="minorHAnsi" w:cstheme="minorBidi"/>
          <w:noProof/>
          <w:sz w:val="22"/>
          <w:szCs w:val="22"/>
        </w:rPr>
      </w:pPr>
      <w:hyperlink w:anchor="_Toc473303565" w:history="1">
        <w:r w:rsidRPr="00B20874">
          <w:rPr>
            <w:rStyle w:val="Lienhypertexte"/>
            <w:noProof/>
            <w:lang w:val="en-GB"/>
          </w:rPr>
          <w:t>5.2.14 Slovenia</w:t>
        </w:r>
        <w:r>
          <w:rPr>
            <w:noProof/>
            <w:webHidden/>
          </w:rPr>
          <w:tab/>
        </w:r>
        <w:r>
          <w:rPr>
            <w:noProof/>
            <w:webHidden/>
          </w:rPr>
          <w:fldChar w:fldCharType="begin"/>
        </w:r>
        <w:r>
          <w:rPr>
            <w:noProof/>
            <w:webHidden/>
          </w:rPr>
          <w:instrText xml:space="preserve"> PAGEREF _Toc473303565 \h </w:instrText>
        </w:r>
        <w:r>
          <w:rPr>
            <w:noProof/>
            <w:webHidden/>
          </w:rPr>
        </w:r>
        <w:r>
          <w:rPr>
            <w:noProof/>
            <w:webHidden/>
          </w:rPr>
          <w:fldChar w:fldCharType="separate"/>
        </w:r>
        <w:r>
          <w:rPr>
            <w:noProof/>
            <w:webHidden/>
          </w:rPr>
          <w:t>75</w:t>
        </w:r>
        <w:r>
          <w:rPr>
            <w:noProof/>
            <w:webHidden/>
          </w:rPr>
          <w:fldChar w:fldCharType="end"/>
        </w:r>
      </w:hyperlink>
    </w:p>
    <w:p w:rsidR="00E62976" w:rsidRDefault="00E62976">
      <w:pPr>
        <w:pStyle w:val="TM3"/>
        <w:tabs>
          <w:tab w:val="right" w:leader="dot" w:pos="9345"/>
        </w:tabs>
        <w:rPr>
          <w:rFonts w:asciiTheme="minorHAnsi" w:eastAsiaTheme="minorEastAsia" w:hAnsiTheme="minorHAnsi" w:cstheme="minorBidi"/>
          <w:noProof/>
          <w:sz w:val="22"/>
          <w:szCs w:val="22"/>
        </w:rPr>
      </w:pPr>
      <w:hyperlink w:anchor="_Toc473303566" w:history="1">
        <w:r w:rsidRPr="00B20874">
          <w:rPr>
            <w:rStyle w:val="Lienhypertexte"/>
            <w:noProof/>
            <w:lang w:val="en-GB"/>
          </w:rPr>
          <w:t>5.2.15 Switzerland</w:t>
        </w:r>
        <w:r>
          <w:rPr>
            <w:noProof/>
            <w:webHidden/>
          </w:rPr>
          <w:tab/>
        </w:r>
        <w:r>
          <w:rPr>
            <w:noProof/>
            <w:webHidden/>
          </w:rPr>
          <w:fldChar w:fldCharType="begin"/>
        </w:r>
        <w:r>
          <w:rPr>
            <w:noProof/>
            <w:webHidden/>
          </w:rPr>
          <w:instrText xml:space="preserve"> PAGEREF _Toc473303566 \h </w:instrText>
        </w:r>
        <w:r>
          <w:rPr>
            <w:noProof/>
            <w:webHidden/>
          </w:rPr>
        </w:r>
        <w:r>
          <w:rPr>
            <w:noProof/>
            <w:webHidden/>
          </w:rPr>
          <w:fldChar w:fldCharType="separate"/>
        </w:r>
        <w:r>
          <w:rPr>
            <w:noProof/>
            <w:webHidden/>
          </w:rPr>
          <w:t>76</w:t>
        </w:r>
        <w:r>
          <w:rPr>
            <w:noProof/>
            <w:webHidden/>
          </w:rPr>
          <w:fldChar w:fldCharType="end"/>
        </w:r>
      </w:hyperlink>
    </w:p>
    <w:p w:rsidR="00E62976" w:rsidRDefault="00E62976">
      <w:pPr>
        <w:pStyle w:val="TM3"/>
        <w:tabs>
          <w:tab w:val="right" w:leader="dot" w:pos="9345"/>
        </w:tabs>
        <w:rPr>
          <w:rFonts w:asciiTheme="minorHAnsi" w:eastAsiaTheme="minorEastAsia" w:hAnsiTheme="minorHAnsi" w:cstheme="minorBidi"/>
          <w:noProof/>
          <w:sz w:val="22"/>
          <w:szCs w:val="22"/>
        </w:rPr>
      </w:pPr>
      <w:hyperlink w:anchor="_Toc473303567" w:history="1">
        <w:r w:rsidRPr="00B20874">
          <w:rPr>
            <w:rStyle w:val="Lienhypertexte"/>
            <w:noProof/>
            <w:lang w:val="en-GB"/>
          </w:rPr>
          <w:t>5.2.16 United Kingdom</w:t>
        </w:r>
        <w:r>
          <w:rPr>
            <w:noProof/>
            <w:webHidden/>
          </w:rPr>
          <w:tab/>
        </w:r>
        <w:r>
          <w:rPr>
            <w:noProof/>
            <w:webHidden/>
          </w:rPr>
          <w:fldChar w:fldCharType="begin"/>
        </w:r>
        <w:r>
          <w:rPr>
            <w:noProof/>
            <w:webHidden/>
          </w:rPr>
          <w:instrText xml:space="preserve"> PAGEREF _Toc473303567 \h </w:instrText>
        </w:r>
        <w:r>
          <w:rPr>
            <w:noProof/>
            <w:webHidden/>
          </w:rPr>
        </w:r>
        <w:r>
          <w:rPr>
            <w:noProof/>
            <w:webHidden/>
          </w:rPr>
          <w:fldChar w:fldCharType="separate"/>
        </w:r>
        <w:r>
          <w:rPr>
            <w:noProof/>
            <w:webHidden/>
          </w:rPr>
          <w:t>76</w:t>
        </w:r>
        <w:r>
          <w:rPr>
            <w:noProof/>
            <w:webHidden/>
          </w:rPr>
          <w:fldChar w:fldCharType="end"/>
        </w:r>
      </w:hyperlink>
    </w:p>
    <w:p w:rsidR="00E62976" w:rsidRDefault="00E62976">
      <w:pPr>
        <w:pStyle w:val="TM3"/>
        <w:tabs>
          <w:tab w:val="right" w:leader="dot" w:pos="9345"/>
        </w:tabs>
        <w:rPr>
          <w:rFonts w:asciiTheme="minorHAnsi" w:eastAsiaTheme="minorEastAsia" w:hAnsiTheme="minorHAnsi" w:cstheme="minorBidi"/>
          <w:noProof/>
          <w:sz w:val="22"/>
          <w:szCs w:val="22"/>
        </w:rPr>
      </w:pPr>
      <w:hyperlink w:anchor="_Toc473303568" w:history="1">
        <w:r w:rsidRPr="00B20874">
          <w:rPr>
            <w:rStyle w:val="Lienhypertexte"/>
            <w:noProof/>
            <w:lang w:val="en-GB"/>
          </w:rPr>
          <w:t>5.2.17 Ukraine</w:t>
        </w:r>
        <w:r>
          <w:rPr>
            <w:noProof/>
            <w:webHidden/>
          </w:rPr>
          <w:tab/>
        </w:r>
        <w:r>
          <w:rPr>
            <w:noProof/>
            <w:webHidden/>
          </w:rPr>
          <w:fldChar w:fldCharType="begin"/>
        </w:r>
        <w:r>
          <w:rPr>
            <w:noProof/>
            <w:webHidden/>
          </w:rPr>
          <w:instrText xml:space="preserve"> PAGEREF _Toc473303568 \h </w:instrText>
        </w:r>
        <w:r>
          <w:rPr>
            <w:noProof/>
            <w:webHidden/>
          </w:rPr>
        </w:r>
        <w:r>
          <w:rPr>
            <w:noProof/>
            <w:webHidden/>
          </w:rPr>
          <w:fldChar w:fldCharType="separate"/>
        </w:r>
        <w:r>
          <w:rPr>
            <w:noProof/>
            <w:webHidden/>
          </w:rPr>
          <w:t>77</w:t>
        </w:r>
        <w:r>
          <w:rPr>
            <w:noProof/>
            <w:webHidden/>
          </w:rPr>
          <w:fldChar w:fldCharType="end"/>
        </w:r>
      </w:hyperlink>
    </w:p>
    <w:p w:rsidR="00E62976" w:rsidRDefault="00E62976">
      <w:pPr>
        <w:pStyle w:val="TM3"/>
        <w:tabs>
          <w:tab w:val="right" w:leader="dot" w:pos="9345"/>
        </w:tabs>
        <w:rPr>
          <w:rFonts w:asciiTheme="minorHAnsi" w:eastAsiaTheme="minorEastAsia" w:hAnsiTheme="minorHAnsi" w:cstheme="minorBidi"/>
          <w:noProof/>
          <w:sz w:val="22"/>
          <w:szCs w:val="22"/>
        </w:rPr>
      </w:pPr>
      <w:hyperlink w:anchor="_Toc473303569" w:history="1">
        <w:r w:rsidRPr="00B20874">
          <w:rPr>
            <w:rStyle w:val="Lienhypertexte"/>
            <w:noProof/>
            <w:lang w:val="en-GB"/>
          </w:rPr>
          <w:t>5.2.18 USA</w:t>
        </w:r>
        <w:r>
          <w:rPr>
            <w:noProof/>
            <w:webHidden/>
          </w:rPr>
          <w:tab/>
        </w:r>
        <w:r>
          <w:rPr>
            <w:noProof/>
            <w:webHidden/>
          </w:rPr>
          <w:fldChar w:fldCharType="begin"/>
        </w:r>
        <w:r>
          <w:rPr>
            <w:noProof/>
            <w:webHidden/>
          </w:rPr>
          <w:instrText xml:space="preserve"> PAGEREF _Toc473303569 \h </w:instrText>
        </w:r>
        <w:r>
          <w:rPr>
            <w:noProof/>
            <w:webHidden/>
          </w:rPr>
        </w:r>
        <w:r>
          <w:rPr>
            <w:noProof/>
            <w:webHidden/>
          </w:rPr>
          <w:fldChar w:fldCharType="separate"/>
        </w:r>
        <w:r>
          <w:rPr>
            <w:noProof/>
            <w:webHidden/>
          </w:rPr>
          <w:t>79</w:t>
        </w:r>
        <w:r>
          <w:rPr>
            <w:noProof/>
            <w:webHidden/>
          </w:rPr>
          <w:fldChar w:fldCharType="end"/>
        </w:r>
      </w:hyperlink>
    </w:p>
    <w:p w:rsidR="00E62976" w:rsidRDefault="00E62976">
      <w:pPr>
        <w:pStyle w:val="TM3"/>
        <w:tabs>
          <w:tab w:val="right" w:leader="dot" w:pos="9345"/>
        </w:tabs>
        <w:rPr>
          <w:rFonts w:asciiTheme="minorHAnsi" w:eastAsiaTheme="minorEastAsia" w:hAnsiTheme="minorHAnsi" w:cstheme="minorBidi"/>
          <w:noProof/>
          <w:sz w:val="22"/>
          <w:szCs w:val="22"/>
        </w:rPr>
      </w:pPr>
      <w:hyperlink w:anchor="_Toc473303570" w:history="1">
        <w:r w:rsidRPr="00B20874">
          <w:rPr>
            <w:rStyle w:val="Lienhypertexte"/>
            <w:noProof/>
            <w:lang w:val="en-GB"/>
          </w:rPr>
          <w:t>5.2.19 Others</w:t>
        </w:r>
        <w:r>
          <w:rPr>
            <w:noProof/>
            <w:webHidden/>
          </w:rPr>
          <w:tab/>
        </w:r>
        <w:r>
          <w:rPr>
            <w:noProof/>
            <w:webHidden/>
          </w:rPr>
          <w:fldChar w:fldCharType="begin"/>
        </w:r>
        <w:r>
          <w:rPr>
            <w:noProof/>
            <w:webHidden/>
          </w:rPr>
          <w:instrText xml:space="preserve"> PAGEREF _Toc473303570 \h </w:instrText>
        </w:r>
        <w:r>
          <w:rPr>
            <w:noProof/>
            <w:webHidden/>
          </w:rPr>
        </w:r>
        <w:r>
          <w:rPr>
            <w:noProof/>
            <w:webHidden/>
          </w:rPr>
          <w:fldChar w:fldCharType="separate"/>
        </w:r>
        <w:r>
          <w:rPr>
            <w:noProof/>
            <w:webHidden/>
          </w:rPr>
          <w:t>80</w:t>
        </w:r>
        <w:r>
          <w:rPr>
            <w:noProof/>
            <w:webHidden/>
          </w:rPr>
          <w:fldChar w:fldCharType="end"/>
        </w:r>
      </w:hyperlink>
    </w:p>
    <w:p w:rsidR="00E62976" w:rsidRDefault="00E62976">
      <w:pPr>
        <w:pStyle w:val="TM2"/>
        <w:tabs>
          <w:tab w:val="right" w:leader="dot" w:pos="9345"/>
        </w:tabs>
        <w:rPr>
          <w:rFonts w:asciiTheme="minorHAnsi" w:eastAsiaTheme="minorEastAsia" w:hAnsiTheme="minorHAnsi" w:cstheme="minorBidi"/>
          <w:bCs w:val="0"/>
          <w:noProof/>
          <w:sz w:val="22"/>
        </w:rPr>
      </w:pPr>
      <w:hyperlink w:anchor="_Toc473303571" w:history="1">
        <w:r w:rsidRPr="00B20874">
          <w:rPr>
            <w:rStyle w:val="Lienhypertexte"/>
            <w:noProof/>
            <w:lang w:val="en-GB"/>
          </w:rPr>
          <w:t>5.3 COMPARISONS OF PRACTICES AND LESSONS LEARNED</w:t>
        </w:r>
        <w:r>
          <w:rPr>
            <w:noProof/>
            <w:webHidden/>
          </w:rPr>
          <w:tab/>
        </w:r>
        <w:r>
          <w:rPr>
            <w:noProof/>
            <w:webHidden/>
          </w:rPr>
          <w:fldChar w:fldCharType="begin"/>
        </w:r>
        <w:r>
          <w:rPr>
            <w:noProof/>
            <w:webHidden/>
          </w:rPr>
          <w:instrText xml:space="preserve"> PAGEREF _Toc473303571 \h </w:instrText>
        </w:r>
        <w:r>
          <w:rPr>
            <w:noProof/>
            <w:webHidden/>
          </w:rPr>
        </w:r>
        <w:r>
          <w:rPr>
            <w:noProof/>
            <w:webHidden/>
          </w:rPr>
          <w:fldChar w:fldCharType="separate"/>
        </w:r>
        <w:r>
          <w:rPr>
            <w:noProof/>
            <w:webHidden/>
          </w:rPr>
          <w:t>84</w:t>
        </w:r>
        <w:r>
          <w:rPr>
            <w:noProof/>
            <w:webHidden/>
          </w:rPr>
          <w:fldChar w:fldCharType="end"/>
        </w:r>
      </w:hyperlink>
    </w:p>
    <w:p w:rsidR="00E62976" w:rsidRDefault="00E62976">
      <w:pPr>
        <w:pStyle w:val="TM3"/>
        <w:tabs>
          <w:tab w:val="right" w:leader="dot" w:pos="9345"/>
        </w:tabs>
        <w:rPr>
          <w:rFonts w:asciiTheme="minorHAnsi" w:eastAsiaTheme="minorEastAsia" w:hAnsiTheme="minorHAnsi" w:cstheme="minorBidi"/>
          <w:noProof/>
          <w:sz w:val="22"/>
          <w:szCs w:val="22"/>
        </w:rPr>
      </w:pPr>
      <w:hyperlink w:anchor="_Toc473303572" w:history="1">
        <w:r w:rsidRPr="00B20874">
          <w:rPr>
            <w:rStyle w:val="Lienhypertexte"/>
            <w:noProof/>
            <w:lang w:val="en-GB"/>
          </w:rPr>
          <w:t>5.3.1 List of IE and hazards to be considered in the screening process</w:t>
        </w:r>
        <w:r>
          <w:rPr>
            <w:noProof/>
            <w:webHidden/>
          </w:rPr>
          <w:tab/>
        </w:r>
        <w:r>
          <w:rPr>
            <w:noProof/>
            <w:webHidden/>
          </w:rPr>
          <w:fldChar w:fldCharType="begin"/>
        </w:r>
        <w:r>
          <w:rPr>
            <w:noProof/>
            <w:webHidden/>
          </w:rPr>
          <w:instrText xml:space="preserve"> PAGEREF _Toc473303572 \h </w:instrText>
        </w:r>
        <w:r>
          <w:rPr>
            <w:noProof/>
            <w:webHidden/>
          </w:rPr>
        </w:r>
        <w:r>
          <w:rPr>
            <w:noProof/>
            <w:webHidden/>
          </w:rPr>
          <w:fldChar w:fldCharType="separate"/>
        </w:r>
        <w:r>
          <w:rPr>
            <w:noProof/>
            <w:webHidden/>
          </w:rPr>
          <w:t>85</w:t>
        </w:r>
        <w:r>
          <w:rPr>
            <w:noProof/>
            <w:webHidden/>
          </w:rPr>
          <w:fldChar w:fldCharType="end"/>
        </w:r>
      </w:hyperlink>
    </w:p>
    <w:p w:rsidR="00E62976" w:rsidRDefault="00E62976">
      <w:pPr>
        <w:pStyle w:val="TM3"/>
        <w:tabs>
          <w:tab w:val="right" w:leader="dot" w:pos="9345"/>
        </w:tabs>
        <w:rPr>
          <w:rFonts w:asciiTheme="minorHAnsi" w:eastAsiaTheme="minorEastAsia" w:hAnsiTheme="minorHAnsi" w:cstheme="minorBidi"/>
          <w:noProof/>
          <w:sz w:val="22"/>
          <w:szCs w:val="22"/>
        </w:rPr>
      </w:pPr>
      <w:hyperlink w:anchor="_Toc473303573" w:history="1">
        <w:r w:rsidRPr="00B20874">
          <w:rPr>
            <w:rStyle w:val="Lienhypertexte"/>
            <w:noProof/>
            <w:lang w:val="en-GB"/>
          </w:rPr>
          <w:t>5.3.2 Area of interest around the NPP</w:t>
        </w:r>
        <w:r>
          <w:rPr>
            <w:noProof/>
            <w:webHidden/>
          </w:rPr>
          <w:tab/>
        </w:r>
        <w:r>
          <w:rPr>
            <w:noProof/>
            <w:webHidden/>
          </w:rPr>
          <w:fldChar w:fldCharType="begin"/>
        </w:r>
        <w:r>
          <w:rPr>
            <w:noProof/>
            <w:webHidden/>
          </w:rPr>
          <w:instrText xml:space="preserve"> PAGEREF _Toc473303573 \h </w:instrText>
        </w:r>
        <w:r>
          <w:rPr>
            <w:noProof/>
            <w:webHidden/>
          </w:rPr>
        </w:r>
        <w:r>
          <w:rPr>
            <w:noProof/>
            <w:webHidden/>
          </w:rPr>
          <w:fldChar w:fldCharType="separate"/>
        </w:r>
        <w:r>
          <w:rPr>
            <w:noProof/>
            <w:webHidden/>
          </w:rPr>
          <w:t>85</w:t>
        </w:r>
        <w:r>
          <w:rPr>
            <w:noProof/>
            <w:webHidden/>
          </w:rPr>
          <w:fldChar w:fldCharType="end"/>
        </w:r>
      </w:hyperlink>
    </w:p>
    <w:p w:rsidR="00E62976" w:rsidRDefault="00E62976">
      <w:pPr>
        <w:pStyle w:val="TM3"/>
        <w:tabs>
          <w:tab w:val="right" w:leader="dot" w:pos="9345"/>
        </w:tabs>
        <w:rPr>
          <w:rFonts w:asciiTheme="minorHAnsi" w:eastAsiaTheme="minorEastAsia" w:hAnsiTheme="minorHAnsi" w:cstheme="minorBidi"/>
          <w:noProof/>
          <w:sz w:val="22"/>
          <w:szCs w:val="22"/>
        </w:rPr>
      </w:pPr>
      <w:hyperlink w:anchor="_Toc473303574" w:history="1">
        <w:r w:rsidRPr="00B20874">
          <w:rPr>
            <w:rStyle w:val="Lienhypertexte"/>
            <w:noProof/>
            <w:lang w:val="en-GB"/>
          </w:rPr>
          <w:t>5.3.3 Comparison of qualitative screening criteria</w:t>
        </w:r>
        <w:r>
          <w:rPr>
            <w:noProof/>
            <w:webHidden/>
          </w:rPr>
          <w:tab/>
        </w:r>
        <w:r>
          <w:rPr>
            <w:noProof/>
            <w:webHidden/>
          </w:rPr>
          <w:fldChar w:fldCharType="begin"/>
        </w:r>
        <w:r>
          <w:rPr>
            <w:noProof/>
            <w:webHidden/>
          </w:rPr>
          <w:instrText xml:space="preserve"> PAGEREF _Toc473303574 \h </w:instrText>
        </w:r>
        <w:r>
          <w:rPr>
            <w:noProof/>
            <w:webHidden/>
          </w:rPr>
        </w:r>
        <w:r>
          <w:rPr>
            <w:noProof/>
            <w:webHidden/>
          </w:rPr>
          <w:fldChar w:fldCharType="separate"/>
        </w:r>
        <w:r>
          <w:rPr>
            <w:noProof/>
            <w:webHidden/>
          </w:rPr>
          <w:t>86</w:t>
        </w:r>
        <w:r>
          <w:rPr>
            <w:noProof/>
            <w:webHidden/>
          </w:rPr>
          <w:fldChar w:fldCharType="end"/>
        </w:r>
      </w:hyperlink>
    </w:p>
    <w:p w:rsidR="00E62976" w:rsidRDefault="00E62976">
      <w:pPr>
        <w:pStyle w:val="TM3"/>
        <w:tabs>
          <w:tab w:val="right" w:leader="dot" w:pos="9345"/>
        </w:tabs>
        <w:rPr>
          <w:rFonts w:asciiTheme="minorHAnsi" w:eastAsiaTheme="minorEastAsia" w:hAnsiTheme="minorHAnsi" w:cstheme="minorBidi"/>
          <w:noProof/>
          <w:sz w:val="22"/>
          <w:szCs w:val="22"/>
        </w:rPr>
      </w:pPr>
      <w:hyperlink w:anchor="_Toc473303575" w:history="1">
        <w:r w:rsidRPr="00B20874">
          <w:rPr>
            <w:rStyle w:val="Lienhypertexte"/>
            <w:noProof/>
            <w:lang w:val="en-GB"/>
          </w:rPr>
          <w:t>5.3.4 Comparison of quantitative screening criteria</w:t>
        </w:r>
        <w:r>
          <w:rPr>
            <w:noProof/>
            <w:webHidden/>
          </w:rPr>
          <w:tab/>
        </w:r>
        <w:r>
          <w:rPr>
            <w:noProof/>
            <w:webHidden/>
          </w:rPr>
          <w:fldChar w:fldCharType="begin"/>
        </w:r>
        <w:r>
          <w:rPr>
            <w:noProof/>
            <w:webHidden/>
          </w:rPr>
          <w:instrText xml:space="preserve"> PAGEREF _Toc473303575 \h </w:instrText>
        </w:r>
        <w:r>
          <w:rPr>
            <w:noProof/>
            <w:webHidden/>
          </w:rPr>
        </w:r>
        <w:r>
          <w:rPr>
            <w:noProof/>
            <w:webHidden/>
          </w:rPr>
          <w:fldChar w:fldCharType="separate"/>
        </w:r>
        <w:r>
          <w:rPr>
            <w:noProof/>
            <w:webHidden/>
          </w:rPr>
          <w:t>86</w:t>
        </w:r>
        <w:r>
          <w:rPr>
            <w:noProof/>
            <w:webHidden/>
          </w:rPr>
          <w:fldChar w:fldCharType="end"/>
        </w:r>
      </w:hyperlink>
    </w:p>
    <w:p w:rsidR="00E62976" w:rsidRDefault="00E62976">
      <w:pPr>
        <w:pStyle w:val="TM3"/>
        <w:tabs>
          <w:tab w:val="right" w:leader="dot" w:pos="9345"/>
        </w:tabs>
        <w:rPr>
          <w:rFonts w:asciiTheme="minorHAnsi" w:eastAsiaTheme="minorEastAsia" w:hAnsiTheme="minorHAnsi" w:cstheme="minorBidi"/>
          <w:noProof/>
          <w:sz w:val="22"/>
          <w:szCs w:val="22"/>
        </w:rPr>
      </w:pPr>
      <w:hyperlink w:anchor="_Toc473303576" w:history="1">
        <w:r w:rsidRPr="00B20874">
          <w:rPr>
            <w:rStyle w:val="Lienhypertexte"/>
            <w:noProof/>
            <w:lang w:val="en-GB"/>
          </w:rPr>
          <w:t>5.3.5 Considerations on multi-units site</w:t>
        </w:r>
        <w:r>
          <w:rPr>
            <w:noProof/>
            <w:webHidden/>
          </w:rPr>
          <w:tab/>
        </w:r>
        <w:r>
          <w:rPr>
            <w:noProof/>
            <w:webHidden/>
          </w:rPr>
          <w:fldChar w:fldCharType="begin"/>
        </w:r>
        <w:r>
          <w:rPr>
            <w:noProof/>
            <w:webHidden/>
          </w:rPr>
          <w:instrText xml:space="preserve"> PAGEREF _Toc473303576 \h </w:instrText>
        </w:r>
        <w:r>
          <w:rPr>
            <w:noProof/>
            <w:webHidden/>
          </w:rPr>
        </w:r>
        <w:r>
          <w:rPr>
            <w:noProof/>
            <w:webHidden/>
          </w:rPr>
          <w:fldChar w:fldCharType="separate"/>
        </w:r>
        <w:r>
          <w:rPr>
            <w:noProof/>
            <w:webHidden/>
          </w:rPr>
          <w:t>86</w:t>
        </w:r>
        <w:r>
          <w:rPr>
            <w:noProof/>
            <w:webHidden/>
          </w:rPr>
          <w:fldChar w:fldCharType="end"/>
        </w:r>
      </w:hyperlink>
    </w:p>
    <w:p w:rsidR="00E62976" w:rsidRDefault="00E62976">
      <w:pPr>
        <w:pStyle w:val="TM3"/>
        <w:tabs>
          <w:tab w:val="right" w:leader="dot" w:pos="9345"/>
        </w:tabs>
        <w:rPr>
          <w:rFonts w:asciiTheme="minorHAnsi" w:eastAsiaTheme="minorEastAsia" w:hAnsiTheme="minorHAnsi" w:cstheme="minorBidi"/>
          <w:noProof/>
          <w:sz w:val="22"/>
          <w:szCs w:val="22"/>
        </w:rPr>
      </w:pPr>
      <w:hyperlink w:anchor="_Toc473303577" w:history="1">
        <w:r w:rsidRPr="00B20874">
          <w:rPr>
            <w:rStyle w:val="Lienhypertexte"/>
            <w:noProof/>
            <w:lang w:val="en-GB"/>
          </w:rPr>
          <w:t>5.3.6 Considerations on correlated hazards and events</w:t>
        </w:r>
        <w:r>
          <w:rPr>
            <w:noProof/>
            <w:webHidden/>
          </w:rPr>
          <w:tab/>
        </w:r>
        <w:r>
          <w:rPr>
            <w:noProof/>
            <w:webHidden/>
          </w:rPr>
          <w:fldChar w:fldCharType="begin"/>
        </w:r>
        <w:r>
          <w:rPr>
            <w:noProof/>
            <w:webHidden/>
          </w:rPr>
          <w:instrText xml:space="preserve"> PAGEREF _Toc473303577 \h </w:instrText>
        </w:r>
        <w:r>
          <w:rPr>
            <w:noProof/>
            <w:webHidden/>
          </w:rPr>
        </w:r>
        <w:r>
          <w:rPr>
            <w:noProof/>
            <w:webHidden/>
          </w:rPr>
          <w:fldChar w:fldCharType="separate"/>
        </w:r>
        <w:r>
          <w:rPr>
            <w:noProof/>
            <w:webHidden/>
          </w:rPr>
          <w:t>87</w:t>
        </w:r>
        <w:r>
          <w:rPr>
            <w:noProof/>
            <w:webHidden/>
          </w:rPr>
          <w:fldChar w:fldCharType="end"/>
        </w:r>
      </w:hyperlink>
    </w:p>
    <w:p w:rsidR="00E62976" w:rsidRDefault="00E62976">
      <w:pPr>
        <w:pStyle w:val="TM3"/>
        <w:tabs>
          <w:tab w:val="right" w:leader="dot" w:pos="9345"/>
        </w:tabs>
        <w:rPr>
          <w:rFonts w:asciiTheme="minorHAnsi" w:eastAsiaTheme="minorEastAsia" w:hAnsiTheme="minorHAnsi" w:cstheme="minorBidi"/>
          <w:noProof/>
          <w:sz w:val="22"/>
          <w:szCs w:val="22"/>
        </w:rPr>
      </w:pPr>
      <w:hyperlink w:anchor="_Toc473303578" w:history="1">
        <w:r w:rsidRPr="00B20874">
          <w:rPr>
            <w:rStyle w:val="Lienhypertexte"/>
            <w:noProof/>
            <w:lang w:val="en-GB"/>
          </w:rPr>
          <w:t>5.3.7 Conclusions</w:t>
        </w:r>
        <w:r>
          <w:rPr>
            <w:noProof/>
            <w:webHidden/>
          </w:rPr>
          <w:tab/>
        </w:r>
        <w:r>
          <w:rPr>
            <w:noProof/>
            <w:webHidden/>
          </w:rPr>
          <w:fldChar w:fldCharType="begin"/>
        </w:r>
        <w:r>
          <w:rPr>
            <w:noProof/>
            <w:webHidden/>
          </w:rPr>
          <w:instrText xml:space="preserve"> PAGEREF _Toc473303578 \h </w:instrText>
        </w:r>
        <w:r>
          <w:rPr>
            <w:noProof/>
            <w:webHidden/>
          </w:rPr>
        </w:r>
        <w:r>
          <w:rPr>
            <w:noProof/>
            <w:webHidden/>
          </w:rPr>
          <w:fldChar w:fldCharType="separate"/>
        </w:r>
        <w:r>
          <w:rPr>
            <w:noProof/>
            <w:webHidden/>
          </w:rPr>
          <w:t>87</w:t>
        </w:r>
        <w:r>
          <w:rPr>
            <w:noProof/>
            <w:webHidden/>
          </w:rPr>
          <w:fldChar w:fldCharType="end"/>
        </w:r>
      </w:hyperlink>
    </w:p>
    <w:p w:rsidR="00E62976" w:rsidRDefault="00E62976">
      <w:pPr>
        <w:pStyle w:val="TM1"/>
        <w:tabs>
          <w:tab w:val="right" w:leader="dot" w:pos="9345"/>
        </w:tabs>
        <w:rPr>
          <w:rFonts w:asciiTheme="minorHAnsi" w:eastAsiaTheme="minorEastAsia" w:hAnsiTheme="minorHAnsi" w:cstheme="minorBidi"/>
          <w:bCs w:val="0"/>
          <w:iCs w:val="0"/>
          <w:noProof/>
          <w:sz w:val="22"/>
          <w:szCs w:val="22"/>
        </w:rPr>
      </w:pPr>
      <w:hyperlink w:anchor="_Toc473303579" w:history="1">
        <w:r w:rsidRPr="00B20874">
          <w:rPr>
            <w:rStyle w:val="Lienhypertexte"/>
            <w:noProof/>
            <w:lang w:val="en-GB"/>
          </w:rPr>
          <w:t>6 GOOD PRACTICES FOR EXTENDED PSAS</w:t>
        </w:r>
        <w:r>
          <w:rPr>
            <w:noProof/>
            <w:webHidden/>
          </w:rPr>
          <w:tab/>
        </w:r>
        <w:r>
          <w:rPr>
            <w:noProof/>
            <w:webHidden/>
          </w:rPr>
          <w:fldChar w:fldCharType="begin"/>
        </w:r>
        <w:r>
          <w:rPr>
            <w:noProof/>
            <w:webHidden/>
          </w:rPr>
          <w:instrText xml:space="preserve"> PAGEREF _Toc473303579 \h </w:instrText>
        </w:r>
        <w:r>
          <w:rPr>
            <w:noProof/>
            <w:webHidden/>
          </w:rPr>
        </w:r>
        <w:r>
          <w:rPr>
            <w:noProof/>
            <w:webHidden/>
          </w:rPr>
          <w:fldChar w:fldCharType="separate"/>
        </w:r>
        <w:r>
          <w:rPr>
            <w:noProof/>
            <w:webHidden/>
          </w:rPr>
          <w:t>87</w:t>
        </w:r>
        <w:r>
          <w:rPr>
            <w:noProof/>
            <w:webHidden/>
          </w:rPr>
          <w:fldChar w:fldCharType="end"/>
        </w:r>
      </w:hyperlink>
    </w:p>
    <w:p w:rsidR="00E62976" w:rsidRDefault="00E62976">
      <w:pPr>
        <w:pStyle w:val="TM2"/>
        <w:tabs>
          <w:tab w:val="right" w:leader="dot" w:pos="9345"/>
        </w:tabs>
        <w:rPr>
          <w:rFonts w:asciiTheme="minorHAnsi" w:eastAsiaTheme="minorEastAsia" w:hAnsiTheme="minorHAnsi" w:cstheme="minorBidi"/>
          <w:bCs w:val="0"/>
          <w:noProof/>
          <w:sz w:val="22"/>
        </w:rPr>
      </w:pPr>
      <w:hyperlink w:anchor="_Toc473303580" w:history="1">
        <w:r w:rsidRPr="00B20874">
          <w:rPr>
            <w:rStyle w:val="Lienhypertexte"/>
            <w:noProof/>
            <w:lang w:val="en-GB"/>
          </w:rPr>
          <w:t>6.1 GENERAL CONSIDERATIONS FOR INITIATING EVENTS SELECTION</w:t>
        </w:r>
        <w:r>
          <w:rPr>
            <w:noProof/>
            <w:webHidden/>
          </w:rPr>
          <w:tab/>
        </w:r>
        <w:r>
          <w:rPr>
            <w:noProof/>
            <w:webHidden/>
          </w:rPr>
          <w:fldChar w:fldCharType="begin"/>
        </w:r>
        <w:r>
          <w:rPr>
            <w:noProof/>
            <w:webHidden/>
          </w:rPr>
          <w:instrText xml:space="preserve"> PAGEREF _Toc473303580 \h </w:instrText>
        </w:r>
        <w:r>
          <w:rPr>
            <w:noProof/>
            <w:webHidden/>
          </w:rPr>
        </w:r>
        <w:r>
          <w:rPr>
            <w:noProof/>
            <w:webHidden/>
          </w:rPr>
          <w:fldChar w:fldCharType="separate"/>
        </w:r>
        <w:r>
          <w:rPr>
            <w:noProof/>
            <w:webHidden/>
          </w:rPr>
          <w:t>87</w:t>
        </w:r>
        <w:r>
          <w:rPr>
            <w:noProof/>
            <w:webHidden/>
          </w:rPr>
          <w:fldChar w:fldCharType="end"/>
        </w:r>
      </w:hyperlink>
    </w:p>
    <w:p w:rsidR="00E62976" w:rsidRDefault="00E62976">
      <w:pPr>
        <w:pStyle w:val="TM2"/>
        <w:tabs>
          <w:tab w:val="right" w:leader="dot" w:pos="9345"/>
        </w:tabs>
        <w:rPr>
          <w:rFonts w:asciiTheme="minorHAnsi" w:eastAsiaTheme="minorEastAsia" w:hAnsiTheme="minorHAnsi" w:cstheme="minorBidi"/>
          <w:bCs w:val="0"/>
          <w:noProof/>
          <w:sz w:val="22"/>
        </w:rPr>
      </w:pPr>
      <w:hyperlink w:anchor="_Toc473303581" w:history="1">
        <w:r w:rsidRPr="00B20874">
          <w:rPr>
            <w:rStyle w:val="Lienhypertexte"/>
            <w:noProof/>
            <w:lang w:val="en-GB"/>
          </w:rPr>
          <w:t>6.2 SCREENING CRITERIA</w:t>
        </w:r>
        <w:r>
          <w:rPr>
            <w:noProof/>
            <w:webHidden/>
          </w:rPr>
          <w:tab/>
        </w:r>
        <w:r>
          <w:rPr>
            <w:noProof/>
            <w:webHidden/>
          </w:rPr>
          <w:fldChar w:fldCharType="begin"/>
        </w:r>
        <w:r>
          <w:rPr>
            <w:noProof/>
            <w:webHidden/>
          </w:rPr>
          <w:instrText xml:space="preserve"> PAGEREF _Toc473303581 \h </w:instrText>
        </w:r>
        <w:r>
          <w:rPr>
            <w:noProof/>
            <w:webHidden/>
          </w:rPr>
        </w:r>
        <w:r>
          <w:rPr>
            <w:noProof/>
            <w:webHidden/>
          </w:rPr>
          <w:fldChar w:fldCharType="separate"/>
        </w:r>
        <w:r>
          <w:rPr>
            <w:noProof/>
            <w:webHidden/>
          </w:rPr>
          <w:t>89</w:t>
        </w:r>
        <w:r>
          <w:rPr>
            <w:noProof/>
            <w:webHidden/>
          </w:rPr>
          <w:fldChar w:fldCharType="end"/>
        </w:r>
      </w:hyperlink>
    </w:p>
    <w:p w:rsidR="00E62976" w:rsidRDefault="00E62976">
      <w:pPr>
        <w:pStyle w:val="TM3"/>
        <w:tabs>
          <w:tab w:val="right" w:leader="dot" w:pos="9345"/>
        </w:tabs>
        <w:rPr>
          <w:rFonts w:asciiTheme="minorHAnsi" w:eastAsiaTheme="minorEastAsia" w:hAnsiTheme="minorHAnsi" w:cstheme="minorBidi"/>
          <w:noProof/>
          <w:sz w:val="22"/>
          <w:szCs w:val="22"/>
        </w:rPr>
      </w:pPr>
      <w:hyperlink w:anchor="_Toc473303582" w:history="1">
        <w:r w:rsidRPr="00B20874">
          <w:rPr>
            <w:rStyle w:val="Lienhypertexte"/>
            <w:noProof/>
            <w:lang w:val="en-GB"/>
          </w:rPr>
          <w:t>6.2.1 Qualitative screening criteria</w:t>
        </w:r>
        <w:r>
          <w:rPr>
            <w:noProof/>
            <w:webHidden/>
          </w:rPr>
          <w:tab/>
        </w:r>
        <w:r>
          <w:rPr>
            <w:noProof/>
            <w:webHidden/>
          </w:rPr>
          <w:fldChar w:fldCharType="begin"/>
        </w:r>
        <w:r>
          <w:rPr>
            <w:noProof/>
            <w:webHidden/>
          </w:rPr>
          <w:instrText xml:space="preserve"> PAGEREF _Toc473303582 \h </w:instrText>
        </w:r>
        <w:r>
          <w:rPr>
            <w:noProof/>
            <w:webHidden/>
          </w:rPr>
        </w:r>
        <w:r>
          <w:rPr>
            <w:noProof/>
            <w:webHidden/>
          </w:rPr>
          <w:fldChar w:fldCharType="separate"/>
        </w:r>
        <w:r>
          <w:rPr>
            <w:noProof/>
            <w:webHidden/>
          </w:rPr>
          <w:t>89</w:t>
        </w:r>
        <w:r>
          <w:rPr>
            <w:noProof/>
            <w:webHidden/>
          </w:rPr>
          <w:fldChar w:fldCharType="end"/>
        </w:r>
      </w:hyperlink>
    </w:p>
    <w:p w:rsidR="00E62976" w:rsidRDefault="00E62976">
      <w:pPr>
        <w:pStyle w:val="TM3"/>
        <w:tabs>
          <w:tab w:val="right" w:leader="dot" w:pos="9345"/>
        </w:tabs>
        <w:rPr>
          <w:rFonts w:asciiTheme="minorHAnsi" w:eastAsiaTheme="minorEastAsia" w:hAnsiTheme="minorHAnsi" w:cstheme="minorBidi"/>
          <w:noProof/>
          <w:sz w:val="22"/>
          <w:szCs w:val="22"/>
        </w:rPr>
      </w:pPr>
      <w:hyperlink w:anchor="_Toc473303583" w:history="1">
        <w:r w:rsidRPr="00B20874">
          <w:rPr>
            <w:rStyle w:val="Lienhypertexte"/>
            <w:noProof/>
            <w:lang w:val="en-GB"/>
          </w:rPr>
          <w:t>6.2.2 Quantitative screening criteria</w:t>
        </w:r>
        <w:r>
          <w:rPr>
            <w:noProof/>
            <w:webHidden/>
          </w:rPr>
          <w:tab/>
        </w:r>
        <w:r>
          <w:rPr>
            <w:noProof/>
            <w:webHidden/>
          </w:rPr>
          <w:fldChar w:fldCharType="begin"/>
        </w:r>
        <w:r>
          <w:rPr>
            <w:noProof/>
            <w:webHidden/>
          </w:rPr>
          <w:instrText xml:space="preserve"> PAGEREF _Toc473303583 \h </w:instrText>
        </w:r>
        <w:r>
          <w:rPr>
            <w:noProof/>
            <w:webHidden/>
          </w:rPr>
        </w:r>
        <w:r>
          <w:rPr>
            <w:noProof/>
            <w:webHidden/>
          </w:rPr>
          <w:fldChar w:fldCharType="separate"/>
        </w:r>
        <w:r>
          <w:rPr>
            <w:noProof/>
            <w:webHidden/>
          </w:rPr>
          <w:t>90</w:t>
        </w:r>
        <w:r>
          <w:rPr>
            <w:noProof/>
            <w:webHidden/>
          </w:rPr>
          <w:fldChar w:fldCharType="end"/>
        </w:r>
      </w:hyperlink>
    </w:p>
    <w:p w:rsidR="00E62976" w:rsidRDefault="00E62976">
      <w:pPr>
        <w:pStyle w:val="TM2"/>
        <w:tabs>
          <w:tab w:val="right" w:leader="dot" w:pos="9345"/>
        </w:tabs>
        <w:rPr>
          <w:rFonts w:asciiTheme="minorHAnsi" w:eastAsiaTheme="minorEastAsia" w:hAnsiTheme="minorHAnsi" w:cstheme="minorBidi"/>
          <w:bCs w:val="0"/>
          <w:noProof/>
          <w:sz w:val="22"/>
        </w:rPr>
      </w:pPr>
      <w:hyperlink w:anchor="_Toc473303584" w:history="1">
        <w:r w:rsidRPr="00B20874">
          <w:rPr>
            <w:rStyle w:val="Lienhypertexte"/>
            <w:noProof/>
            <w:lang w:val="en-GB"/>
          </w:rPr>
          <w:t>6.3 PLANT RESPONSE ANALYSIS, HAZARDS IMPACT ANALYSIS</w:t>
        </w:r>
        <w:r>
          <w:rPr>
            <w:noProof/>
            <w:webHidden/>
          </w:rPr>
          <w:tab/>
        </w:r>
        <w:r>
          <w:rPr>
            <w:noProof/>
            <w:webHidden/>
          </w:rPr>
          <w:fldChar w:fldCharType="begin"/>
        </w:r>
        <w:r>
          <w:rPr>
            <w:noProof/>
            <w:webHidden/>
          </w:rPr>
          <w:instrText xml:space="preserve"> PAGEREF _Toc473303584 \h </w:instrText>
        </w:r>
        <w:r>
          <w:rPr>
            <w:noProof/>
            <w:webHidden/>
          </w:rPr>
        </w:r>
        <w:r>
          <w:rPr>
            <w:noProof/>
            <w:webHidden/>
          </w:rPr>
          <w:fldChar w:fldCharType="separate"/>
        </w:r>
        <w:r>
          <w:rPr>
            <w:noProof/>
            <w:webHidden/>
          </w:rPr>
          <w:t>92</w:t>
        </w:r>
        <w:r>
          <w:rPr>
            <w:noProof/>
            <w:webHidden/>
          </w:rPr>
          <w:fldChar w:fldCharType="end"/>
        </w:r>
      </w:hyperlink>
    </w:p>
    <w:p w:rsidR="00E62976" w:rsidRDefault="00E62976">
      <w:pPr>
        <w:pStyle w:val="TM3"/>
        <w:tabs>
          <w:tab w:val="right" w:leader="dot" w:pos="9345"/>
        </w:tabs>
        <w:rPr>
          <w:rFonts w:asciiTheme="minorHAnsi" w:eastAsiaTheme="minorEastAsia" w:hAnsiTheme="minorHAnsi" w:cstheme="minorBidi"/>
          <w:noProof/>
          <w:sz w:val="22"/>
          <w:szCs w:val="22"/>
        </w:rPr>
      </w:pPr>
      <w:hyperlink w:anchor="_Toc473303585" w:history="1">
        <w:r w:rsidRPr="00B20874">
          <w:rPr>
            <w:rStyle w:val="Lienhypertexte"/>
            <w:noProof/>
            <w:lang w:val="en-GB"/>
          </w:rPr>
          <w:t>6.3.1 General consideration</w:t>
        </w:r>
        <w:r>
          <w:rPr>
            <w:noProof/>
            <w:webHidden/>
          </w:rPr>
          <w:tab/>
        </w:r>
        <w:r>
          <w:rPr>
            <w:noProof/>
            <w:webHidden/>
          </w:rPr>
          <w:fldChar w:fldCharType="begin"/>
        </w:r>
        <w:r>
          <w:rPr>
            <w:noProof/>
            <w:webHidden/>
          </w:rPr>
          <w:instrText xml:space="preserve"> PAGEREF _Toc473303585 \h </w:instrText>
        </w:r>
        <w:r>
          <w:rPr>
            <w:noProof/>
            <w:webHidden/>
          </w:rPr>
        </w:r>
        <w:r>
          <w:rPr>
            <w:noProof/>
            <w:webHidden/>
          </w:rPr>
          <w:fldChar w:fldCharType="separate"/>
        </w:r>
        <w:r>
          <w:rPr>
            <w:noProof/>
            <w:webHidden/>
          </w:rPr>
          <w:t>92</w:t>
        </w:r>
        <w:r>
          <w:rPr>
            <w:noProof/>
            <w:webHidden/>
          </w:rPr>
          <w:fldChar w:fldCharType="end"/>
        </w:r>
      </w:hyperlink>
    </w:p>
    <w:p w:rsidR="00E62976" w:rsidRDefault="00E62976">
      <w:pPr>
        <w:pStyle w:val="TM3"/>
        <w:tabs>
          <w:tab w:val="right" w:leader="dot" w:pos="9345"/>
        </w:tabs>
        <w:rPr>
          <w:rFonts w:asciiTheme="minorHAnsi" w:eastAsiaTheme="minorEastAsia" w:hAnsiTheme="minorHAnsi" w:cstheme="minorBidi"/>
          <w:noProof/>
          <w:sz w:val="22"/>
          <w:szCs w:val="22"/>
        </w:rPr>
      </w:pPr>
      <w:hyperlink w:anchor="_Toc473303586" w:history="1">
        <w:r w:rsidRPr="00B20874">
          <w:rPr>
            <w:rStyle w:val="Lienhypertexte"/>
            <w:noProof/>
            <w:lang w:val="en-GB"/>
          </w:rPr>
          <w:t>6.3.2 Applicability analysis</w:t>
        </w:r>
        <w:r>
          <w:rPr>
            <w:noProof/>
            <w:webHidden/>
          </w:rPr>
          <w:tab/>
        </w:r>
        <w:r>
          <w:rPr>
            <w:noProof/>
            <w:webHidden/>
          </w:rPr>
          <w:fldChar w:fldCharType="begin"/>
        </w:r>
        <w:r>
          <w:rPr>
            <w:noProof/>
            <w:webHidden/>
          </w:rPr>
          <w:instrText xml:space="preserve"> PAGEREF _Toc473303586 \h </w:instrText>
        </w:r>
        <w:r>
          <w:rPr>
            <w:noProof/>
            <w:webHidden/>
          </w:rPr>
        </w:r>
        <w:r>
          <w:rPr>
            <w:noProof/>
            <w:webHidden/>
          </w:rPr>
          <w:fldChar w:fldCharType="separate"/>
        </w:r>
        <w:r>
          <w:rPr>
            <w:noProof/>
            <w:webHidden/>
          </w:rPr>
          <w:t>92</w:t>
        </w:r>
        <w:r>
          <w:rPr>
            <w:noProof/>
            <w:webHidden/>
          </w:rPr>
          <w:fldChar w:fldCharType="end"/>
        </w:r>
      </w:hyperlink>
    </w:p>
    <w:p w:rsidR="00E62976" w:rsidRDefault="00E62976">
      <w:pPr>
        <w:pStyle w:val="TM3"/>
        <w:tabs>
          <w:tab w:val="right" w:leader="dot" w:pos="9345"/>
        </w:tabs>
        <w:rPr>
          <w:rFonts w:asciiTheme="minorHAnsi" w:eastAsiaTheme="minorEastAsia" w:hAnsiTheme="minorHAnsi" w:cstheme="minorBidi"/>
          <w:noProof/>
          <w:sz w:val="22"/>
          <w:szCs w:val="22"/>
        </w:rPr>
      </w:pPr>
      <w:hyperlink w:anchor="_Toc473303587" w:history="1">
        <w:r w:rsidRPr="00B20874">
          <w:rPr>
            <w:rStyle w:val="Lienhypertexte"/>
            <w:noProof/>
            <w:lang w:val="en-GB"/>
          </w:rPr>
          <w:t>6.3.3 Impact analysis</w:t>
        </w:r>
        <w:r>
          <w:rPr>
            <w:noProof/>
            <w:webHidden/>
          </w:rPr>
          <w:tab/>
        </w:r>
        <w:r>
          <w:rPr>
            <w:noProof/>
            <w:webHidden/>
          </w:rPr>
          <w:fldChar w:fldCharType="begin"/>
        </w:r>
        <w:r>
          <w:rPr>
            <w:noProof/>
            <w:webHidden/>
          </w:rPr>
          <w:instrText xml:space="preserve"> PAGEREF _Toc473303587 \h </w:instrText>
        </w:r>
        <w:r>
          <w:rPr>
            <w:noProof/>
            <w:webHidden/>
          </w:rPr>
        </w:r>
        <w:r>
          <w:rPr>
            <w:noProof/>
            <w:webHidden/>
          </w:rPr>
          <w:fldChar w:fldCharType="separate"/>
        </w:r>
        <w:r>
          <w:rPr>
            <w:noProof/>
            <w:webHidden/>
          </w:rPr>
          <w:t>93</w:t>
        </w:r>
        <w:r>
          <w:rPr>
            <w:noProof/>
            <w:webHidden/>
          </w:rPr>
          <w:fldChar w:fldCharType="end"/>
        </w:r>
      </w:hyperlink>
    </w:p>
    <w:p w:rsidR="00E62976" w:rsidRDefault="00E62976">
      <w:pPr>
        <w:pStyle w:val="TM3"/>
        <w:tabs>
          <w:tab w:val="right" w:leader="dot" w:pos="9345"/>
        </w:tabs>
        <w:rPr>
          <w:rFonts w:asciiTheme="minorHAnsi" w:eastAsiaTheme="minorEastAsia" w:hAnsiTheme="minorHAnsi" w:cstheme="minorBidi"/>
          <w:noProof/>
          <w:sz w:val="22"/>
          <w:szCs w:val="22"/>
        </w:rPr>
      </w:pPr>
      <w:hyperlink w:anchor="_Toc473303588" w:history="1">
        <w:r w:rsidRPr="00B20874">
          <w:rPr>
            <w:rStyle w:val="Lienhypertexte"/>
            <w:noProof/>
            <w:lang w:val="en-GB"/>
          </w:rPr>
          <w:t>6.3.4 Plant response analysis for combinations of hazards including less intense scenarios</w:t>
        </w:r>
        <w:r>
          <w:rPr>
            <w:noProof/>
            <w:webHidden/>
          </w:rPr>
          <w:tab/>
        </w:r>
        <w:r>
          <w:rPr>
            <w:noProof/>
            <w:webHidden/>
          </w:rPr>
          <w:fldChar w:fldCharType="begin"/>
        </w:r>
        <w:r>
          <w:rPr>
            <w:noProof/>
            <w:webHidden/>
          </w:rPr>
          <w:instrText xml:space="preserve"> PAGEREF _Toc473303588 \h </w:instrText>
        </w:r>
        <w:r>
          <w:rPr>
            <w:noProof/>
            <w:webHidden/>
          </w:rPr>
        </w:r>
        <w:r>
          <w:rPr>
            <w:noProof/>
            <w:webHidden/>
          </w:rPr>
          <w:fldChar w:fldCharType="separate"/>
        </w:r>
        <w:r>
          <w:rPr>
            <w:noProof/>
            <w:webHidden/>
          </w:rPr>
          <w:t>98</w:t>
        </w:r>
        <w:r>
          <w:rPr>
            <w:noProof/>
            <w:webHidden/>
          </w:rPr>
          <w:fldChar w:fldCharType="end"/>
        </w:r>
      </w:hyperlink>
    </w:p>
    <w:p w:rsidR="00E62976" w:rsidRDefault="00E62976">
      <w:pPr>
        <w:pStyle w:val="TM3"/>
        <w:tabs>
          <w:tab w:val="right" w:leader="dot" w:pos="9345"/>
        </w:tabs>
        <w:rPr>
          <w:rFonts w:asciiTheme="minorHAnsi" w:eastAsiaTheme="minorEastAsia" w:hAnsiTheme="minorHAnsi" w:cstheme="minorBidi"/>
          <w:noProof/>
          <w:sz w:val="22"/>
          <w:szCs w:val="22"/>
        </w:rPr>
      </w:pPr>
      <w:hyperlink w:anchor="_Toc473303589" w:history="1">
        <w:r w:rsidRPr="00B20874">
          <w:rPr>
            <w:rStyle w:val="Lienhypertexte"/>
            <w:noProof/>
            <w:lang w:val="en-GB"/>
          </w:rPr>
          <w:t>6.3.5 Bounding analysis</w:t>
        </w:r>
        <w:r>
          <w:rPr>
            <w:noProof/>
            <w:webHidden/>
          </w:rPr>
          <w:tab/>
        </w:r>
        <w:r>
          <w:rPr>
            <w:noProof/>
            <w:webHidden/>
          </w:rPr>
          <w:fldChar w:fldCharType="begin"/>
        </w:r>
        <w:r>
          <w:rPr>
            <w:noProof/>
            <w:webHidden/>
          </w:rPr>
          <w:instrText xml:space="preserve"> PAGEREF _Toc473303589 \h </w:instrText>
        </w:r>
        <w:r>
          <w:rPr>
            <w:noProof/>
            <w:webHidden/>
          </w:rPr>
        </w:r>
        <w:r>
          <w:rPr>
            <w:noProof/>
            <w:webHidden/>
          </w:rPr>
          <w:fldChar w:fldCharType="separate"/>
        </w:r>
        <w:r>
          <w:rPr>
            <w:noProof/>
            <w:webHidden/>
          </w:rPr>
          <w:t>98</w:t>
        </w:r>
        <w:r>
          <w:rPr>
            <w:noProof/>
            <w:webHidden/>
          </w:rPr>
          <w:fldChar w:fldCharType="end"/>
        </w:r>
      </w:hyperlink>
    </w:p>
    <w:p w:rsidR="00E62976" w:rsidRDefault="00E62976">
      <w:pPr>
        <w:pStyle w:val="TM2"/>
        <w:tabs>
          <w:tab w:val="right" w:leader="dot" w:pos="9345"/>
        </w:tabs>
        <w:rPr>
          <w:rFonts w:asciiTheme="minorHAnsi" w:eastAsiaTheme="minorEastAsia" w:hAnsiTheme="minorHAnsi" w:cstheme="minorBidi"/>
          <w:bCs w:val="0"/>
          <w:noProof/>
          <w:sz w:val="22"/>
        </w:rPr>
      </w:pPr>
      <w:hyperlink w:anchor="_Toc473303590" w:history="1">
        <w:r w:rsidRPr="00B20874">
          <w:rPr>
            <w:rStyle w:val="Lienhypertexte"/>
            <w:noProof/>
            <w:lang w:val="en-GB"/>
          </w:rPr>
          <w:t>6.4 SELECTION OF THE INDIVIDUAL INTERNAL INITIATING EVENTS TO BE CONSIDERED IN A SINGLE UNIT PSA</w:t>
        </w:r>
        <w:r>
          <w:rPr>
            <w:noProof/>
            <w:webHidden/>
          </w:rPr>
          <w:tab/>
        </w:r>
        <w:r>
          <w:rPr>
            <w:noProof/>
            <w:webHidden/>
          </w:rPr>
          <w:fldChar w:fldCharType="begin"/>
        </w:r>
        <w:r>
          <w:rPr>
            <w:noProof/>
            <w:webHidden/>
          </w:rPr>
          <w:instrText xml:space="preserve"> PAGEREF _Toc473303590 \h </w:instrText>
        </w:r>
        <w:r>
          <w:rPr>
            <w:noProof/>
            <w:webHidden/>
          </w:rPr>
        </w:r>
        <w:r>
          <w:rPr>
            <w:noProof/>
            <w:webHidden/>
          </w:rPr>
          <w:fldChar w:fldCharType="separate"/>
        </w:r>
        <w:r>
          <w:rPr>
            <w:noProof/>
            <w:webHidden/>
          </w:rPr>
          <w:t>100</w:t>
        </w:r>
        <w:r>
          <w:rPr>
            <w:noProof/>
            <w:webHidden/>
          </w:rPr>
          <w:fldChar w:fldCharType="end"/>
        </w:r>
      </w:hyperlink>
    </w:p>
    <w:p w:rsidR="00E62976" w:rsidRDefault="00E62976">
      <w:pPr>
        <w:pStyle w:val="TM2"/>
        <w:tabs>
          <w:tab w:val="right" w:leader="dot" w:pos="9345"/>
        </w:tabs>
        <w:rPr>
          <w:rFonts w:asciiTheme="minorHAnsi" w:eastAsiaTheme="minorEastAsia" w:hAnsiTheme="minorHAnsi" w:cstheme="minorBidi"/>
          <w:bCs w:val="0"/>
          <w:noProof/>
          <w:sz w:val="22"/>
        </w:rPr>
      </w:pPr>
      <w:hyperlink w:anchor="_Toc473303591" w:history="1">
        <w:r w:rsidRPr="00B20874">
          <w:rPr>
            <w:rStyle w:val="Lienhypertexte"/>
            <w:noProof/>
            <w:lang w:val="en-GB"/>
          </w:rPr>
          <w:t>6.5 SELECTION OF THE INDIVIDUAL INTERNAL HAZARDS SCENARIOS TO BE CONSIDERED IN A SINGLE UNIT PSA</w:t>
        </w:r>
        <w:r>
          <w:rPr>
            <w:noProof/>
            <w:webHidden/>
          </w:rPr>
          <w:tab/>
        </w:r>
        <w:r>
          <w:rPr>
            <w:noProof/>
            <w:webHidden/>
          </w:rPr>
          <w:fldChar w:fldCharType="begin"/>
        </w:r>
        <w:r>
          <w:rPr>
            <w:noProof/>
            <w:webHidden/>
          </w:rPr>
          <w:instrText xml:space="preserve"> PAGEREF _Toc473303591 \h </w:instrText>
        </w:r>
        <w:r>
          <w:rPr>
            <w:noProof/>
            <w:webHidden/>
          </w:rPr>
        </w:r>
        <w:r>
          <w:rPr>
            <w:noProof/>
            <w:webHidden/>
          </w:rPr>
          <w:fldChar w:fldCharType="separate"/>
        </w:r>
        <w:r>
          <w:rPr>
            <w:noProof/>
            <w:webHidden/>
          </w:rPr>
          <w:t>102</w:t>
        </w:r>
        <w:r>
          <w:rPr>
            <w:noProof/>
            <w:webHidden/>
          </w:rPr>
          <w:fldChar w:fldCharType="end"/>
        </w:r>
      </w:hyperlink>
    </w:p>
    <w:p w:rsidR="00E62976" w:rsidRDefault="00E62976">
      <w:pPr>
        <w:pStyle w:val="TM2"/>
        <w:tabs>
          <w:tab w:val="right" w:leader="dot" w:pos="9345"/>
        </w:tabs>
        <w:rPr>
          <w:rFonts w:asciiTheme="minorHAnsi" w:eastAsiaTheme="minorEastAsia" w:hAnsiTheme="minorHAnsi" w:cstheme="minorBidi"/>
          <w:bCs w:val="0"/>
          <w:noProof/>
          <w:sz w:val="22"/>
        </w:rPr>
      </w:pPr>
      <w:hyperlink w:anchor="_Toc473303592" w:history="1">
        <w:r w:rsidRPr="00B20874">
          <w:rPr>
            <w:rStyle w:val="Lienhypertexte"/>
            <w:noProof/>
            <w:lang w:val="en-GB"/>
          </w:rPr>
          <w:t>6.6 SELECTION OF THE INDIVIDUAL EXTERNAL HAZARDS SCENARIOS TO BE CONSIDERED IN A SINGLE UNIT PSA</w:t>
        </w:r>
        <w:r>
          <w:rPr>
            <w:noProof/>
            <w:webHidden/>
          </w:rPr>
          <w:tab/>
        </w:r>
        <w:r>
          <w:rPr>
            <w:noProof/>
            <w:webHidden/>
          </w:rPr>
          <w:fldChar w:fldCharType="begin"/>
        </w:r>
        <w:r>
          <w:rPr>
            <w:noProof/>
            <w:webHidden/>
          </w:rPr>
          <w:instrText xml:space="preserve"> PAGEREF _Toc473303592 \h </w:instrText>
        </w:r>
        <w:r>
          <w:rPr>
            <w:noProof/>
            <w:webHidden/>
          </w:rPr>
        </w:r>
        <w:r>
          <w:rPr>
            <w:noProof/>
            <w:webHidden/>
          </w:rPr>
          <w:fldChar w:fldCharType="separate"/>
        </w:r>
        <w:r>
          <w:rPr>
            <w:noProof/>
            <w:webHidden/>
          </w:rPr>
          <w:t>105</w:t>
        </w:r>
        <w:r>
          <w:rPr>
            <w:noProof/>
            <w:webHidden/>
          </w:rPr>
          <w:fldChar w:fldCharType="end"/>
        </w:r>
      </w:hyperlink>
    </w:p>
    <w:p w:rsidR="00E62976" w:rsidRDefault="00E62976">
      <w:pPr>
        <w:pStyle w:val="TM2"/>
        <w:tabs>
          <w:tab w:val="right" w:leader="dot" w:pos="9345"/>
        </w:tabs>
        <w:rPr>
          <w:rFonts w:asciiTheme="minorHAnsi" w:eastAsiaTheme="minorEastAsia" w:hAnsiTheme="minorHAnsi" w:cstheme="minorBidi"/>
          <w:bCs w:val="0"/>
          <w:noProof/>
          <w:sz w:val="22"/>
        </w:rPr>
      </w:pPr>
      <w:hyperlink w:anchor="_Toc473303593" w:history="1">
        <w:r w:rsidRPr="00B20874">
          <w:rPr>
            <w:rStyle w:val="Lienhypertexte"/>
            <w:noProof/>
            <w:lang w:val="en-GB"/>
          </w:rPr>
          <w:t>6.7 SELECTION OF THE COMBINED/CORRELATED HAZARDS SCENARIOS IN A SINGLE UNIT PSA</w:t>
        </w:r>
        <w:r>
          <w:rPr>
            <w:noProof/>
            <w:webHidden/>
          </w:rPr>
          <w:tab/>
        </w:r>
        <w:r>
          <w:rPr>
            <w:noProof/>
            <w:webHidden/>
          </w:rPr>
          <w:fldChar w:fldCharType="begin"/>
        </w:r>
        <w:r>
          <w:rPr>
            <w:noProof/>
            <w:webHidden/>
          </w:rPr>
          <w:instrText xml:space="preserve"> PAGEREF _Toc473303593 \h </w:instrText>
        </w:r>
        <w:r>
          <w:rPr>
            <w:noProof/>
            <w:webHidden/>
          </w:rPr>
        </w:r>
        <w:r>
          <w:rPr>
            <w:noProof/>
            <w:webHidden/>
          </w:rPr>
          <w:fldChar w:fldCharType="separate"/>
        </w:r>
        <w:r>
          <w:rPr>
            <w:noProof/>
            <w:webHidden/>
          </w:rPr>
          <w:t>110</w:t>
        </w:r>
        <w:r>
          <w:rPr>
            <w:noProof/>
            <w:webHidden/>
          </w:rPr>
          <w:fldChar w:fldCharType="end"/>
        </w:r>
      </w:hyperlink>
    </w:p>
    <w:p w:rsidR="00E62976" w:rsidRDefault="00E62976">
      <w:pPr>
        <w:pStyle w:val="TM2"/>
        <w:tabs>
          <w:tab w:val="right" w:leader="dot" w:pos="9345"/>
        </w:tabs>
        <w:rPr>
          <w:rFonts w:asciiTheme="minorHAnsi" w:eastAsiaTheme="minorEastAsia" w:hAnsiTheme="minorHAnsi" w:cstheme="minorBidi"/>
          <w:bCs w:val="0"/>
          <w:noProof/>
          <w:sz w:val="22"/>
        </w:rPr>
      </w:pPr>
      <w:hyperlink w:anchor="_Toc473303594" w:history="1">
        <w:r w:rsidRPr="00B20874">
          <w:rPr>
            <w:rStyle w:val="Lienhypertexte"/>
            <w:noProof/>
            <w:lang w:val="en-GB"/>
          </w:rPr>
          <w:t>6.8 SELECTION OF INITIATING EVENTS FOR MULTI-UNIT, MULTI-SOURCE PSA</w:t>
        </w:r>
        <w:r>
          <w:rPr>
            <w:noProof/>
            <w:webHidden/>
          </w:rPr>
          <w:tab/>
        </w:r>
        <w:r>
          <w:rPr>
            <w:noProof/>
            <w:webHidden/>
          </w:rPr>
          <w:fldChar w:fldCharType="begin"/>
        </w:r>
        <w:r>
          <w:rPr>
            <w:noProof/>
            <w:webHidden/>
          </w:rPr>
          <w:instrText xml:space="preserve"> PAGEREF _Toc473303594 \h </w:instrText>
        </w:r>
        <w:r>
          <w:rPr>
            <w:noProof/>
            <w:webHidden/>
          </w:rPr>
        </w:r>
        <w:r>
          <w:rPr>
            <w:noProof/>
            <w:webHidden/>
          </w:rPr>
          <w:fldChar w:fldCharType="separate"/>
        </w:r>
        <w:r>
          <w:rPr>
            <w:noProof/>
            <w:webHidden/>
          </w:rPr>
          <w:t>112</w:t>
        </w:r>
        <w:r>
          <w:rPr>
            <w:noProof/>
            <w:webHidden/>
          </w:rPr>
          <w:fldChar w:fldCharType="end"/>
        </w:r>
      </w:hyperlink>
    </w:p>
    <w:p w:rsidR="00E62976" w:rsidRDefault="00E62976">
      <w:pPr>
        <w:pStyle w:val="TM1"/>
        <w:tabs>
          <w:tab w:val="right" w:leader="dot" w:pos="9345"/>
        </w:tabs>
        <w:rPr>
          <w:rFonts w:asciiTheme="minorHAnsi" w:eastAsiaTheme="minorEastAsia" w:hAnsiTheme="minorHAnsi" w:cstheme="minorBidi"/>
          <w:bCs w:val="0"/>
          <w:iCs w:val="0"/>
          <w:noProof/>
          <w:sz w:val="22"/>
          <w:szCs w:val="22"/>
        </w:rPr>
      </w:pPr>
      <w:hyperlink w:anchor="_Toc473303595" w:history="1">
        <w:r w:rsidRPr="00B20874">
          <w:rPr>
            <w:rStyle w:val="Lienhypertexte"/>
            <w:noProof/>
            <w:lang w:val="en-GB"/>
          </w:rPr>
          <w:t>7 CONCLUSIONS</w:t>
        </w:r>
        <w:r>
          <w:rPr>
            <w:noProof/>
            <w:webHidden/>
          </w:rPr>
          <w:tab/>
        </w:r>
        <w:r>
          <w:rPr>
            <w:noProof/>
            <w:webHidden/>
          </w:rPr>
          <w:fldChar w:fldCharType="begin"/>
        </w:r>
        <w:r>
          <w:rPr>
            <w:noProof/>
            <w:webHidden/>
          </w:rPr>
          <w:instrText xml:space="preserve"> PAGEREF _Toc473303595 \h </w:instrText>
        </w:r>
        <w:r>
          <w:rPr>
            <w:noProof/>
            <w:webHidden/>
          </w:rPr>
        </w:r>
        <w:r>
          <w:rPr>
            <w:noProof/>
            <w:webHidden/>
          </w:rPr>
          <w:fldChar w:fldCharType="separate"/>
        </w:r>
        <w:r>
          <w:rPr>
            <w:noProof/>
            <w:webHidden/>
          </w:rPr>
          <w:t>117</w:t>
        </w:r>
        <w:r>
          <w:rPr>
            <w:noProof/>
            <w:webHidden/>
          </w:rPr>
          <w:fldChar w:fldCharType="end"/>
        </w:r>
      </w:hyperlink>
    </w:p>
    <w:p w:rsidR="00E62976" w:rsidRDefault="00E62976">
      <w:pPr>
        <w:pStyle w:val="TM1"/>
        <w:tabs>
          <w:tab w:val="right" w:leader="dot" w:pos="9345"/>
        </w:tabs>
        <w:rPr>
          <w:rFonts w:asciiTheme="minorHAnsi" w:eastAsiaTheme="minorEastAsia" w:hAnsiTheme="minorHAnsi" w:cstheme="minorBidi"/>
          <w:bCs w:val="0"/>
          <w:iCs w:val="0"/>
          <w:noProof/>
          <w:sz w:val="22"/>
          <w:szCs w:val="22"/>
        </w:rPr>
      </w:pPr>
      <w:hyperlink w:anchor="_Toc473303596" w:history="1">
        <w:r w:rsidRPr="00B20874">
          <w:rPr>
            <w:rStyle w:val="Lienhypertexte"/>
            <w:noProof/>
            <w:lang w:val="en-GB"/>
          </w:rPr>
          <w:t>8 LIST OF REFERENCES</w:t>
        </w:r>
        <w:r>
          <w:rPr>
            <w:noProof/>
            <w:webHidden/>
          </w:rPr>
          <w:tab/>
        </w:r>
        <w:r>
          <w:rPr>
            <w:noProof/>
            <w:webHidden/>
          </w:rPr>
          <w:fldChar w:fldCharType="begin"/>
        </w:r>
        <w:r>
          <w:rPr>
            <w:noProof/>
            <w:webHidden/>
          </w:rPr>
          <w:instrText xml:space="preserve"> PAGEREF _Toc473303596 \h </w:instrText>
        </w:r>
        <w:r>
          <w:rPr>
            <w:noProof/>
            <w:webHidden/>
          </w:rPr>
        </w:r>
        <w:r>
          <w:rPr>
            <w:noProof/>
            <w:webHidden/>
          </w:rPr>
          <w:fldChar w:fldCharType="separate"/>
        </w:r>
        <w:r>
          <w:rPr>
            <w:noProof/>
            <w:webHidden/>
          </w:rPr>
          <w:t>123</w:t>
        </w:r>
        <w:r>
          <w:rPr>
            <w:noProof/>
            <w:webHidden/>
          </w:rPr>
          <w:fldChar w:fldCharType="end"/>
        </w:r>
      </w:hyperlink>
    </w:p>
    <w:p w:rsidR="00C95958" w:rsidRDefault="009803F6" w:rsidP="009A1C44">
      <w:pPr>
        <w:rPr>
          <w:rFonts w:ascii="Arial" w:hAnsi="Arial" w:cs="Arial"/>
          <w:bCs/>
          <w:i/>
          <w:caps/>
          <w:sz w:val="24"/>
          <w:lang w:val="en-GB"/>
        </w:rPr>
      </w:pPr>
      <w:r>
        <w:rPr>
          <w:rFonts w:ascii="Arial" w:hAnsi="Arial" w:cs="Arial"/>
          <w:bCs/>
          <w:i/>
          <w:caps/>
          <w:sz w:val="24"/>
          <w:lang w:val="en-GB"/>
        </w:rPr>
        <w:fldChar w:fldCharType="end"/>
      </w:r>
      <w:r w:rsidR="00C95958">
        <w:rPr>
          <w:rFonts w:ascii="Arial" w:hAnsi="Arial" w:cs="Arial"/>
          <w:bCs/>
          <w:i/>
          <w:caps/>
          <w:sz w:val="24"/>
          <w:lang w:val="en-GB"/>
        </w:rPr>
        <w:br w:type="page"/>
      </w:r>
    </w:p>
    <w:p w:rsidR="00B00D17" w:rsidRPr="00B00D17" w:rsidRDefault="00B00D17" w:rsidP="0027152C">
      <w:pPr>
        <w:spacing w:line="240" w:lineRule="auto"/>
        <w:rPr>
          <w:lang w:val="en-GB"/>
        </w:rPr>
      </w:pPr>
    </w:p>
    <w:p w:rsidR="009A1C44" w:rsidRPr="00E20701" w:rsidRDefault="009A1C44" w:rsidP="0027152C">
      <w:pPr>
        <w:pStyle w:val="Titre1"/>
        <w:numPr>
          <w:ilvl w:val="0"/>
          <w:numId w:val="0"/>
        </w:numPr>
        <w:spacing w:before="0"/>
        <w:rPr>
          <w:lang w:val="en-GB"/>
        </w:rPr>
      </w:pPr>
      <w:bookmarkStart w:id="7" w:name="_Toc274673961"/>
      <w:bookmarkStart w:id="8" w:name="_Toc473303540"/>
      <w:r w:rsidRPr="00E20701">
        <w:rPr>
          <w:lang w:val="en-GB"/>
        </w:rPr>
        <w:t>GLOSSARY</w:t>
      </w:r>
      <w:bookmarkEnd w:id="7"/>
      <w:bookmarkEnd w:id="8"/>
    </w:p>
    <w:p w:rsidR="009A1C44" w:rsidRPr="00E20701" w:rsidRDefault="009A1C44" w:rsidP="0027152C">
      <w:pPr>
        <w:keepNext/>
        <w:rPr>
          <w:lang w:val="en-GB"/>
        </w:rPr>
      </w:pPr>
    </w:p>
    <w:p w:rsidR="00E33FCF" w:rsidRPr="00E20701" w:rsidRDefault="00E33FCF" w:rsidP="0027152C">
      <w:pPr>
        <w:keepNext/>
        <w:rPr>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6254"/>
      </w:tblGrid>
      <w:tr w:rsidR="008B3002" w:rsidRPr="00E20701" w:rsidTr="009A1C44">
        <w:tc>
          <w:tcPr>
            <w:tcW w:w="2160" w:type="dxa"/>
          </w:tcPr>
          <w:p w:rsidR="008B3002" w:rsidRPr="00E20701" w:rsidRDefault="008B3002" w:rsidP="0027152C">
            <w:pPr>
              <w:keepNext/>
              <w:rPr>
                <w:lang w:val="en-GB"/>
              </w:rPr>
            </w:pPr>
            <w:r>
              <w:rPr>
                <w:lang w:val="en-GB"/>
              </w:rPr>
              <w:t>AOO</w:t>
            </w:r>
          </w:p>
        </w:tc>
        <w:tc>
          <w:tcPr>
            <w:tcW w:w="6254" w:type="dxa"/>
          </w:tcPr>
          <w:p w:rsidR="00D1419B" w:rsidRPr="00E20701" w:rsidRDefault="008B3002" w:rsidP="0027152C">
            <w:pPr>
              <w:keepNext/>
              <w:rPr>
                <w:lang w:val="en-GB"/>
              </w:rPr>
            </w:pPr>
            <w:r>
              <w:rPr>
                <w:lang w:val="en-GB"/>
              </w:rPr>
              <w:t>Anticipated Operational Occurrence</w:t>
            </w:r>
          </w:p>
        </w:tc>
      </w:tr>
      <w:tr w:rsidR="008B3002" w:rsidRPr="00E20701" w:rsidTr="009A1C44">
        <w:tc>
          <w:tcPr>
            <w:tcW w:w="2160" w:type="dxa"/>
          </w:tcPr>
          <w:p w:rsidR="008B3002" w:rsidRPr="00E20701" w:rsidRDefault="008B3002" w:rsidP="006E3870">
            <w:pPr>
              <w:rPr>
                <w:lang w:val="en-GB"/>
              </w:rPr>
            </w:pPr>
            <w:r>
              <w:rPr>
                <w:lang w:val="en-GB"/>
              </w:rPr>
              <w:t>BDBA</w:t>
            </w:r>
          </w:p>
        </w:tc>
        <w:tc>
          <w:tcPr>
            <w:tcW w:w="6254" w:type="dxa"/>
          </w:tcPr>
          <w:p w:rsidR="008B3002" w:rsidRPr="00E20701" w:rsidRDefault="008B3002" w:rsidP="009A1C44">
            <w:pPr>
              <w:rPr>
                <w:lang w:val="en-GB"/>
              </w:rPr>
            </w:pPr>
            <w:r>
              <w:rPr>
                <w:lang w:val="en-GB"/>
              </w:rPr>
              <w:t>Beyond Design Basis Accident</w:t>
            </w:r>
          </w:p>
        </w:tc>
      </w:tr>
      <w:tr w:rsidR="008B3002" w:rsidRPr="00E20701" w:rsidTr="009A1C44">
        <w:tc>
          <w:tcPr>
            <w:tcW w:w="2160" w:type="dxa"/>
          </w:tcPr>
          <w:p w:rsidR="008B3002" w:rsidRDefault="008B3002" w:rsidP="006E3870">
            <w:pPr>
              <w:rPr>
                <w:lang w:val="en-GB"/>
              </w:rPr>
            </w:pPr>
            <w:r>
              <w:rPr>
                <w:lang w:val="en-GB"/>
              </w:rPr>
              <w:t>BWR</w:t>
            </w:r>
          </w:p>
        </w:tc>
        <w:tc>
          <w:tcPr>
            <w:tcW w:w="6254" w:type="dxa"/>
          </w:tcPr>
          <w:p w:rsidR="008B3002" w:rsidRDefault="008B3002" w:rsidP="008B3002">
            <w:pPr>
              <w:rPr>
                <w:lang w:val="en-GB"/>
              </w:rPr>
            </w:pPr>
            <w:r>
              <w:rPr>
                <w:lang w:val="en-GB"/>
              </w:rPr>
              <w:t>Boiling Water Reactor</w:t>
            </w:r>
          </w:p>
        </w:tc>
      </w:tr>
      <w:tr w:rsidR="00A72107" w:rsidRPr="00E20701" w:rsidTr="009A1C44">
        <w:tc>
          <w:tcPr>
            <w:tcW w:w="2160" w:type="dxa"/>
          </w:tcPr>
          <w:p w:rsidR="00A72107" w:rsidRDefault="00A72107" w:rsidP="006E3870">
            <w:pPr>
              <w:rPr>
                <w:lang w:val="en-GB"/>
              </w:rPr>
            </w:pPr>
            <w:r>
              <w:rPr>
                <w:lang w:val="en-GB"/>
              </w:rPr>
              <w:t>CCFF</w:t>
            </w:r>
          </w:p>
        </w:tc>
        <w:tc>
          <w:tcPr>
            <w:tcW w:w="6254" w:type="dxa"/>
          </w:tcPr>
          <w:p w:rsidR="00A72107" w:rsidRDefault="00A72107" w:rsidP="008B3002">
            <w:pPr>
              <w:rPr>
                <w:lang w:val="en-GB"/>
              </w:rPr>
            </w:pPr>
            <w:r>
              <w:rPr>
                <w:lang w:val="en-GB"/>
              </w:rPr>
              <w:t xml:space="preserve">Conditional </w:t>
            </w:r>
            <w:r w:rsidRPr="005565A6">
              <w:rPr>
                <w:lang w:val="en-GB"/>
              </w:rPr>
              <w:t>Containment Failure Frequency</w:t>
            </w:r>
          </w:p>
        </w:tc>
      </w:tr>
      <w:tr w:rsidR="004A48F9" w:rsidRPr="00E20701" w:rsidTr="00D35113">
        <w:tc>
          <w:tcPr>
            <w:tcW w:w="2160" w:type="dxa"/>
          </w:tcPr>
          <w:p w:rsidR="004A48F9" w:rsidRPr="00E20701" w:rsidRDefault="004A48F9" w:rsidP="00D35113">
            <w:pPr>
              <w:rPr>
                <w:lang w:val="en-GB"/>
              </w:rPr>
            </w:pPr>
            <w:r>
              <w:rPr>
                <w:lang w:val="en-GB"/>
              </w:rPr>
              <w:t>CDF</w:t>
            </w:r>
          </w:p>
        </w:tc>
        <w:tc>
          <w:tcPr>
            <w:tcW w:w="6254" w:type="dxa"/>
          </w:tcPr>
          <w:p w:rsidR="004A48F9" w:rsidRPr="00E20701" w:rsidRDefault="004A48F9" w:rsidP="00D35113">
            <w:pPr>
              <w:rPr>
                <w:lang w:val="en-GB"/>
              </w:rPr>
            </w:pPr>
            <w:r>
              <w:rPr>
                <w:lang w:val="en-GB"/>
              </w:rPr>
              <w:t>Core Damage Frequency</w:t>
            </w:r>
          </w:p>
        </w:tc>
      </w:tr>
      <w:tr w:rsidR="00EC23D8" w:rsidRPr="00E20701" w:rsidTr="00C52003">
        <w:tc>
          <w:tcPr>
            <w:tcW w:w="2160" w:type="dxa"/>
          </w:tcPr>
          <w:p w:rsidR="00EC23D8" w:rsidRDefault="00EC23D8" w:rsidP="00C52003">
            <w:pPr>
              <w:rPr>
                <w:lang w:val="en-GB"/>
              </w:rPr>
            </w:pPr>
            <w:r>
              <w:rPr>
                <w:lang w:val="en-GB"/>
              </w:rPr>
              <w:t>CERP</w:t>
            </w:r>
          </w:p>
        </w:tc>
        <w:tc>
          <w:tcPr>
            <w:tcW w:w="6254" w:type="dxa"/>
          </w:tcPr>
          <w:p w:rsidR="00EC23D8" w:rsidRPr="00EC23D8" w:rsidRDefault="00EC23D8" w:rsidP="00C52003">
            <w:pPr>
              <w:rPr>
                <w:lang w:val="en-GB"/>
              </w:rPr>
            </w:pPr>
            <w:r w:rsidRPr="00EC23D8">
              <w:rPr>
                <w:lang w:val="en-GB"/>
              </w:rPr>
              <w:t>Conditional Early Release Probability</w:t>
            </w:r>
          </w:p>
        </w:tc>
      </w:tr>
      <w:tr w:rsidR="00EC23D8" w:rsidRPr="00E20701" w:rsidTr="00C52003">
        <w:tc>
          <w:tcPr>
            <w:tcW w:w="2160" w:type="dxa"/>
          </w:tcPr>
          <w:p w:rsidR="00EC23D8" w:rsidRDefault="00EC23D8" w:rsidP="00C52003">
            <w:pPr>
              <w:rPr>
                <w:lang w:val="en-GB"/>
              </w:rPr>
            </w:pPr>
            <w:r>
              <w:rPr>
                <w:lang w:val="en-GB"/>
              </w:rPr>
              <w:t>CLRP</w:t>
            </w:r>
          </w:p>
        </w:tc>
        <w:tc>
          <w:tcPr>
            <w:tcW w:w="6254" w:type="dxa"/>
          </w:tcPr>
          <w:p w:rsidR="00EC23D8" w:rsidRDefault="00EC23D8" w:rsidP="00EC23D8">
            <w:pPr>
              <w:rPr>
                <w:lang w:val="en-GB"/>
              </w:rPr>
            </w:pPr>
            <w:r>
              <w:rPr>
                <w:lang w:val="en-GB"/>
              </w:rPr>
              <w:t>C</w:t>
            </w:r>
            <w:r w:rsidRPr="00EC23D8">
              <w:rPr>
                <w:lang w:val="en-GB"/>
              </w:rPr>
              <w:t xml:space="preserve">onditional </w:t>
            </w:r>
            <w:r>
              <w:rPr>
                <w:lang w:val="en-GB"/>
              </w:rPr>
              <w:t>L</w:t>
            </w:r>
            <w:r w:rsidRPr="00EC23D8">
              <w:rPr>
                <w:lang w:val="en-GB"/>
              </w:rPr>
              <w:t xml:space="preserve">arge </w:t>
            </w:r>
            <w:r>
              <w:rPr>
                <w:lang w:val="en-GB"/>
              </w:rPr>
              <w:t>R</w:t>
            </w:r>
            <w:r w:rsidRPr="00EC23D8">
              <w:rPr>
                <w:lang w:val="en-GB"/>
              </w:rPr>
              <w:t xml:space="preserve">elease </w:t>
            </w:r>
            <w:r>
              <w:rPr>
                <w:lang w:val="en-GB"/>
              </w:rPr>
              <w:t>P</w:t>
            </w:r>
            <w:r w:rsidRPr="00EC23D8">
              <w:rPr>
                <w:lang w:val="en-GB"/>
              </w:rPr>
              <w:t>robability</w:t>
            </w:r>
          </w:p>
        </w:tc>
      </w:tr>
      <w:tr w:rsidR="00D1419B" w:rsidRPr="00E20701" w:rsidTr="00C52003">
        <w:tc>
          <w:tcPr>
            <w:tcW w:w="2160" w:type="dxa"/>
          </w:tcPr>
          <w:p w:rsidR="00D1419B" w:rsidRDefault="00D1419B" w:rsidP="00C52003">
            <w:pPr>
              <w:rPr>
                <w:lang w:val="en-GB"/>
              </w:rPr>
            </w:pPr>
            <w:r>
              <w:rPr>
                <w:lang w:val="en-GB"/>
              </w:rPr>
              <w:t>DB</w:t>
            </w:r>
          </w:p>
        </w:tc>
        <w:tc>
          <w:tcPr>
            <w:tcW w:w="6254" w:type="dxa"/>
          </w:tcPr>
          <w:p w:rsidR="00D1419B" w:rsidRDefault="00D1419B" w:rsidP="00C52003">
            <w:pPr>
              <w:rPr>
                <w:lang w:val="en-GB"/>
              </w:rPr>
            </w:pPr>
            <w:r>
              <w:rPr>
                <w:lang w:val="en-GB"/>
              </w:rPr>
              <w:t>Design Basis</w:t>
            </w:r>
          </w:p>
        </w:tc>
      </w:tr>
      <w:tr w:rsidR="00A72107" w:rsidRPr="00E20701" w:rsidTr="009A1C44">
        <w:tc>
          <w:tcPr>
            <w:tcW w:w="2160" w:type="dxa"/>
          </w:tcPr>
          <w:p w:rsidR="00A72107" w:rsidRPr="00E20701" w:rsidRDefault="00A72107" w:rsidP="006E3870">
            <w:pPr>
              <w:rPr>
                <w:lang w:val="en-GB"/>
              </w:rPr>
            </w:pPr>
            <w:r w:rsidRPr="00E20701">
              <w:rPr>
                <w:lang w:val="en-GB"/>
              </w:rPr>
              <w:t>DBA</w:t>
            </w:r>
          </w:p>
        </w:tc>
        <w:tc>
          <w:tcPr>
            <w:tcW w:w="6254" w:type="dxa"/>
          </w:tcPr>
          <w:p w:rsidR="00A72107" w:rsidRPr="00E20701" w:rsidRDefault="00A72107" w:rsidP="008B3002">
            <w:pPr>
              <w:rPr>
                <w:lang w:val="en-GB"/>
              </w:rPr>
            </w:pPr>
            <w:r w:rsidRPr="00E20701">
              <w:rPr>
                <w:lang w:val="en-GB"/>
              </w:rPr>
              <w:t xml:space="preserve">Design </w:t>
            </w:r>
            <w:r>
              <w:rPr>
                <w:lang w:val="en-GB"/>
              </w:rPr>
              <w:t>B</w:t>
            </w:r>
            <w:r w:rsidRPr="00E20701">
              <w:rPr>
                <w:lang w:val="en-GB"/>
              </w:rPr>
              <w:t xml:space="preserve">asis </w:t>
            </w:r>
            <w:r>
              <w:rPr>
                <w:lang w:val="en-GB"/>
              </w:rPr>
              <w:t>A</w:t>
            </w:r>
            <w:r w:rsidRPr="00E20701">
              <w:rPr>
                <w:lang w:val="en-GB"/>
              </w:rPr>
              <w:t>ccident</w:t>
            </w:r>
          </w:p>
        </w:tc>
      </w:tr>
      <w:tr w:rsidR="00A72107" w:rsidRPr="00E20701" w:rsidTr="009A1C44">
        <w:tc>
          <w:tcPr>
            <w:tcW w:w="2160" w:type="dxa"/>
          </w:tcPr>
          <w:p w:rsidR="00A72107" w:rsidRPr="00E20701" w:rsidRDefault="00A72107" w:rsidP="006E3870">
            <w:pPr>
              <w:rPr>
                <w:lang w:val="en-GB"/>
              </w:rPr>
            </w:pPr>
            <w:r w:rsidRPr="001928BF">
              <w:rPr>
                <w:lang w:val="en-GB"/>
              </w:rPr>
              <w:t>DBE</w:t>
            </w:r>
          </w:p>
        </w:tc>
        <w:tc>
          <w:tcPr>
            <w:tcW w:w="6254" w:type="dxa"/>
          </w:tcPr>
          <w:p w:rsidR="00A72107" w:rsidRPr="00E20701" w:rsidRDefault="00A72107" w:rsidP="008B3002">
            <w:pPr>
              <w:rPr>
                <w:lang w:val="en-GB"/>
              </w:rPr>
            </w:pPr>
            <w:r>
              <w:rPr>
                <w:lang w:val="en-GB"/>
              </w:rPr>
              <w:t>D</w:t>
            </w:r>
            <w:r w:rsidRPr="001928BF">
              <w:rPr>
                <w:lang w:val="en-GB"/>
              </w:rPr>
              <w:t xml:space="preserve">esign </w:t>
            </w:r>
            <w:r>
              <w:rPr>
                <w:lang w:val="en-GB"/>
              </w:rPr>
              <w:t>B</w:t>
            </w:r>
            <w:r w:rsidRPr="001928BF">
              <w:rPr>
                <w:lang w:val="en-GB"/>
              </w:rPr>
              <w:t xml:space="preserve">asis </w:t>
            </w:r>
            <w:r>
              <w:rPr>
                <w:lang w:val="en-GB"/>
              </w:rPr>
              <w:t>E</w:t>
            </w:r>
            <w:r w:rsidRPr="001928BF">
              <w:rPr>
                <w:lang w:val="en-GB"/>
              </w:rPr>
              <w:t>arthquake</w:t>
            </w:r>
          </w:p>
        </w:tc>
      </w:tr>
      <w:tr w:rsidR="00A72107" w:rsidRPr="00E20701" w:rsidTr="009A1C44">
        <w:tc>
          <w:tcPr>
            <w:tcW w:w="2160" w:type="dxa"/>
          </w:tcPr>
          <w:p w:rsidR="00A72107" w:rsidRPr="00E20701" w:rsidRDefault="00A72107" w:rsidP="005A599B">
            <w:pPr>
              <w:rPr>
                <w:lang w:val="en-GB"/>
              </w:rPr>
            </w:pPr>
            <w:r>
              <w:rPr>
                <w:lang w:val="en-GB"/>
              </w:rPr>
              <w:t>DEC</w:t>
            </w:r>
          </w:p>
        </w:tc>
        <w:tc>
          <w:tcPr>
            <w:tcW w:w="6254" w:type="dxa"/>
          </w:tcPr>
          <w:p w:rsidR="00A72107" w:rsidRPr="00E20701" w:rsidRDefault="00A72107" w:rsidP="005A599B">
            <w:pPr>
              <w:rPr>
                <w:lang w:val="en-GB"/>
              </w:rPr>
            </w:pPr>
            <w:r>
              <w:rPr>
                <w:lang w:val="en-GB"/>
              </w:rPr>
              <w:t>Design Extension Condition</w:t>
            </w:r>
          </w:p>
        </w:tc>
      </w:tr>
      <w:tr w:rsidR="00A72107" w:rsidRPr="00E20701" w:rsidTr="009A1C44">
        <w:tc>
          <w:tcPr>
            <w:tcW w:w="2160" w:type="dxa"/>
          </w:tcPr>
          <w:p w:rsidR="00A72107" w:rsidRPr="00E20701" w:rsidRDefault="00A72107" w:rsidP="005A599B">
            <w:pPr>
              <w:rPr>
                <w:lang w:val="en-GB"/>
              </w:rPr>
            </w:pPr>
            <w:r w:rsidRPr="00E20701">
              <w:rPr>
                <w:lang w:val="en-GB"/>
              </w:rPr>
              <w:t>DiD</w:t>
            </w:r>
          </w:p>
        </w:tc>
        <w:tc>
          <w:tcPr>
            <w:tcW w:w="6254" w:type="dxa"/>
          </w:tcPr>
          <w:p w:rsidR="00A72107" w:rsidRPr="00E20701" w:rsidRDefault="0027255B" w:rsidP="005A599B">
            <w:pPr>
              <w:rPr>
                <w:lang w:val="en-GB"/>
              </w:rPr>
            </w:pPr>
            <w:r w:rsidRPr="00E20701">
              <w:rPr>
                <w:lang w:val="en-GB"/>
              </w:rPr>
              <w:t>Defence</w:t>
            </w:r>
            <w:r w:rsidR="00A72107" w:rsidRPr="00E20701">
              <w:rPr>
                <w:lang w:val="en-GB"/>
              </w:rPr>
              <w:t xml:space="preserve"> in </w:t>
            </w:r>
            <w:r w:rsidR="00A72107">
              <w:rPr>
                <w:lang w:val="en-GB"/>
              </w:rPr>
              <w:t>D</w:t>
            </w:r>
            <w:r w:rsidR="00A72107" w:rsidRPr="00E20701">
              <w:rPr>
                <w:lang w:val="en-GB"/>
              </w:rPr>
              <w:t>epth</w:t>
            </w:r>
          </w:p>
        </w:tc>
      </w:tr>
      <w:tr w:rsidR="002D22CF" w:rsidRPr="00E20701" w:rsidTr="009A1C44">
        <w:tc>
          <w:tcPr>
            <w:tcW w:w="2160" w:type="dxa"/>
          </w:tcPr>
          <w:p w:rsidR="002D22CF" w:rsidRDefault="002D22CF" w:rsidP="005A599B">
            <w:pPr>
              <w:rPr>
                <w:lang w:val="en-GB"/>
              </w:rPr>
            </w:pPr>
            <w:r>
              <w:rPr>
                <w:lang w:val="en-GB"/>
              </w:rPr>
              <w:t>DOE</w:t>
            </w:r>
          </w:p>
        </w:tc>
        <w:tc>
          <w:tcPr>
            <w:tcW w:w="6254" w:type="dxa"/>
          </w:tcPr>
          <w:p w:rsidR="002D22CF" w:rsidRDefault="002D22CF" w:rsidP="003E7CA8">
            <w:pPr>
              <w:rPr>
                <w:lang w:val="en-GB"/>
              </w:rPr>
            </w:pPr>
            <w:r>
              <w:rPr>
                <w:lang w:val="en-GB"/>
              </w:rPr>
              <w:t>Department of Energy</w:t>
            </w:r>
          </w:p>
        </w:tc>
      </w:tr>
      <w:tr w:rsidR="00A72107" w:rsidRPr="00E20701" w:rsidTr="009A1C44">
        <w:tc>
          <w:tcPr>
            <w:tcW w:w="2160" w:type="dxa"/>
          </w:tcPr>
          <w:p w:rsidR="00A72107" w:rsidRDefault="00A72107" w:rsidP="005A599B">
            <w:pPr>
              <w:rPr>
                <w:lang w:val="en-GB"/>
              </w:rPr>
            </w:pPr>
            <w:r>
              <w:rPr>
                <w:lang w:val="en-GB"/>
              </w:rPr>
              <w:t>DSA</w:t>
            </w:r>
          </w:p>
        </w:tc>
        <w:tc>
          <w:tcPr>
            <w:tcW w:w="6254" w:type="dxa"/>
          </w:tcPr>
          <w:p w:rsidR="00A72107" w:rsidRDefault="00A72107" w:rsidP="003E7CA8">
            <w:pPr>
              <w:rPr>
                <w:lang w:val="en-GB"/>
              </w:rPr>
            </w:pPr>
            <w:r>
              <w:rPr>
                <w:lang w:val="en-GB"/>
              </w:rPr>
              <w:t>Deterministic Safety Assessment</w:t>
            </w:r>
          </w:p>
        </w:tc>
      </w:tr>
      <w:tr w:rsidR="00A72107" w:rsidRPr="00E20701" w:rsidTr="009A1C44">
        <w:tc>
          <w:tcPr>
            <w:tcW w:w="2160" w:type="dxa"/>
          </w:tcPr>
          <w:p w:rsidR="00A72107" w:rsidRDefault="00A72107" w:rsidP="005A599B">
            <w:pPr>
              <w:rPr>
                <w:lang w:val="en-GB"/>
              </w:rPr>
            </w:pPr>
            <w:r>
              <w:rPr>
                <w:lang w:val="en-GB"/>
              </w:rPr>
              <w:t>ERF</w:t>
            </w:r>
          </w:p>
        </w:tc>
        <w:tc>
          <w:tcPr>
            <w:tcW w:w="6254" w:type="dxa"/>
          </w:tcPr>
          <w:p w:rsidR="00A72107" w:rsidRDefault="00A72107" w:rsidP="003E7CA8">
            <w:pPr>
              <w:rPr>
                <w:lang w:val="en-GB"/>
              </w:rPr>
            </w:pPr>
            <w:r>
              <w:rPr>
                <w:lang w:val="en-GB"/>
              </w:rPr>
              <w:t>Early Release Frequency</w:t>
            </w:r>
          </w:p>
        </w:tc>
      </w:tr>
      <w:tr w:rsidR="00A72107" w:rsidRPr="00E20701" w:rsidTr="009A1C44">
        <w:tc>
          <w:tcPr>
            <w:tcW w:w="2160" w:type="dxa"/>
          </w:tcPr>
          <w:p w:rsidR="00A72107" w:rsidRDefault="00A72107" w:rsidP="005A599B">
            <w:pPr>
              <w:rPr>
                <w:lang w:val="en-GB"/>
              </w:rPr>
            </w:pPr>
            <w:r>
              <w:rPr>
                <w:lang w:val="en-GB"/>
              </w:rPr>
              <w:t>FDF</w:t>
            </w:r>
          </w:p>
        </w:tc>
        <w:tc>
          <w:tcPr>
            <w:tcW w:w="6254" w:type="dxa"/>
          </w:tcPr>
          <w:p w:rsidR="00A72107" w:rsidRDefault="00A72107" w:rsidP="003E7CA8">
            <w:pPr>
              <w:rPr>
                <w:lang w:val="en-GB"/>
              </w:rPr>
            </w:pPr>
            <w:r>
              <w:rPr>
                <w:lang w:val="en-GB"/>
              </w:rPr>
              <w:t>Fuel Damage Frequency</w:t>
            </w:r>
          </w:p>
        </w:tc>
      </w:tr>
      <w:tr w:rsidR="00A72107" w:rsidRPr="00E20701" w:rsidTr="009A1C44">
        <w:tc>
          <w:tcPr>
            <w:tcW w:w="2160" w:type="dxa"/>
          </w:tcPr>
          <w:p w:rsidR="00A72107" w:rsidRDefault="00A72107" w:rsidP="005A599B">
            <w:pPr>
              <w:rPr>
                <w:lang w:val="en-GB"/>
              </w:rPr>
            </w:pPr>
            <w:r>
              <w:rPr>
                <w:lang w:val="en-GB"/>
              </w:rPr>
              <w:t>FMEA</w:t>
            </w:r>
          </w:p>
        </w:tc>
        <w:tc>
          <w:tcPr>
            <w:tcW w:w="6254" w:type="dxa"/>
          </w:tcPr>
          <w:p w:rsidR="00A72107" w:rsidRDefault="00A72107" w:rsidP="003E7CA8">
            <w:pPr>
              <w:rPr>
                <w:lang w:val="en-GB"/>
              </w:rPr>
            </w:pPr>
            <w:r>
              <w:rPr>
                <w:lang w:val="en-GB"/>
              </w:rPr>
              <w:t>Failure Mode and Effect Analysis</w:t>
            </w:r>
          </w:p>
        </w:tc>
      </w:tr>
      <w:tr w:rsidR="00A72107" w:rsidRPr="00E20701" w:rsidTr="009A1C44">
        <w:tc>
          <w:tcPr>
            <w:tcW w:w="2160" w:type="dxa"/>
          </w:tcPr>
          <w:p w:rsidR="00A72107" w:rsidRDefault="00A72107" w:rsidP="005A599B">
            <w:pPr>
              <w:rPr>
                <w:lang w:val="en-GB"/>
              </w:rPr>
            </w:pPr>
            <w:r>
              <w:rPr>
                <w:lang w:val="en-GB"/>
              </w:rPr>
              <w:t>HVAC</w:t>
            </w:r>
          </w:p>
        </w:tc>
        <w:tc>
          <w:tcPr>
            <w:tcW w:w="6254" w:type="dxa"/>
          </w:tcPr>
          <w:p w:rsidR="00A72107" w:rsidRDefault="00A72107" w:rsidP="003E7CA8">
            <w:pPr>
              <w:rPr>
                <w:lang w:val="en-GB"/>
              </w:rPr>
            </w:pPr>
            <w:r w:rsidRPr="003809C9">
              <w:rPr>
                <w:lang w:val="en-GB"/>
              </w:rPr>
              <w:t>Heating, Ventilation, Air Conditioning</w:t>
            </w:r>
          </w:p>
        </w:tc>
      </w:tr>
      <w:tr w:rsidR="00A72107" w:rsidRPr="00E20701" w:rsidTr="009A1C44">
        <w:tc>
          <w:tcPr>
            <w:tcW w:w="2160" w:type="dxa"/>
          </w:tcPr>
          <w:p w:rsidR="00A72107" w:rsidRPr="00E20701" w:rsidRDefault="00A72107" w:rsidP="005A599B">
            <w:pPr>
              <w:rPr>
                <w:lang w:val="en-GB"/>
              </w:rPr>
            </w:pPr>
            <w:r>
              <w:rPr>
                <w:lang w:val="en-GB"/>
              </w:rPr>
              <w:t>I&amp;C</w:t>
            </w:r>
          </w:p>
        </w:tc>
        <w:tc>
          <w:tcPr>
            <w:tcW w:w="6254" w:type="dxa"/>
          </w:tcPr>
          <w:p w:rsidR="00A72107" w:rsidRPr="00E20701" w:rsidRDefault="00A72107" w:rsidP="003E7CA8">
            <w:pPr>
              <w:rPr>
                <w:lang w:val="en-GB"/>
              </w:rPr>
            </w:pPr>
            <w:r>
              <w:rPr>
                <w:lang w:val="en-GB"/>
              </w:rPr>
              <w:t>Instrumentation and Control</w:t>
            </w:r>
          </w:p>
        </w:tc>
      </w:tr>
      <w:tr w:rsidR="00273113" w:rsidRPr="00E20701" w:rsidTr="009A1C44">
        <w:tc>
          <w:tcPr>
            <w:tcW w:w="2160" w:type="dxa"/>
          </w:tcPr>
          <w:p w:rsidR="00273113" w:rsidRDefault="00273113" w:rsidP="005A599B">
            <w:pPr>
              <w:rPr>
                <w:lang w:val="en-GB"/>
              </w:rPr>
            </w:pPr>
            <w:r>
              <w:rPr>
                <w:lang w:val="en-GB"/>
              </w:rPr>
              <w:t>IAEA</w:t>
            </w:r>
          </w:p>
        </w:tc>
        <w:tc>
          <w:tcPr>
            <w:tcW w:w="6254" w:type="dxa"/>
          </w:tcPr>
          <w:p w:rsidR="00273113" w:rsidRDefault="00273113" w:rsidP="003E7CA8">
            <w:pPr>
              <w:rPr>
                <w:lang w:val="en-GB"/>
              </w:rPr>
            </w:pPr>
            <w:r>
              <w:rPr>
                <w:lang w:val="en-GB"/>
              </w:rPr>
              <w:t>International Atomic Energy Agency</w:t>
            </w:r>
          </w:p>
        </w:tc>
      </w:tr>
      <w:tr w:rsidR="00273113" w:rsidRPr="00E20701" w:rsidTr="009A1C44">
        <w:tc>
          <w:tcPr>
            <w:tcW w:w="2160" w:type="dxa"/>
          </w:tcPr>
          <w:p w:rsidR="00273113" w:rsidRPr="00E20701" w:rsidRDefault="00273113" w:rsidP="005A599B">
            <w:pPr>
              <w:rPr>
                <w:lang w:val="en-GB"/>
              </w:rPr>
            </w:pPr>
            <w:r>
              <w:rPr>
                <w:lang w:val="en-GB"/>
              </w:rPr>
              <w:t>IE</w:t>
            </w:r>
          </w:p>
        </w:tc>
        <w:tc>
          <w:tcPr>
            <w:tcW w:w="6254" w:type="dxa"/>
          </w:tcPr>
          <w:p w:rsidR="00273113" w:rsidRPr="00E20701" w:rsidRDefault="00273113" w:rsidP="003E7CA8">
            <w:pPr>
              <w:rPr>
                <w:lang w:val="en-GB"/>
              </w:rPr>
            </w:pPr>
            <w:r>
              <w:rPr>
                <w:lang w:val="en-GB"/>
              </w:rPr>
              <w:t>Initiating Event</w:t>
            </w:r>
          </w:p>
        </w:tc>
      </w:tr>
      <w:tr w:rsidR="00A72107" w:rsidRPr="00E20701" w:rsidTr="009A1C44">
        <w:tc>
          <w:tcPr>
            <w:tcW w:w="2160" w:type="dxa"/>
          </w:tcPr>
          <w:p w:rsidR="00A72107" w:rsidRPr="00E20701" w:rsidRDefault="00A72107" w:rsidP="005A599B">
            <w:pPr>
              <w:rPr>
                <w:lang w:val="en-GB"/>
              </w:rPr>
            </w:pPr>
            <w:r w:rsidRPr="00E20701">
              <w:rPr>
                <w:lang w:val="en-GB"/>
              </w:rPr>
              <w:t>ISLOCA</w:t>
            </w:r>
          </w:p>
        </w:tc>
        <w:tc>
          <w:tcPr>
            <w:tcW w:w="6254" w:type="dxa"/>
          </w:tcPr>
          <w:p w:rsidR="00A72107" w:rsidRPr="00E20701" w:rsidRDefault="00A72107" w:rsidP="003E7CA8">
            <w:pPr>
              <w:rPr>
                <w:lang w:val="en-GB"/>
              </w:rPr>
            </w:pPr>
            <w:r w:rsidRPr="00E20701">
              <w:rPr>
                <w:lang w:val="en-GB"/>
              </w:rPr>
              <w:t xml:space="preserve">Interfacing </w:t>
            </w:r>
            <w:r>
              <w:rPr>
                <w:lang w:val="en-GB"/>
              </w:rPr>
              <w:t>S</w:t>
            </w:r>
            <w:r w:rsidRPr="00E20701">
              <w:rPr>
                <w:lang w:val="en-GB"/>
              </w:rPr>
              <w:t>ystem LOCA</w:t>
            </w:r>
          </w:p>
        </w:tc>
      </w:tr>
      <w:tr w:rsidR="00A72107" w:rsidRPr="00E20701" w:rsidTr="009A1C44">
        <w:tc>
          <w:tcPr>
            <w:tcW w:w="2160" w:type="dxa"/>
          </w:tcPr>
          <w:p w:rsidR="00A72107" w:rsidRPr="00E20701" w:rsidRDefault="00A72107" w:rsidP="005A599B">
            <w:pPr>
              <w:rPr>
                <w:lang w:val="en-GB"/>
              </w:rPr>
            </w:pPr>
            <w:r>
              <w:rPr>
                <w:lang w:val="en-GB"/>
              </w:rPr>
              <w:t>LERF</w:t>
            </w:r>
          </w:p>
        </w:tc>
        <w:tc>
          <w:tcPr>
            <w:tcW w:w="6254" w:type="dxa"/>
          </w:tcPr>
          <w:p w:rsidR="00A72107" w:rsidRPr="00E20701" w:rsidRDefault="00A72107" w:rsidP="003E7CA8">
            <w:pPr>
              <w:rPr>
                <w:lang w:val="en-GB"/>
              </w:rPr>
            </w:pPr>
            <w:r>
              <w:rPr>
                <w:lang w:val="en-GB"/>
              </w:rPr>
              <w:t>Large Early Release Frequency</w:t>
            </w:r>
          </w:p>
        </w:tc>
      </w:tr>
      <w:tr w:rsidR="00273113" w:rsidRPr="00E20701" w:rsidTr="009A1C44">
        <w:tc>
          <w:tcPr>
            <w:tcW w:w="2160" w:type="dxa"/>
          </w:tcPr>
          <w:p w:rsidR="00273113" w:rsidRPr="00E20701" w:rsidRDefault="00273113" w:rsidP="005A599B">
            <w:pPr>
              <w:rPr>
                <w:lang w:val="en-GB"/>
              </w:rPr>
            </w:pPr>
            <w:r>
              <w:rPr>
                <w:lang w:val="en-GB"/>
              </w:rPr>
              <w:t>LRF</w:t>
            </w:r>
          </w:p>
        </w:tc>
        <w:tc>
          <w:tcPr>
            <w:tcW w:w="6254" w:type="dxa"/>
          </w:tcPr>
          <w:p w:rsidR="00273113" w:rsidRPr="00E20701" w:rsidRDefault="00273113" w:rsidP="003E7CA8">
            <w:pPr>
              <w:rPr>
                <w:lang w:val="en-GB"/>
              </w:rPr>
            </w:pPr>
            <w:r>
              <w:rPr>
                <w:lang w:val="en-GB"/>
              </w:rPr>
              <w:t>Large Release Frequency</w:t>
            </w:r>
          </w:p>
        </w:tc>
      </w:tr>
      <w:tr w:rsidR="00A72107" w:rsidRPr="00E20701" w:rsidTr="009A1C44">
        <w:tc>
          <w:tcPr>
            <w:tcW w:w="2160" w:type="dxa"/>
          </w:tcPr>
          <w:p w:rsidR="00A72107" w:rsidRPr="00E20701" w:rsidRDefault="00A72107" w:rsidP="005A599B">
            <w:pPr>
              <w:rPr>
                <w:lang w:val="en-GB"/>
              </w:rPr>
            </w:pPr>
            <w:r w:rsidRPr="00E20701">
              <w:rPr>
                <w:lang w:val="en-GB"/>
              </w:rPr>
              <w:t>LOCA</w:t>
            </w:r>
          </w:p>
        </w:tc>
        <w:tc>
          <w:tcPr>
            <w:tcW w:w="6254" w:type="dxa"/>
          </w:tcPr>
          <w:p w:rsidR="00A72107" w:rsidRPr="00E20701" w:rsidRDefault="00A72107" w:rsidP="003E7CA8">
            <w:pPr>
              <w:rPr>
                <w:lang w:val="en-GB"/>
              </w:rPr>
            </w:pPr>
            <w:r w:rsidRPr="00E20701">
              <w:rPr>
                <w:lang w:val="en-GB"/>
              </w:rPr>
              <w:t>Loss of coolant accident</w:t>
            </w:r>
          </w:p>
        </w:tc>
      </w:tr>
      <w:tr w:rsidR="00DA58B4" w:rsidRPr="00E20701" w:rsidTr="009A1C44">
        <w:tc>
          <w:tcPr>
            <w:tcW w:w="2160" w:type="dxa"/>
          </w:tcPr>
          <w:p w:rsidR="00DA58B4" w:rsidRDefault="00DA58B4" w:rsidP="005A599B">
            <w:pPr>
              <w:rPr>
                <w:lang w:val="en-GB"/>
              </w:rPr>
            </w:pPr>
            <w:r>
              <w:rPr>
                <w:lang w:val="en-GB"/>
              </w:rPr>
              <w:t>LOOP</w:t>
            </w:r>
          </w:p>
        </w:tc>
        <w:tc>
          <w:tcPr>
            <w:tcW w:w="6254" w:type="dxa"/>
          </w:tcPr>
          <w:p w:rsidR="00DA58B4" w:rsidRDefault="00DA58B4" w:rsidP="00DA58B4">
            <w:pPr>
              <w:rPr>
                <w:lang w:val="en-GB"/>
              </w:rPr>
            </w:pPr>
            <w:r>
              <w:rPr>
                <w:lang w:val="en-GB"/>
              </w:rPr>
              <w:t>Loss Of Offsite Power</w:t>
            </w:r>
          </w:p>
        </w:tc>
      </w:tr>
      <w:tr w:rsidR="00A72107" w:rsidRPr="00E20701" w:rsidTr="009A1C44">
        <w:tc>
          <w:tcPr>
            <w:tcW w:w="2160" w:type="dxa"/>
          </w:tcPr>
          <w:p w:rsidR="00A72107" w:rsidRPr="00E20701" w:rsidRDefault="00A72107" w:rsidP="005A599B">
            <w:pPr>
              <w:rPr>
                <w:lang w:val="en-GB"/>
              </w:rPr>
            </w:pPr>
            <w:r>
              <w:rPr>
                <w:lang w:val="en-GB"/>
              </w:rPr>
              <w:t>LRF</w:t>
            </w:r>
          </w:p>
        </w:tc>
        <w:tc>
          <w:tcPr>
            <w:tcW w:w="6254" w:type="dxa"/>
          </w:tcPr>
          <w:p w:rsidR="00A72107" w:rsidRPr="00E20701" w:rsidRDefault="00A72107" w:rsidP="003E7CA8">
            <w:pPr>
              <w:rPr>
                <w:lang w:val="en-GB"/>
              </w:rPr>
            </w:pPr>
            <w:r>
              <w:rPr>
                <w:lang w:val="en-GB"/>
              </w:rPr>
              <w:t>Large Release Frequency</w:t>
            </w:r>
          </w:p>
        </w:tc>
      </w:tr>
      <w:tr w:rsidR="00A72107" w:rsidRPr="00E20701" w:rsidTr="009A1C44">
        <w:tc>
          <w:tcPr>
            <w:tcW w:w="2160" w:type="dxa"/>
          </w:tcPr>
          <w:p w:rsidR="00A72107" w:rsidRPr="00E20701" w:rsidRDefault="00A72107" w:rsidP="005A599B">
            <w:pPr>
              <w:rPr>
                <w:lang w:val="en-GB"/>
              </w:rPr>
            </w:pPr>
            <w:r>
              <w:rPr>
                <w:lang w:val="en-GB"/>
              </w:rPr>
              <w:t>LWR</w:t>
            </w:r>
          </w:p>
        </w:tc>
        <w:tc>
          <w:tcPr>
            <w:tcW w:w="6254" w:type="dxa"/>
          </w:tcPr>
          <w:p w:rsidR="00A72107" w:rsidRPr="00E20701" w:rsidRDefault="00A72107" w:rsidP="005A599B">
            <w:pPr>
              <w:rPr>
                <w:lang w:val="en-GB"/>
              </w:rPr>
            </w:pPr>
            <w:r>
              <w:rPr>
                <w:lang w:val="en-GB"/>
              </w:rPr>
              <w:t>Light Water Reactor</w:t>
            </w:r>
          </w:p>
        </w:tc>
      </w:tr>
      <w:tr w:rsidR="00A72107" w:rsidRPr="00E20701" w:rsidTr="009A1C44">
        <w:tc>
          <w:tcPr>
            <w:tcW w:w="2160" w:type="dxa"/>
          </w:tcPr>
          <w:p w:rsidR="00A72107" w:rsidRPr="00E20701" w:rsidRDefault="00A72107" w:rsidP="005A599B">
            <w:pPr>
              <w:rPr>
                <w:lang w:val="en-GB"/>
              </w:rPr>
            </w:pPr>
            <w:r w:rsidRPr="00E20701">
              <w:rPr>
                <w:lang w:val="en-GB"/>
              </w:rPr>
              <w:t>NPP</w:t>
            </w:r>
          </w:p>
        </w:tc>
        <w:tc>
          <w:tcPr>
            <w:tcW w:w="6254" w:type="dxa"/>
          </w:tcPr>
          <w:p w:rsidR="00A72107" w:rsidRPr="00E20701" w:rsidRDefault="00A72107" w:rsidP="005A599B">
            <w:pPr>
              <w:rPr>
                <w:lang w:val="en-GB"/>
              </w:rPr>
            </w:pPr>
            <w:r w:rsidRPr="00E20701">
              <w:rPr>
                <w:lang w:val="en-GB"/>
              </w:rPr>
              <w:t xml:space="preserve">Nuclear </w:t>
            </w:r>
            <w:r>
              <w:rPr>
                <w:lang w:val="en-GB"/>
              </w:rPr>
              <w:t>P</w:t>
            </w:r>
            <w:r w:rsidRPr="00E20701">
              <w:rPr>
                <w:lang w:val="en-GB"/>
              </w:rPr>
              <w:t xml:space="preserve">ower </w:t>
            </w:r>
            <w:r>
              <w:rPr>
                <w:lang w:val="en-GB"/>
              </w:rPr>
              <w:t>P</w:t>
            </w:r>
            <w:r w:rsidRPr="00E20701">
              <w:rPr>
                <w:lang w:val="en-GB"/>
              </w:rPr>
              <w:t>lant</w:t>
            </w:r>
          </w:p>
        </w:tc>
      </w:tr>
      <w:tr w:rsidR="00A72107" w:rsidRPr="00E20701" w:rsidTr="009A1C44">
        <w:tc>
          <w:tcPr>
            <w:tcW w:w="2160" w:type="dxa"/>
          </w:tcPr>
          <w:p w:rsidR="00A72107" w:rsidRPr="00E20701" w:rsidRDefault="00A72107" w:rsidP="008B3002">
            <w:pPr>
              <w:tabs>
                <w:tab w:val="center" w:pos="972"/>
              </w:tabs>
              <w:rPr>
                <w:lang w:val="en-GB"/>
              </w:rPr>
            </w:pPr>
            <w:r>
              <w:rPr>
                <w:lang w:val="en-GB"/>
              </w:rPr>
              <w:t>PIE</w:t>
            </w:r>
          </w:p>
        </w:tc>
        <w:tc>
          <w:tcPr>
            <w:tcW w:w="6254" w:type="dxa"/>
          </w:tcPr>
          <w:p w:rsidR="00A72107" w:rsidRPr="00E20701" w:rsidRDefault="00A72107" w:rsidP="00CB4302">
            <w:pPr>
              <w:rPr>
                <w:lang w:val="en-GB"/>
              </w:rPr>
            </w:pPr>
            <w:r>
              <w:rPr>
                <w:lang w:val="en-GB"/>
              </w:rPr>
              <w:t>Postulated Initiating Event</w:t>
            </w:r>
          </w:p>
        </w:tc>
      </w:tr>
      <w:tr w:rsidR="00A72107" w:rsidRPr="00E20701" w:rsidTr="009A1C44">
        <w:tc>
          <w:tcPr>
            <w:tcW w:w="2160" w:type="dxa"/>
          </w:tcPr>
          <w:p w:rsidR="00A72107" w:rsidRPr="00E20701" w:rsidRDefault="00A72107" w:rsidP="00C70893">
            <w:pPr>
              <w:tabs>
                <w:tab w:val="center" w:pos="972"/>
              </w:tabs>
              <w:rPr>
                <w:lang w:val="en-GB"/>
              </w:rPr>
            </w:pPr>
            <w:r w:rsidRPr="00E20701">
              <w:rPr>
                <w:lang w:val="en-GB"/>
              </w:rPr>
              <w:t>PRA</w:t>
            </w:r>
          </w:p>
        </w:tc>
        <w:tc>
          <w:tcPr>
            <w:tcW w:w="6254" w:type="dxa"/>
          </w:tcPr>
          <w:p w:rsidR="00A72107" w:rsidRPr="00E20701" w:rsidRDefault="00A72107" w:rsidP="0027255B">
            <w:pPr>
              <w:rPr>
                <w:lang w:val="en-GB"/>
              </w:rPr>
            </w:pPr>
            <w:r w:rsidRPr="00E20701">
              <w:rPr>
                <w:lang w:val="en-GB"/>
              </w:rPr>
              <w:t xml:space="preserve">Probabilistic Risk </w:t>
            </w:r>
            <w:r w:rsidR="0027255B" w:rsidRPr="00E20701">
              <w:rPr>
                <w:lang w:val="en-GB"/>
              </w:rPr>
              <w:t>A</w:t>
            </w:r>
            <w:r w:rsidR="0027255B">
              <w:rPr>
                <w:lang w:val="en-GB"/>
              </w:rPr>
              <w:t>ssessment</w:t>
            </w:r>
          </w:p>
        </w:tc>
      </w:tr>
      <w:tr w:rsidR="00A72107" w:rsidRPr="00304D8A" w:rsidTr="009A1C44">
        <w:tc>
          <w:tcPr>
            <w:tcW w:w="2160" w:type="dxa"/>
          </w:tcPr>
          <w:p w:rsidR="00A72107" w:rsidRPr="00E20701" w:rsidRDefault="00A72107" w:rsidP="005A599B">
            <w:pPr>
              <w:rPr>
                <w:lang w:val="en-GB"/>
              </w:rPr>
            </w:pPr>
            <w:r w:rsidRPr="00E20701">
              <w:rPr>
                <w:lang w:val="en-GB"/>
              </w:rPr>
              <w:t>PSA</w:t>
            </w:r>
          </w:p>
        </w:tc>
        <w:tc>
          <w:tcPr>
            <w:tcW w:w="6254" w:type="dxa"/>
          </w:tcPr>
          <w:p w:rsidR="00A72107" w:rsidRPr="00E20701" w:rsidRDefault="00A72107" w:rsidP="00250367">
            <w:pPr>
              <w:rPr>
                <w:lang w:val="en-GB"/>
              </w:rPr>
            </w:pPr>
            <w:r w:rsidRPr="00E20701">
              <w:rPr>
                <w:lang w:val="en-GB"/>
              </w:rPr>
              <w:t>Probabilistic Safety Analysis</w:t>
            </w:r>
            <w:r>
              <w:rPr>
                <w:lang w:val="en-GB"/>
              </w:rPr>
              <w:t xml:space="preserve"> or </w:t>
            </w:r>
            <w:r w:rsidR="00250367">
              <w:rPr>
                <w:lang w:val="en-GB"/>
              </w:rPr>
              <w:t>P</w:t>
            </w:r>
            <w:r>
              <w:rPr>
                <w:lang w:val="en-GB"/>
              </w:rPr>
              <w:t xml:space="preserve">robabilistic </w:t>
            </w:r>
            <w:r w:rsidR="00250367">
              <w:rPr>
                <w:lang w:val="en-GB"/>
              </w:rPr>
              <w:t>S</w:t>
            </w:r>
            <w:r>
              <w:rPr>
                <w:lang w:val="en-GB"/>
              </w:rPr>
              <w:t xml:space="preserve">afety </w:t>
            </w:r>
            <w:r w:rsidR="00250367">
              <w:rPr>
                <w:lang w:val="en-GB"/>
              </w:rPr>
              <w:t>A</w:t>
            </w:r>
            <w:r>
              <w:rPr>
                <w:lang w:val="en-GB"/>
              </w:rPr>
              <w:t>ssessment</w:t>
            </w:r>
          </w:p>
        </w:tc>
      </w:tr>
      <w:tr w:rsidR="00A72107" w:rsidRPr="00E20701" w:rsidTr="009A1C44">
        <w:tc>
          <w:tcPr>
            <w:tcW w:w="2160" w:type="dxa"/>
          </w:tcPr>
          <w:p w:rsidR="00A72107" w:rsidRPr="00E20701" w:rsidRDefault="00A72107" w:rsidP="005A599B">
            <w:pPr>
              <w:rPr>
                <w:lang w:val="en-GB"/>
              </w:rPr>
            </w:pPr>
            <w:r>
              <w:rPr>
                <w:lang w:val="en-GB"/>
              </w:rPr>
              <w:t>PSR</w:t>
            </w:r>
          </w:p>
        </w:tc>
        <w:tc>
          <w:tcPr>
            <w:tcW w:w="6254" w:type="dxa"/>
          </w:tcPr>
          <w:p w:rsidR="00A72107" w:rsidRPr="00E20701" w:rsidRDefault="00A72107" w:rsidP="005A599B">
            <w:pPr>
              <w:rPr>
                <w:lang w:val="en-GB"/>
              </w:rPr>
            </w:pPr>
            <w:r>
              <w:t>Periodic Safety Review</w:t>
            </w:r>
          </w:p>
        </w:tc>
      </w:tr>
      <w:tr w:rsidR="00A72107" w:rsidRPr="00E20701" w:rsidTr="009A1C44">
        <w:tc>
          <w:tcPr>
            <w:tcW w:w="2160" w:type="dxa"/>
          </w:tcPr>
          <w:p w:rsidR="00A72107" w:rsidRPr="00E20701" w:rsidRDefault="00A72107" w:rsidP="005A599B">
            <w:pPr>
              <w:rPr>
                <w:lang w:val="en-GB"/>
              </w:rPr>
            </w:pPr>
            <w:r>
              <w:rPr>
                <w:lang w:val="en-GB"/>
              </w:rPr>
              <w:t>PWR</w:t>
            </w:r>
          </w:p>
        </w:tc>
        <w:tc>
          <w:tcPr>
            <w:tcW w:w="6254" w:type="dxa"/>
          </w:tcPr>
          <w:p w:rsidR="00A72107" w:rsidRPr="00E20701" w:rsidRDefault="00A72107" w:rsidP="005A599B">
            <w:pPr>
              <w:rPr>
                <w:lang w:val="en-GB"/>
              </w:rPr>
            </w:pPr>
            <w:r>
              <w:rPr>
                <w:lang w:val="en-GB"/>
              </w:rPr>
              <w:t>Pressurized Water Reactor</w:t>
            </w:r>
          </w:p>
        </w:tc>
      </w:tr>
      <w:tr w:rsidR="00A72107" w:rsidRPr="00E20701" w:rsidTr="009A1C44">
        <w:tc>
          <w:tcPr>
            <w:tcW w:w="2160" w:type="dxa"/>
          </w:tcPr>
          <w:p w:rsidR="00A72107" w:rsidRDefault="00A72107" w:rsidP="005A599B">
            <w:pPr>
              <w:rPr>
                <w:lang w:val="en-GB"/>
              </w:rPr>
            </w:pPr>
            <w:r>
              <w:rPr>
                <w:lang w:val="en-GB"/>
              </w:rPr>
              <w:t>RMF</w:t>
            </w:r>
          </w:p>
        </w:tc>
        <w:tc>
          <w:tcPr>
            <w:tcW w:w="6254" w:type="dxa"/>
          </w:tcPr>
          <w:p w:rsidR="00A72107" w:rsidRDefault="00A72107" w:rsidP="00C77430">
            <w:pPr>
              <w:rPr>
                <w:lang w:val="en-GB"/>
              </w:rPr>
            </w:pPr>
            <w:r>
              <w:rPr>
                <w:lang w:val="en-GB"/>
              </w:rPr>
              <w:t>Radionuclide Mobilization Frequency</w:t>
            </w:r>
          </w:p>
        </w:tc>
      </w:tr>
      <w:tr w:rsidR="00F60E9F" w:rsidRPr="00E20701" w:rsidTr="009A1C44">
        <w:tc>
          <w:tcPr>
            <w:tcW w:w="2160" w:type="dxa"/>
          </w:tcPr>
          <w:p w:rsidR="00F60E9F" w:rsidRPr="00E20701" w:rsidRDefault="00F60E9F" w:rsidP="005A599B">
            <w:pPr>
              <w:rPr>
                <w:lang w:val="en-GB"/>
              </w:rPr>
            </w:pPr>
            <w:r>
              <w:rPr>
                <w:lang w:val="en-GB"/>
              </w:rPr>
              <w:t>RMP</w:t>
            </w:r>
          </w:p>
        </w:tc>
        <w:tc>
          <w:tcPr>
            <w:tcW w:w="6254" w:type="dxa"/>
          </w:tcPr>
          <w:p w:rsidR="00F60E9F" w:rsidRPr="00E20701" w:rsidRDefault="00F60E9F" w:rsidP="005A599B">
            <w:pPr>
              <w:rPr>
                <w:lang w:val="en-GB"/>
              </w:rPr>
            </w:pPr>
            <w:r>
              <w:rPr>
                <w:lang w:val="en-GB"/>
              </w:rPr>
              <w:t>Radionuclide Mobilization Probability</w:t>
            </w:r>
          </w:p>
        </w:tc>
      </w:tr>
      <w:tr w:rsidR="00A72107" w:rsidRPr="00E20701" w:rsidTr="009A1C44">
        <w:tc>
          <w:tcPr>
            <w:tcW w:w="2160" w:type="dxa"/>
          </w:tcPr>
          <w:p w:rsidR="00A72107" w:rsidRPr="00E20701" w:rsidRDefault="00A72107" w:rsidP="005A599B">
            <w:pPr>
              <w:rPr>
                <w:lang w:val="en-GB"/>
              </w:rPr>
            </w:pPr>
            <w:r w:rsidRPr="00E20701">
              <w:rPr>
                <w:lang w:val="en-GB"/>
              </w:rPr>
              <w:t>RR</w:t>
            </w:r>
          </w:p>
        </w:tc>
        <w:tc>
          <w:tcPr>
            <w:tcW w:w="6254" w:type="dxa"/>
          </w:tcPr>
          <w:p w:rsidR="00A72107" w:rsidRPr="00E20701" w:rsidRDefault="00A72107" w:rsidP="005A599B">
            <w:pPr>
              <w:rPr>
                <w:lang w:val="en-GB"/>
              </w:rPr>
            </w:pPr>
            <w:r w:rsidRPr="00E20701">
              <w:rPr>
                <w:lang w:val="en-GB"/>
              </w:rPr>
              <w:t xml:space="preserve">Research </w:t>
            </w:r>
            <w:r>
              <w:rPr>
                <w:lang w:val="en-GB"/>
              </w:rPr>
              <w:t>R</w:t>
            </w:r>
            <w:r w:rsidRPr="00E20701">
              <w:rPr>
                <w:lang w:val="en-GB"/>
              </w:rPr>
              <w:t>eactor</w:t>
            </w:r>
          </w:p>
        </w:tc>
      </w:tr>
      <w:tr w:rsidR="00A72107" w:rsidRPr="00E20701" w:rsidTr="009A1C44">
        <w:tc>
          <w:tcPr>
            <w:tcW w:w="2160" w:type="dxa"/>
          </w:tcPr>
          <w:p w:rsidR="00A72107" w:rsidRPr="00E20701" w:rsidRDefault="00A72107" w:rsidP="009A1C44">
            <w:pPr>
              <w:rPr>
                <w:lang w:val="en-GB"/>
              </w:rPr>
            </w:pPr>
            <w:r>
              <w:rPr>
                <w:lang w:val="en-GB"/>
              </w:rPr>
              <w:t>SFP</w:t>
            </w:r>
          </w:p>
        </w:tc>
        <w:tc>
          <w:tcPr>
            <w:tcW w:w="6254" w:type="dxa"/>
          </w:tcPr>
          <w:p w:rsidR="00A72107" w:rsidRPr="00E20701" w:rsidRDefault="00A72107" w:rsidP="009A1C44">
            <w:pPr>
              <w:rPr>
                <w:lang w:val="en-GB"/>
              </w:rPr>
            </w:pPr>
            <w:r>
              <w:rPr>
                <w:lang w:val="en-GB"/>
              </w:rPr>
              <w:t>Spent Fuel Pool</w:t>
            </w:r>
          </w:p>
        </w:tc>
      </w:tr>
      <w:tr w:rsidR="001B44C9" w:rsidRPr="00E20701" w:rsidTr="009A1C44">
        <w:tc>
          <w:tcPr>
            <w:tcW w:w="2160" w:type="dxa"/>
          </w:tcPr>
          <w:p w:rsidR="001B44C9" w:rsidRDefault="001B44C9" w:rsidP="009A1C44">
            <w:pPr>
              <w:rPr>
                <w:lang w:val="en-GB"/>
              </w:rPr>
            </w:pPr>
            <w:r>
              <w:rPr>
                <w:lang w:val="en-GB"/>
              </w:rPr>
              <w:t>SSC</w:t>
            </w:r>
          </w:p>
        </w:tc>
        <w:tc>
          <w:tcPr>
            <w:tcW w:w="6254" w:type="dxa"/>
          </w:tcPr>
          <w:p w:rsidR="001B44C9" w:rsidRDefault="001B44C9" w:rsidP="009A1C44">
            <w:pPr>
              <w:rPr>
                <w:lang w:val="en-GB"/>
              </w:rPr>
            </w:pPr>
            <w:r>
              <w:rPr>
                <w:szCs w:val="18"/>
                <w:lang w:val="en-GB"/>
              </w:rPr>
              <w:t>Structures, systems</w:t>
            </w:r>
            <w:r w:rsidRPr="00C70893">
              <w:rPr>
                <w:szCs w:val="18"/>
                <w:lang w:val="en-GB"/>
              </w:rPr>
              <w:t xml:space="preserve"> and components</w:t>
            </w:r>
          </w:p>
        </w:tc>
      </w:tr>
      <w:tr w:rsidR="00F63081" w:rsidRPr="00E20701" w:rsidTr="009A1C44">
        <w:tc>
          <w:tcPr>
            <w:tcW w:w="2160" w:type="dxa"/>
          </w:tcPr>
          <w:p w:rsidR="00F63081" w:rsidRDefault="00F63081" w:rsidP="009A1C44">
            <w:pPr>
              <w:rPr>
                <w:lang w:val="en-GB"/>
              </w:rPr>
            </w:pPr>
            <w:r>
              <w:rPr>
                <w:lang w:val="en-GB"/>
              </w:rPr>
              <w:t>UHS</w:t>
            </w:r>
          </w:p>
        </w:tc>
        <w:tc>
          <w:tcPr>
            <w:tcW w:w="6254" w:type="dxa"/>
          </w:tcPr>
          <w:p w:rsidR="00F63081" w:rsidRDefault="00F63081" w:rsidP="009A1C44">
            <w:pPr>
              <w:rPr>
                <w:szCs w:val="18"/>
                <w:lang w:val="en-GB"/>
              </w:rPr>
            </w:pPr>
            <w:r>
              <w:rPr>
                <w:szCs w:val="18"/>
                <w:lang w:val="en-GB"/>
              </w:rPr>
              <w:t>Ultimate heat sink</w:t>
            </w:r>
          </w:p>
        </w:tc>
      </w:tr>
      <w:tr w:rsidR="00273113" w:rsidRPr="00E20701" w:rsidTr="009A1C44">
        <w:tc>
          <w:tcPr>
            <w:tcW w:w="2160" w:type="dxa"/>
          </w:tcPr>
          <w:p w:rsidR="00273113" w:rsidRDefault="00273113" w:rsidP="009A1C44">
            <w:pPr>
              <w:rPr>
                <w:lang w:val="en-GB"/>
              </w:rPr>
            </w:pPr>
            <w:r>
              <w:rPr>
                <w:lang w:val="en-GB"/>
              </w:rPr>
              <w:t>WENRA</w:t>
            </w:r>
          </w:p>
        </w:tc>
        <w:tc>
          <w:tcPr>
            <w:tcW w:w="6254" w:type="dxa"/>
          </w:tcPr>
          <w:p w:rsidR="00273113" w:rsidRDefault="00273113" w:rsidP="009A1C44">
            <w:pPr>
              <w:rPr>
                <w:szCs w:val="18"/>
                <w:lang w:val="en-GB"/>
              </w:rPr>
            </w:pPr>
            <w:r>
              <w:rPr>
                <w:szCs w:val="18"/>
                <w:lang w:val="en-GB"/>
              </w:rPr>
              <w:t>Western European Nuclear Regulators Association</w:t>
            </w:r>
          </w:p>
        </w:tc>
      </w:tr>
    </w:tbl>
    <w:p w:rsidR="00C95958" w:rsidRDefault="00C95958" w:rsidP="005F1EF2">
      <w:bookmarkStart w:id="9" w:name="_Toc277490443"/>
      <w:bookmarkStart w:id="10" w:name="_Toc277610794"/>
      <w:bookmarkStart w:id="11" w:name="_Toc277868034"/>
      <w:bookmarkStart w:id="12" w:name="_Toc278178870"/>
      <w:bookmarkStart w:id="13" w:name="_Toc278179324"/>
      <w:bookmarkStart w:id="14" w:name="_Toc278180025"/>
      <w:bookmarkStart w:id="15" w:name="_Toc278180276"/>
      <w:bookmarkStart w:id="16" w:name="_Toc278181170"/>
      <w:bookmarkStart w:id="17" w:name="_Toc278181424"/>
      <w:bookmarkEnd w:id="9"/>
      <w:bookmarkEnd w:id="10"/>
      <w:bookmarkEnd w:id="11"/>
      <w:bookmarkEnd w:id="12"/>
      <w:bookmarkEnd w:id="13"/>
      <w:bookmarkEnd w:id="14"/>
      <w:bookmarkEnd w:id="15"/>
      <w:bookmarkEnd w:id="16"/>
      <w:bookmarkEnd w:id="17"/>
    </w:p>
    <w:p w:rsidR="006609D1" w:rsidRPr="0027152C" w:rsidRDefault="006609D1" w:rsidP="005F1EF2">
      <w:r w:rsidRPr="0027152C">
        <w:br w:type="page"/>
      </w:r>
    </w:p>
    <w:p w:rsidR="009A1C44" w:rsidRPr="00E20701" w:rsidRDefault="00D26D32" w:rsidP="00026241">
      <w:pPr>
        <w:pStyle w:val="Titre1"/>
        <w:rPr>
          <w:lang w:val="en-GB"/>
        </w:rPr>
      </w:pPr>
      <w:bookmarkStart w:id="18" w:name="_Toc473303541"/>
      <w:r>
        <w:rPr>
          <w:lang w:val="en-GB"/>
        </w:rPr>
        <w:t>INTRODUCTION</w:t>
      </w:r>
      <w:bookmarkEnd w:id="18"/>
    </w:p>
    <w:p w:rsidR="008260C9" w:rsidRDefault="008260C9" w:rsidP="00677F52">
      <w:pPr>
        <w:rPr>
          <w:lang w:val="en-GB"/>
        </w:rPr>
      </w:pPr>
    </w:p>
    <w:p w:rsidR="00677F52" w:rsidRDefault="00677F52" w:rsidP="001B7918">
      <w:pPr>
        <w:spacing w:line="360" w:lineRule="auto"/>
        <w:rPr>
          <w:lang w:val="en-GB"/>
        </w:rPr>
      </w:pPr>
      <w:r w:rsidRPr="00DB119E">
        <w:rPr>
          <w:lang w:val="en-GB"/>
        </w:rPr>
        <w:t>An extended PSA (probabilistic safety assessment) applies to a site of one or several Nuclear Power Plant</w:t>
      </w:r>
      <w:r w:rsidR="00A72107">
        <w:rPr>
          <w:lang w:val="en-GB"/>
        </w:rPr>
        <w:t xml:space="preserve"> unit</w:t>
      </w:r>
      <w:r w:rsidRPr="00DB119E">
        <w:rPr>
          <w:lang w:val="en-GB"/>
        </w:rPr>
        <w:t>(s) and its environment. It intends to calculate the risk induced by the main sources of radioactivity (reactor core and spent fuel storages, other sources) on the site, taking into account all operating states for each main source and all possible relevant accident initiating events (both internal and external) affec</w:t>
      </w:r>
      <w:r>
        <w:rPr>
          <w:lang w:val="en-GB"/>
        </w:rPr>
        <w:t>ting one NPP or the whole site.</w:t>
      </w:r>
      <w:r w:rsidR="00F363C5">
        <w:rPr>
          <w:lang w:val="en-GB"/>
        </w:rPr>
        <w:t xml:space="preserve"> The combination between hazards or initiating events and their impact on a NPP or the whole site is </w:t>
      </w:r>
      <w:r w:rsidR="006D5D36">
        <w:rPr>
          <w:lang w:val="en-GB"/>
        </w:rPr>
        <w:t xml:space="preserve">a </w:t>
      </w:r>
      <w:r w:rsidR="00F363C5">
        <w:rPr>
          <w:lang w:val="en-GB"/>
        </w:rPr>
        <w:t>crucial issue for an extended PSA.</w:t>
      </w:r>
    </w:p>
    <w:p w:rsidR="00606222" w:rsidRDefault="00606222" w:rsidP="001B7918">
      <w:pPr>
        <w:spacing w:line="360" w:lineRule="auto"/>
        <w:rPr>
          <w:lang w:val="en-GB"/>
        </w:rPr>
      </w:pPr>
    </w:p>
    <w:p w:rsidR="00606222" w:rsidRDefault="00606222" w:rsidP="001B7918">
      <w:pPr>
        <w:spacing w:line="360" w:lineRule="auto"/>
        <w:rPr>
          <w:szCs w:val="18"/>
          <w:lang w:val="en-GB"/>
        </w:rPr>
      </w:pPr>
      <w:r w:rsidRPr="00D26363">
        <w:rPr>
          <w:szCs w:val="18"/>
          <w:lang w:val="en-GB"/>
        </w:rPr>
        <w:t xml:space="preserve">The </w:t>
      </w:r>
      <w:r w:rsidR="002952B4">
        <w:rPr>
          <w:szCs w:val="18"/>
          <w:lang w:val="en-GB"/>
        </w:rPr>
        <w:t>identification</w:t>
      </w:r>
      <w:r w:rsidRPr="00D26363">
        <w:rPr>
          <w:szCs w:val="18"/>
          <w:lang w:val="en-GB"/>
        </w:rPr>
        <w:t xml:space="preserve"> of </w:t>
      </w:r>
      <w:r w:rsidR="006D5D36">
        <w:rPr>
          <w:szCs w:val="18"/>
          <w:lang w:val="en-GB"/>
        </w:rPr>
        <w:t>all</w:t>
      </w:r>
      <w:r w:rsidRPr="00D26363">
        <w:rPr>
          <w:szCs w:val="18"/>
          <w:lang w:val="en-GB"/>
        </w:rPr>
        <w:t xml:space="preserve"> initiating events</w:t>
      </w:r>
      <w:r w:rsidR="006D5D36">
        <w:rPr>
          <w:szCs w:val="18"/>
          <w:lang w:val="en-GB"/>
        </w:rPr>
        <w:t>, hazards (internal or external) and their combinations,</w:t>
      </w:r>
      <w:r w:rsidRPr="00D26363">
        <w:rPr>
          <w:szCs w:val="18"/>
          <w:lang w:val="en-GB"/>
        </w:rPr>
        <w:t xml:space="preserve"> which </w:t>
      </w:r>
      <w:r w:rsidR="006D5D36">
        <w:rPr>
          <w:szCs w:val="18"/>
          <w:lang w:val="en-GB"/>
        </w:rPr>
        <w:t>contribute</w:t>
      </w:r>
      <w:r w:rsidRPr="00D26363">
        <w:rPr>
          <w:szCs w:val="18"/>
          <w:lang w:val="en-GB"/>
        </w:rPr>
        <w:t xml:space="preserve"> to </w:t>
      </w:r>
      <w:r w:rsidR="006D5D36">
        <w:rPr>
          <w:szCs w:val="18"/>
          <w:lang w:val="en-GB"/>
        </w:rPr>
        <w:t>the risk</w:t>
      </w:r>
      <w:r w:rsidRPr="00D26363">
        <w:rPr>
          <w:szCs w:val="18"/>
          <w:lang w:val="en-GB"/>
        </w:rPr>
        <w:t xml:space="preserve"> induced by a NPP (or several NPPs</w:t>
      </w:r>
      <w:r w:rsidR="006D5D36">
        <w:rPr>
          <w:szCs w:val="18"/>
          <w:lang w:val="en-GB"/>
        </w:rPr>
        <w:t xml:space="preserve"> on a nuclear site</w:t>
      </w:r>
      <w:r w:rsidRPr="00D26363">
        <w:rPr>
          <w:szCs w:val="18"/>
          <w:lang w:val="en-GB"/>
        </w:rPr>
        <w:t>) connected to its environment</w:t>
      </w:r>
      <w:r w:rsidR="006D5D36">
        <w:rPr>
          <w:szCs w:val="18"/>
          <w:lang w:val="en-GB"/>
        </w:rPr>
        <w:t>,</w:t>
      </w:r>
      <w:r w:rsidRPr="00D26363">
        <w:rPr>
          <w:szCs w:val="18"/>
          <w:lang w:val="en-GB"/>
        </w:rPr>
        <w:t xml:space="preserve"> is a </w:t>
      </w:r>
      <w:r w:rsidRPr="00F4691F">
        <w:rPr>
          <w:szCs w:val="18"/>
          <w:lang w:val="en-GB"/>
        </w:rPr>
        <w:t xml:space="preserve">major </w:t>
      </w:r>
      <w:r w:rsidR="006D5D36">
        <w:rPr>
          <w:szCs w:val="18"/>
          <w:lang w:val="en-GB"/>
        </w:rPr>
        <w:t>task</w:t>
      </w:r>
      <w:r w:rsidRPr="00F4691F">
        <w:rPr>
          <w:szCs w:val="18"/>
          <w:lang w:val="en-GB"/>
        </w:rPr>
        <w:t xml:space="preserve"> to be done </w:t>
      </w:r>
      <w:r w:rsidR="006D5D36">
        <w:rPr>
          <w:szCs w:val="18"/>
          <w:lang w:val="en-GB"/>
        </w:rPr>
        <w:t>during the development</w:t>
      </w:r>
      <w:r w:rsidRPr="00F4691F">
        <w:rPr>
          <w:szCs w:val="18"/>
          <w:lang w:val="en-GB"/>
        </w:rPr>
        <w:t xml:space="preserve"> </w:t>
      </w:r>
      <w:r w:rsidR="006D5D36">
        <w:rPr>
          <w:szCs w:val="18"/>
          <w:lang w:val="en-GB"/>
        </w:rPr>
        <w:t>of an extended PSA.</w:t>
      </w:r>
    </w:p>
    <w:p w:rsidR="006D5D36" w:rsidRPr="00861806" w:rsidRDefault="006D5D36" w:rsidP="001B7918">
      <w:pPr>
        <w:spacing w:line="360" w:lineRule="auto"/>
        <w:rPr>
          <w:szCs w:val="18"/>
          <w:lang w:val="en-GB"/>
        </w:rPr>
      </w:pPr>
    </w:p>
    <w:p w:rsidR="005A0412" w:rsidRPr="00D26363" w:rsidRDefault="00606222" w:rsidP="001B7918">
      <w:pPr>
        <w:spacing w:line="360" w:lineRule="auto"/>
        <w:rPr>
          <w:szCs w:val="18"/>
          <w:lang w:val="en-GB"/>
        </w:rPr>
      </w:pPr>
      <w:r w:rsidRPr="00861806">
        <w:rPr>
          <w:szCs w:val="18"/>
          <w:lang w:val="en-GB"/>
        </w:rPr>
        <w:t xml:space="preserve">The report </w:t>
      </w:r>
      <w:r w:rsidR="006D5D36">
        <w:rPr>
          <w:szCs w:val="18"/>
          <w:lang w:val="en-GB"/>
        </w:rPr>
        <w:t xml:space="preserve">tries to </w:t>
      </w:r>
      <w:r w:rsidR="008260C9">
        <w:rPr>
          <w:szCs w:val="18"/>
          <w:lang w:val="en-GB"/>
        </w:rPr>
        <w:t>discuss</w:t>
      </w:r>
      <w:r w:rsidR="006D5D36">
        <w:rPr>
          <w:szCs w:val="18"/>
          <w:lang w:val="en-GB"/>
        </w:rPr>
        <w:t xml:space="preserve"> </w:t>
      </w:r>
      <w:r w:rsidR="008260C9">
        <w:rPr>
          <w:szCs w:val="18"/>
          <w:lang w:val="en-GB"/>
        </w:rPr>
        <w:t xml:space="preserve">relevant </w:t>
      </w:r>
      <w:r w:rsidR="006D5D36">
        <w:rPr>
          <w:szCs w:val="18"/>
          <w:lang w:val="en-GB"/>
        </w:rPr>
        <w:t xml:space="preserve">methodologies for this purpose. </w:t>
      </w:r>
      <w:r w:rsidR="00186E04">
        <w:rPr>
          <w:szCs w:val="18"/>
          <w:lang w:val="en-GB"/>
        </w:rPr>
        <w:t xml:space="preserve">It </w:t>
      </w:r>
      <w:r w:rsidR="00D26363">
        <w:rPr>
          <w:szCs w:val="18"/>
          <w:lang w:val="en-GB"/>
        </w:rPr>
        <w:t>includes</w:t>
      </w:r>
      <w:r w:rsidR="002952B4">
        <w:rPr>
          <w:szCs w:val="18"/>
          <w:lang w:val="en-GB"/>
        </w:rPr>
        <w:t xml:space="preserve"> considerations on:</w:t>
      </w:r>
    </w:p>
    <w:p w:rsidR="005A0412" w:rsidRPr="004E52A0" w:rsidRDefault="005A0412" w:rsidP="00E62976">
      <w:pPr>
        <w:pStyle w:val="Paragraphedeliste"/>
        <w:numPr>
          <w:ilvl w:val="0"/>
          <w:numId w:val="54"/>
        </w:numPr>
        <w:spacing w:line="360" w:lineRule="auto"/>
        <w:rPr>
          <w:szCs w:val="18"/>
        </w:rPr>
      </w:pPr>
      <w:r w:rsidRPr="001B7918">
        <w:rPr>
          <w:rFonts w:ascii="Trebuchet MS" w:hAnsi="Trebuchet MS"/>
          <w:sz w:val="18"/>
          <w:szCs w:val="18"/>
        </w:rPr>
        <w:t>the existing basic approach for the identification of initiating events and hazards in PSA</w:t>
      </w:r>
      <w:r w:rsidR="006D5D36">
        <w:rPr>
          <w:rFonts w:ascii="Trebuchet MS" w:hAnsi="Trebuchet MS"/>
          <w:sz w:val="18"/>
          <w:szCs w:val="18"/>
        </w:rPr>
        <w:t xml:space="preserve"> (screening methodologies)</w:t>
      </w:r>
      <w:r w:rsidRPr="001B7918">
        <w:rPr>
          <w:rFonts w:ascii="Trebuchet MS" w:hAnsi="Trebuchet MS"/>
          <w:sz w:val="18"/>
          <w:szCs w:val="18"/>
        </w:rPr>
        <w:t>,</w:t>
      </w:r>
    </w:p>
    <w:p w:rsidR="005A0412" w:rsidRPr="004E52A0" w:rsidRDefault="002952B4" w:rsidP="00E62976">
      <w:pPr>
        <w:pStyle w:val="Paragraphedeliste"/>
        <w:numPr>
          <w:ilvl w:val="0"/>
          <w:numId w:val="54"/>
        </w:numPr>
        <w:spacing w:line="360" w:lineRule="auto"/>
        <w:rPr>
          <w:szCs w:val="18"/>
        </w:rPr>
      </w:pPr>
      <w:r>
        <w:rPr>
          <w:rFonts w:ascii="Trebuchet MS" w:hAnsi="Trebuchet MS"/>
          <w:sz w:val="18"/>
          <w:szCs w:val="18"/>
        </w:rPr>
        <w:t>the</w:t>
      </w:r>
      <w:r w:rsidR="005A0412" w:rsidRPr="001B7918">
        <w:rPr>
          <w:rFonts w:ascii="Trebuchet MS" w:hAnsi="Trebuchet MS"/>
          <w:sz w:val="18"/>
          <w:szCs w:val="18"/>
        </w:rPr>
        <w:t xml:space="preserve"> practices in countries and </w:t>
      </w:r>
      <w:r w:rsidR="006D5D36">
        <w:rPr>
          <w:rFonts w:ascii="Trebuchet MS" w:hAnsi="Trebuchet MS"/>
          <w:sz w:val="18"/>
          <w:szCs w:val="18"/>
        </w:rPr>
        <w:t xml:space="preserve">proposed by </w:t>
      </w:r>
      <w:r w:rsidR="005A0412" w:rsidRPr="001B7918">
        <w:rPr>
          <w:rFonts w:ascii="Trebuchet MS" w:hAnsi="Trebuchet MS"/>
          <w:sz w:val="18"/>
          <w:szCs w:val="18"/>
        </w:rPr>
        <w:t>international standards,</w:t>
      </w:r>
      <w:r w:rsidR="006D5D36">
        <w:rPr>
          <w:rFonts w:ascii="Trebuchet MS" w:hAnsi="Trebuchet MS"/>
          <w:sz w:val="18"/>
          <w:szCs w:val="18"/>
        </w:rPr>
        <w:t xml:space="preserve"> especially from IAEA,</w:t>
      </w:r>
    </w:p>
    <w:p w:rsidR="00186E04" w:rsidRDefault="002952B4" w:rsidP="00E62976">
      <w:pPr>
        <w:pStyle w:val="Paragraphedeliste"/>
        <w:numPr>
          <w:ilvl w:val="0"/>
          <w:numId w:val="54"/>
        </w:numPr>
        <w:spacing w:line="360" w:lineRule="auto"/>
        <w:rPr>
          <w:szCs w:val="18"/>
        </w:rPr>
      </w:pPr>
      <w:r>
        <w:rPr>
          <w:rFonts w:ascii="Trebuchet MS" w:hAnsi="Trebuchet MS"/>
          <w:sz w:val="18"/>
          <w:szCs w:val="18"/>
        </w:rPr>
        <w:t xml:space="preserve">the appropriate </w:t>
      </w:r>
      <w:r w:rsidR="00186E04">
        <w:rPr>
          <w:rFonts w:ascii="Trebuchet MS" w:hAnsi="Trebuchet MS"/>
          <w:sz w:val="18"/>
          <w:szCs w:val="18"/>
        </w:rPr>
        <w:t xml:space="preserve">risk metrics </w:t>
      </w:r>
      <w:r w:rsidR="00C9066E">
        <w:rPr>
          <w:rFonts w:ascii="Trebuchet MS" w:hAnsi="Trebuchet MS"/>
          <w:sz w:val="18"/>
          <w:szCs w:val="18"/>
        </w:rPr>
        <w:t xml:space="preserve">and screening thresholds </w:t>
      </w:r>
      <w:r w:rsidR="00186E04">
        <w:rPr>
          <w:rFonts w:ascii="Trebuchet MS" w:hAnsi="Trebuchet MS"/>
          <w:sz w:val="18"/>
          <w:szCs w:val="18"/>
        </w:rPr>
        <w:t xml:space="preserve">to be used </w:t>
      </w:r>
      <w:r>
        <w:rPr>
          <w:rFonts w:ascii="Trebuchet MS" w:hAnsi="Trebuchet MS"/>
          <w:sz w:val="18"/>
          <w:szCs w:val="18"/>
        </w:rPr>
        <w:t xml:space="preserve">in </w:t>
      </w:r>
      <w:r w:rsidR="00186E04">
        <w:rPr>
          <w:rFonts w:ascii="Trebuchet MS" w:hAnsi="Trebuchet MS"/>
          <w:sz w:val="18"/>
          <w:szCs w:val="18"/>
        </w:rPr>
        <w:t xml:space="preserve">the </w:t>
      </w:r>
      <w:r>
        <w:rPr>
          <w:rFonts w:ascii="Trebuchet MS" w:hAnsi="Trebuchet MS"/>
          <w:sz w:val="18"/>
          <w:szCs w:val="18"/>
        </w:rPr>
        <w:t xml:space="preserve">process of </w:t>
      </w:r>
      <w:r w:rsidR="00186E04">
        <w:rPr>
          <w:rFonts w:ascii="Trebuchet MS" w:hAnsi="Trebuchet MS"/>
          <w:sz w:val="18"/>
          <w:szCs w:val="18"/>
        </w:rPr>
        <w:t xml:space="preserve">initiating events </w:t>
      </w:r>
      <w:r>
        <w:rPr>
          <w:rFonts w:ascii="Trebuchet MS" w:hAnsi="Trebuchet MS"/>
          <w:sz w:val="18"/>
          <w:szCs w:val="18"/>
        </w:rPr>
        <w:t>and hazards</w:t>
      </w:r>
      <w:r w:rsidR="006D5D36">
        <w:rPr>
          <w:rFonts w:ascii="Trebuchet MS" w:hAnsi="Trebuchet MS"/>
          <w:sz w:val="18"/>
          <w:szCs w:val="18"/>
        </w:rPr>
        <w:t xml:space="preserve"> selection</w:t>
      </w:r>
      <w:r>
        <w:rPr>
          <w:rFonts w:ascii="Trebuchet MS" w:hAnsi="Trebuchet MS"/>
          <w:sz w:val="18"/>
          <w:szCs w:val="18"/>
        </w:rPr>
        <w:t xml:space="preserve"> </w:t>
      </w:r>
      <w:r w:rsidR="006D5D36">
        <w:rPr>
          <w:rFonts w:ascii="Trebuchet MS" w:hAnsi="Trebuchet MS"/>
          <w:sz w:val="18"/>
          <w:szCs w:val="18"/>
        </w:rPr>
        <w:t>for</w:t>
      </w:r>
      <w:r w:rsidR="00186E04">
        <w:rPr>
          <w:rFonts w:ascii="Trebuchet MS" w:hAnsi="Trebuchet MS"/>
          <w:sz w:val="18"/>
          <w:szCs w:val="18"/>
        </w:rPr>
        <w:t xml:space="preserve"> an extended PSA,</w:t>
      </w:r>
    </w:p>
    <w:p w:rsidR="002952B4" w:rsidRDefault="006D5D36" w:rsidP="00E62976">
      <w:pPr>
        <w:pStyle w:val="Paragraphedeliste"/>
        <w:numPr>
          <w:ilvl w:val="0"/>
          <w:numId w:val="54"/>
        </w:numPr>
        <w:spacing w:line="360" w:lineRule="auto"/>
        <w:rPr>
          <w:rFonts w:ascii="Trebuchet MS" w:hAnsi="Trebuchet MS"/>
          <w:sz w:val="18"/>
          <w:szCs w:val="18"/>
        </w:rPr>
      </w:pPr>
      <w:r>
        <w:rPr>
          <w:rFonts w:ascii="Trebuchet MS" w:hAnsi="Trebuchet MS"/>
          <w:sz w:val="18"/>
          <w:szCs w:val="18"/>
        </w:rPr>
        <w:t xml:space="preserve">the link between </w:t>
      </w:r>
      <w:r w:rsidR="002952B4" w:rsidRPr="00D26363">
        <w:rPr>
          <w:rFonts w:ascii="Trebuchet MS" w:hAnsi="Trebuchet MS"/>
          <w:sz w:val="18"/>
          <w:szCs w:val="18"/>
        </w:rPr>
        <w:t xml:space="preserve">deterministic </w:t>
      </w:r>
      <w:r>
        <w:rPr>
          <w:rFonts w:ascii="Trebuchet MS" w:hAnsi="Trebuchet MS"/>
          <w:sz w:val="18"/>
          <w:szCs w:val="18"/>
        </w:rPr>
        <w:t xml:space="preserve">and probabilistic approaches </w:t>
      </w:r>
      <w:r w:rsidR="002952B4" w:rsidRPr="00D26363">
        <w:rPr>
          <w:rFonts w:ascii="Trebuchet MS" w:hAnsi="Trebuchet MS"/>
          <w:sz w:val="18"/>
          <w:szCs w:val="18"/>
        </w:rPr>
        <w:t>for the selection of initiating events</w:t>
      </w:r>
      <w:r w:rsidR="002952B4">
        <w:rPr>
          <w:rFonts w:ascii="Trebuchet MS" w:hAnsi="Trebuchet MS"/>
          <w:sz w:val="18"/>
          <w:szCs w:val="18"/>
        </w:rPr>
        <w:t>,</w:t>
      </w:r>
    </w:p>
    <w:p w:rsidR="00D26363" w:rsidRDefault="00D26363" w:rsidP="00E62976">
      <w:pPr>
        <w:pStyle w:val="Paragraphedeliste"/>
        <w:numPr>
          <w:ilvl w:val="0"/>
          <w:numId w:val="54"/>
        </w:numPr>
        <w:spacing w:line="360" w:lineRule="auto"/>
        <w:rPr>
          <w:szCs w:val="18"/>
        </w:rPr>
      </w:pPr>
      <w:r>
        <w:rPr>
          <w:rFonts w:ascii="Trebuchet MS" w:hAnsi="Trebuchet MS"/>
          <w:sz w:val="18"/>
          <w:szCs w:val="18"/>
        </w:rPr>
        <w:t xml:space="preserve">the screening of </w:t>
      </w:r>
      <w:r w:rsidRPr="00D26363">
        <w:rPr>
          <w:rFonts w:ascii="Trebuchet MS" w:hAnsi="Trebuchet MS"/>
          <w:sz w:val="18"/>
          <w:szCs w:val="18"/>
        </w:rPr>
        <w:t>high impact events, possibly correlated, associated to a low frequency of occurrence, but that can ind</w:t>
      </w:r>
      <w:r>
        <w:rPr>
          <w:rFonts w:ascii="Trebuchet MS" w:hAnsi="Trebuchet MS"/>
          <w:sz w:val="18"/>
          <w:szCs w:val="18"/>
        </w:rPr>
        <w:t>uce major consequences on a NPP,</w:t>
      </w:r>
    </w:p>
    <w:p w:rsidR="005A0412" w:rsidRDefault="006D5D36" w:rsidP="00E62976">
      <w:pPr>
        <w:pStyle w:val="Paragraphedeliste"/>
        <w:numPr>
          <w:ilvl w:val="0"/>
          <w:numId w:val="54"/>
        </w:numPr>
        <w:spacing w:line="360" w:lineRule="auto"/>
        <w:rPr>
          <w:szCs w:val="18"/>
        </w:rPr>
      </w:pPr>
      <w:r>
        <w:rPr>
          <w:rFonts w:ascii="Trebuchet MS" w:hAnsi="Trebuchet MS"/>
          <w:sz w:val="18"/>
          <w:szCs w:val="18"/>
        </w:rPr>
        <w:t>the</w:t>
      </w:r>
      <w:r w:rsidR="00186E04">
        <w:rPr>
          <w:rFonts w:ascii="Trebuchet MS" w:hAnsi="Trebuchet MS"/>
          <w:sz w:val="18"/>
          <w:szCs w:val="18"/>
        </w:rPr>
        <w:t xml:space="preserve"> specificities of hazards</w:t>
      </w:r>
      <w:r w:rsidR="00104643">
        <w:rPr>
          <w:rFonts w:ascii="Trebuchet MS" w:hAnsi="Trebuchet MS"/>
          <w:sz w:val="18"/>
          <w:szCs w:val="18"/>
        </w:rPr>
        <w:t xml:space="preserve"> screening</w:t>
      </w:r>
      <w:r w:rsidR="00D26363">
        <w:rPr>
          <w:rFonts w:ascii="Trebuchet MS" w:hAnsi="Trebuchet MS"/>
          <w:sz w:val="18"/>
          <w:szCs w:val="18"/>
        </w:rPr>
        <w:t>.</w:t>
      </w:r>
    </w:p>
    <w:p w:rsidR="00D26D32" w:rsidRPr="001B7918" w:rsidRDefault="00D26363" w:rsidP="00B920EF">
      <w:pPr>
        <w:rPr>
          <w:lang w:val="en-US"/>
        </w:rPr>
      </w:pPr>
      <w:r>
        <w:rPr>
          <w:lang w:val="en-US"/>
        </w:rPr>
        <w:t>From these considerations, the report</w:t>
      </w:r>
      <w:r w:rsidRPr="001B7918">
        <w:rPr>
          <w:lang w:val="en-US"/>
        </w:rPr>
        <w:t xml:space="preserve"> </w:t>
      </w:r>
      <w:r w:rsidR="00186E04" w:rsidRPr="001B7918">
        <w:rPr>
          <w:lang w:val="en-US"/>
        </w:rPr>
        <w:t>propose</w:t>
      </w:r>
      <w:r w:rsidRPr="001B7918">
        <w:rPr>
          <w:lang w:val="en-US"/>
        </w:rPr>
        <w:t>s</w:t>
      </w:r>
      <w:r w:rsidR="00186E04" w:rsidRPr="001B7918">
        <w:rPr>
          <w:lang w:val="en-US"/>
        </w:rPr>
        <w:t xml:space="preserve"> a methodology </w:t>
      </w:r>
      <w:r>
        <w:rPr>
          <w:lang w:val="en-US"/>
        </w:rPr>
        <w:t>to select initiating events and hazards for the development of an extended PSA.</w:t>
      </w:r>
    </w:p>
    <w:p w:rsidR="00D26D32" w:rsidRDefault="00D26D32" w:rsidP="00B920EF">
      <w:pPr>
        <w:rPr>
          <w:lang w:val="en-GB"/>
        </w:rPr>
      </w:pPr>
    </w:p>
    <w:p w:rsidR="00D26D32" w:rsidRDefault="00D26D32" w:rsidP="001B7918">
      <w:pPr>
        <w:pStyle w:val="Titre1"/>
        <w:rPr>
          <w:lang w:val="en-GB"/>
        </w:rPr>
      </w:pPr>
      <w:bookmarkStart w:id="19" w:name="_Ref464240114"/>
      <w:bookmarkStart w:id="20" w:name="_Toc473303542"/>
      <w:r>
        <w:rPr>
          <w:lang w:val="en-GB"/>
        </w:rPr>
        <w:t>PSA END-USERS RECOMMENDATION</w:t>
      </w:r>
      <w:r w:rsidR="00EF4B26">
        <w:rPr>
          <w:lang w:val="en-GB"/>
        </w:rPr>
        <w:t>S</w:t>
      </w:r>
      <w:r>
        <w:rPr>
          <w:lang w:val="en-GB"/>
        </w:rPr>
        <w:t xml:space="preserve"> FOR SCREENING</w:t>
      </w:r>
      <w:bookmarkEnd w:id="19"/>
      <w:bookmarkEnd w:id="20"/>
    </w:p>
    <w:p w:rsidR="00B920EF" w:rsidRDefault="00B920EF" w:rsidP="00861806">
      <w:pPr>
        <w:rPr>
          <w:rFonts w:eastAsia="Batang"/>
          <w:lang w:val="en-GB"/>
        </w:rPr>
      </w:pPr>
      <w:bookmarkStart w:id="21" w:name="_Toc443585166"/>
      <w:bookmarkStart w:id="22" w:name="_Toc443294907"/>
      <w:bookmarkStart w:id="23" w:name="_Toc443584197"/>
      <w:bookmarkStart w:id="24" w:name="_Toc443584349"/>
      <w:bookmarkStart w:id="25" w:name="_Toc443584467"/>
      <w:bookmarkStart w:id="26" w:name="_Toc443584585"/>
      <w:bookmarkStart w:id="27" w:name="_Toc443584703"/>
      <w:bookmarkStart w:id="28" w:name="_Toc443584933"/>
      <w:bookmarkStart w:id="29" w:name="_Toc443585050"/>
      <w:bookmarkStart w:id="30" w:name="_Toc443585167"/>
      <w:bookmarkStart w:id="31" w:name="_Toc443585284"/>
      <w:bookmarkStart w:id="32" w:name="_Toc443585401"/>
      <w:bookmarkStart w:id="33" w:name="_Toc443294908"/>
      <w:bookmarkStart w:id="34" w:name="_Toc443584198"/>
      <w:bookmarkStart w:id="35" w:name="_Toc443584350"/>
      <w:bookmarkStart w:id="36" w:name="_Toc443584468"/>
      <w:bookmarkStart w:id="37" w:name="_Toc443584586"/>
      <w:bookmarkStart w:id="38" w:name="_Toc443584704"/>
      <w:bookmarkStart w:id="39" w:name="_Toc443584934"/>
      <w:bookmarkStart w:id="40" w:name="_Toc443585051"/>
      <w:bookmarkStart w:id="41" w:name="_Toc443585168"/>
      <w:bookmarkStart w:id="42" w:name="_Toc443585285"/>
      <w:bookmarkStart w:id="43" w:name="_Toc443585402"/>
      <w:bookmarkStart w:id="44" w:name="_Toc443294909"/>
      <w:bookmarkStart w:id="45" w:name="_Toc443584199"/>
      <w:bookmarkStart w:id="46" w:name="_Toc443584351"/>
      <w:bookmarkStart w:id="47" w:name="_Toc443584469"/>
      <w:bookmarkStart w:id="48" w:name="_Toc443584587"/>
      <w:bookmarkStart w:id="49" w:name="_Toc443584705"/>
      <w:bookmarkStart w:id="50" w:name="_Toc443584935"/>
      <w:bookmarkStart w:id="51" w:name="_Toc443585052"/>
      <w:bookmarkStart w:id="52" w:name="_Toc443585169"/>
      <w:bookmarkStart w:id="53" w:name="_Toc443585286"/>
      <w:bookmarkStart w:id="54" w:name="_Toc443585403"/>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rsidR="00CB3E4A" w:rsidRDefault="00F4691F" w:rsidP="001B7918">
      <w:pPr>
        <w:spacing w:line="360" w:lineRule="auto"/>
        <w:rPr>
          <w:rFonts w:eastAsia="Batang"/>
          <w:lang w:val="en-GB"/>
        </w:rPr>
      </w:pPr>
      <w:r>
        <w:rPr>
          <w:rFonts w:eastAsia="Batang"/>
          <w:lang w:val="en-GB"/>
        </w:rPr>
        <w:t xml:space="preserve">At the beginning of the ASAMPSA_E project, the following </w:t>
      </w:r>
      <w:r w:rsidR="0073755B">
        <w:rPr>
          <w:rFonts w:eastAsia="Batang"/>
          <w:lang w:val="en-GB"/>
        </w:rPr>
        <w:t>recommendations w</w:t>
      </w:r>
      <w:r w:rsidR="00CB3E4A">
        <w:rPr>
          <w:rFonts w:eastAsia="Batang"/>
          <w:lang w:val="en-GB"/>
        </w:rPr>
        <w:t>ere formula</w:t>
      </w:r>
      <w:r w:rsidR="00360790">
        <w:rPr>
          <w:rFonts w:eastAsia="Batang"/>
          <w:lang w:val="en-GB"/>
        </w:rPr>
        <w:t>ted during the PSA End-U</w:t>
      </w:r>
      <w:r>
        <w:rPr>
          <w:rFonts w:eastAsia="Batang"/>
          <w:lang w:val="en-GB"/>
        </w:rPr>
        <w:t xml:space="preserve">sers </w:t>
      </w:r>
      <w:r w:rsidR="00831F37">
        <w:rPr>
          <w:rFonts w:eastAsia="Batang"/>
          <w:lang w:val="en-GB"/>
        </w:rPr>
        <w:t>workshop</w:t>
      </w:r>
      <w:r>
        <w:rPr>
          <w:rFonts w:eastAsia="Batang"/>
          <w:lang w:val="en-GB"/>
        </w:rPr>
        <w:t xml:space="preserve"> in </w:t>
      </w:r>
      <w:r w:rsidR="00831F37">
        <w:rPr>
          <w:rFonts w:eastAsia="Batang"/>
          <w:lang w:val="en-GB"/>
        </w:rPr>
        <w:t>Uppsala</w:t>
      </w:r>
      <w:r>
        <w:rPr>
          <w:rFonts w:eastAsia="Batang"/>
          <w:lang w:val="en-GB"/>
        </w:rPr>
        <w:t xml:space="preserve"> </w:t>
      </w:r>
      <w:r w:rsidR="00857A86">
        <w:rPr>
          <w:rFonts w:eastAsia="Batang"/>
          <w:lang w:val="en-GB"/>
        </w:rPr>
        <w:t xml:space="preserve">and survey </w:t>
      </w:r>
      <w:r w:rsidR="00125AF4">
        <w:rPr>
          <w:rFonts w:eastAsia="Batang"/>
          <w:highlight w:val="yellow"/>
          <w:lang w:val="en-GB"/>
        </w:rPr>
        <w:fldChar w:fldCharType="begin"/>
      </w:r>
      <w:r w:rsidR="00831F37">
        <w:rPr>
          <w:rFonts w:eastAsia="Batang"/>
          <w:lang w:val="en-GB"/>
        </w:rPr>
        <w:instrText xml:space="preserve"> REF _Ref443043737 \r \h </w:instrText>
      </w:r>
      <w:r w:rsidR="00125AF4">
        <w:rPr>
          <w:rFonts w:eastAsia="Batang"/>
          <w:highlight w:val="yellow"/>
          <w:lang w:val="en-GB"/>
        </w:rPr>
      </w:r>
      <w:r w:rsidR="00125AF4">
        <w:rPr>
          <w:rFonts w:eastAsia="Batang"/>
          <w:highlight w:val="yellow"/>
          <w:lang w:val="en-GB"/>
        </w:rPr>
        <w:fldChar w:fldCharType="separate"/>
      </w:r>
      <w:r w:rsidR="00E62976">
        <w:rPr>
          <w:rFonts w:eastAsia="Batang"/>
          <w:lang w:val="en-GB"/>
        </w:rPr>
        <w:t>[1]</w:t>
      </w:r>
      <w:r w:rsidR="00125AF4">
        <w:rPr>
          <w:rFonts w:eastAsia="Batang"/>
          <w:highlight w:val="yellow"/>
          <w:lang w:val="en-GB"/>
        </w:rPr>
        <w:fldChar w:fldCharType="end"/>
      </w:r>
      <w:r>
        <w:rPr>
          <w:rFonts w:eastAsia="Batang"/>
          <w:lang w:val="en-GB"/>
        </w:rPr>
        <w:t xml:space="preserve"> on hazards screening.</w:t>
      </w:r>
      <w:r w:rsidR="0073755B">
        <w:rPr>
          <w:rFonts w:eastAsia="Batang"/>
          <w:lang w:val="en-GB"/>
        </w:rPr>
        <w:t xml:space="preserve"> </w:t>
      </w:r>
      <w:r w:rsidR="00857A86">
        <w:rPr>
          <w:rFonts w:eastAsia="Batang"/>
          <w:lang w:val="en-GB"/>
        </w:rPr>
        <w:t>Three types of recommendations were defined:</w:t>
      </w:r>
    </w:p>
    <w:p w:rsidR="00CB3E4A" w:rsidRPr="00CB3E4A" w:rsidRDefault="00CB3E4A" w:rsidP="00E62976">
      <w:pPr>
        <w:pStyle w:val="Paragraphedeliste"/>
        <w:numPr>
          <w:ilvl w:val="0"/>
          <w:numId w:val="59"/>
        </w:numPr>
        <w:spacing w:line="360" w:lineRule="auto"/>
        <w:rPr>
          <w:rFonts w:ascii="Trebuchet MS" w:eastAsia="Batang" w:hAnsi="Trebuchet MS"/>
          <w:sz w:val="18"/>
          <w:szCs w:val="18"/>
        </w:rPr>
      </w:pPr>
      <w:r>
        <w:rPr>
          <w:rFonts w:ascii="Trebuchet MS" w:eastAsia="Batang" w:hAnsi="Trebuchet MS"/>
          <w:sz w:val="18"/>
          <w:szCs w:val="18"/>
        </w:rPr>
        <w:t>T</w:t>
      </w:r>
      <w:r w:rsidRPr="00CB3E4A">
        <w:rPr>
          <w:rFonts w:ascii="Trebuchet MS" w:eastAsia="Batang" w:hAnsi="Trebuchet MS"/>
          <w:sz w:val="18"/>
          <w:szCs w:val="18"/>
        </w:rPr>
        <w:t>ype A: most important end-users needs (for which the project should produce adequate guidance),</w:t>
      </w:r>
    </w:p>
    <w:p w:rsidR="00CB3E4A" w:rsidRPr="00CB3E4A" w:rsidRDefault="00CB3E4A" w:rsidP="00E62976">
      <w:pPr>
        <w:pStyle w:val="Paragraphedeliste"/>
        <w:numPr>
          <w:ilvl w:val="0"/>
          <w:numId w:val="59"/>
        </w:numPr>
        <w:spacing w:line="360" w:lineRule="auto"/>
        <w:rPr>
          <w:rFonts w:ascii="Trebuchet MS" w:eastAsia="Batang" w:hAnsi="Trebuchet MS"/>
          <w:sz w:val="18"/>
          <w:szCs w:val="18"/>
        </w:rPr>
      </w:pPr>
      <w:r w:rsidRPr="00CB3E4A">
        <w:rPr>
          <w:rFonts w:ascii="Trebuchet MS" w:eastAsia="Batang" w:hAnsi="Trebuchet MS"/>
          <w:sz w:val="18"/>
          <w:szCs w:val="18"/>
        </w:rPr>
        <w:t>Type B: intermediate needs (which the project will address if possible),</w:t>
      </w:r>
    </w:p>
    <w:p w:rsidR="00857A86" w:rsidRPr="00360790" w:rsidRDefault="00CB3E4A" w:rsidP="00E62976">
      <w:pPr>
        <w:pStyle w:val="Paragraphedeliste"/>
        <w:numPr>
          <w:ilvl w:val="0"/>
          <w:numId w:val="59"/>
        </w:numPr>
        <w:spacing w:line="360" w:lineRule="auto"/>
        <w:rPr>
          <w:rFonts w:eastAsia="Batang"/>
          <w:szCs w:val="18"/>
        </w:rPr>
      </w:pPr>
      <w:r w:rsidRPr="00CB3E4A">
        <w:rPr>
          <w:rFonts w:ascii="Trebuchet MS" w:eastAsia="Batang" w:hAnsi="Trebuchet MS"/>
          <w:sz w:val="18"/>
          <w:szCs w:val="18"/>
        </w:rPr>
        <w:t>Type C: less important needs (not to be addressed by the project).</w:t>
      </w:r>
    </w:p>
    <w:p w:rsidR="00360790" w:rsidRDefault="00360790" w:rsidP="00360790">
      <w:pPr>
        <w:spacing w:line="360" w:lineRule="auto"/>
        <w:rPr>
          <w:rFonts w:eastAsia="Batang"/>
          <w:lang w:val="en-GB"/>
        </w:rPr>
      </w:pPr>
      <w:r>
        <w:rPr>
          <w:rFonts w:eastAsia="Batang"/>
          <w:lang w:val="en-GB"/>
        </w:rPr>
        <w:t>These recommendations are provided hereafter.</w:t>
      </w:r>
    </w:p>
    <w:p w:rsidR="00360790" w:rsidRPr="00360790" w:rsidRDefault="00360790" w:rsidP="00360790">
      <w:pPr>
        <w:spacing w:line="360" w:lineRule="auto"/>
        <w:rPr>
          <w:rFonts w:eastAsia="Batang"/>
          <w:szCs w:val="18"/>
          <w:lang w:val="en-US"/>
        </w:rPr>
      </w:pPr>
    </w:p>
    <w:p w:rsidR="00F4691F" w:rsidRPr="00A9314F" w:rsidRDefault="00F4691F" w:rsidP="00F4691F">
      <w:pPr>
        <w:rPr>
          <w:i/>
          <w:szCs w:val="18"/>
          <w:lang w:val="en-GB"/>
        </w:rPr>
      </w:pPr>
      <w:r w:rsidRPr="00A9314F">
        <w:rPr>
          <w:i/>
          <w:szCs w:val="18"/>
          <w:lang w:val="en-GB"/>
        </w:rPr>
        <w:t>Recommendations related to hazards screening and modelling</w:t>
      </w:r>
    </w:p>
    <w:p w:rsidR="00F4691F" w:rsidRPr="00A9314F" w:rsidRDefault="00F4691F" w:rsidP="00E62976">
      <w:pPr>
        <w:pStyle w:val="Paragraphedeliste"/>
        <w:numPr>
          <w:ilvl w:val="0"/>
          <w:numId w:val="55"/>
        </w:numPr>
        <w:spacing w:after="0" w:line="348" w:lineRule="atLeast"/>
        <w:rPr>
          <w:rFonts w:ascii="Trebuchet MS" w:hAnsi="Trebuchet MS"/>
          <w:sz w:val="18"/>
          <w:szCs w:val="18"/>
        </w:rPr>
      </w:pPr>
      <w:r w:rsidRPr="00A9314F">
        <w:rPr>
          <w:rFonts w:ascii="Trebuchet MS" w:hAnsi="Trebuchet MS"/>
          <w:sz w:val="18"/>
          <w:szCs w:val="18"/>
        </w:rPr>
        <w:t>According to the End-Users survey, existing screening guidance have to be adapted or completed for each application. ASAMPSA_E shall examine why and how to do this adaptation/complement (type A).</w:t>
      </w:r>
    </w:p>
    <w:p w:rsidR="00F4691F" w:rsidRPr="00A9314F" w:rsidRDefault="00F4691F" w:rsidP="00F4691F">
      <w:pPr>
        <w:ind w:left="708"/>
        <w:rPr>
          <w:szCs w:val="18"/>
          <w:lang w:val="en-GB"/>
        </w:rPr>
      </w:pPr>
      <w:r w:rsidRPr="00A9314F">
        <w:rPr>
          <w:szCs w:val="18"/>
          <w:lang w:val="en-GB"/>
        </w:rPr>
        <w:t>ASAMPSA_E shall examine how to reduce heterogeneity in quantitative screening criteria (collect and examine the screening values)</w:t>
      </w:r>
      <w:r>
        <w:rPr>
          <w:szCs w:val="18"/>
          <w:lang w:val="en-GB"/>
        </w:rPr>
        <w:t>.</w:t>
      </w:r>
    </w:p>
    <w:p w:rsidR="00F4691F" w:rsidRPr="00A9314F" w:rsidRDefault="00F4691F" w:rsidP="00F4691F">
      <w:pPr>
        <w:ind w:left="708"/>
        <w:rPr>
          <w:szCs w:val="18"/>
          <w:lang w:val="en-GB"/>
        </w:rPr>
      </w:pPr>
      <w:r w:rsidRPr="00A9314F">
        <w:rPr>
          <w:szCs w:val="18"/>
          <w:lang w:val="en-GB"/>
        </w:rPr>
        <w:t>ASAMPSA_E shall examine which hazards must not be screened out and why.</w:t>
      </w:r>
    </w:p>
    <w:p w:rsidR="00F4691F" w:rsidRPr="00A9314F" w:rsidRDefault="00F4691F" w:rsidP="00F4691F">
      <w:pPr>
        <w:ind w:left="708"/>
        <w:rPr>
          <w:szCs w:val="18"/>
          <w:lang w:val="en-GB"/>
        </w:rPr>
      </w:pPr>
      <w:r w:rsidRPr="00A9314F">
        <w:rPr>
          <w:szCs w:val="18"/>
          <w:lang w:val="en-GB"/>
        </w:rPr>
        <w:t>ASAMPSA_E shall comment how far the impact of the hazards must be considered in the screening out process (in case of cliff edge effect, no screening out …?).</w:t>
      </w:r>
    </w:p>
    <w:p w:rsidR="00F4691F" w:rsidRPr="00A9314F" w:rsidRDefault="00F4691F" w:rsidP="00E62976">
      <w:pPr>
        <w:pStyle w:val="Paragraphedeliste"/>
        <w:numPr>
          <w:ilvl w:val="0"/>
          <w:numId w:val="55"/>
        </w:numPr>
        <w:spacing w:after="0" w:line="348" w:lineRule="atLeast"/>
        <w:rPr>
          <w:rFonts w:ascii="Trebuchet MS" w:hAnsi="Trebuchet MS"/>
          <w:sz w:val="18"/>
          <w:szCs w:val="18"/>
        </w:rPr>
      </w:pPr>
      <w:r w:rsidRPr="00A9314F">
        <w:rPr>
          <w:rFonts w:ascii="Trebuchet MS" w:hAnsi="Trebuchet MS"/>
          <w:sz w:val="18"/>
          <w:szCs w:val="18"/>
        </w:rPr>
        <w:t>ASAMPSA_E shall examine the relevance of conditional core melt probabilities and conditional containment failure probabilities (and conditional LER probability) in the screening criteria (type A).</w:t>
      </w:r>
    </w:p>
    <w:p w:rsidR="00F4691F" w:rsidRPr="00A9314F" w:rsidRDefault="00F4691F" w:rsidP="00E62976">
      <w:pPr>
        <w:pStyle w:val="Paragraphedeliste"/>
        <w:numPr>
          <w:ilvl w:val="0"/>
          <w:numId w:val="57"/>
        </w:numPr>
        <w:spacing w:after="0" w:line="348" w:lineRule="atLeast"/>
        <w:rPr>
          <w:rFonts w:ascii="Trebuchet MS" w:hAnsi="Trebuchet MS"/>
          <w:sz w:val="18"/>
          <w:szCs w:val="18"/>
        </w:rPr>
      </w:pPr>
      <w:r w:rsidRPr="00A9314F">
        <w:rPr>
          <w:rFonts w:ascii="Trebuchet MS" w:hAnsi="Trebuchet MS"/>
          <w:sz w:val="18"/>
          <w:szCs w:val="18"/>
        </w:rPr>
        <w:t>ASAMPSA_E shall examine SFP accident screening practices (type A).</w:t>
      </w:r>
    </w:p>
    <w:p w:rsidR="00F4691F" w:rsidRPr="00A9314F" w:rsidRDefault="00F4691F" w:rsidP="00E62976">
      <w:pPr>
        <w:pStyle w:val="Paragraphedeliste"/>
        <w:numPr>
          <w:ilvl w:val="0"/>
          <w:numId w:val="57"/>
        </w:numPr>
        <w:spacing w:after="0" w:line="348" w:lineRule="atLeast"/>
        <w:rPr>
          <w:rFonts w:ascii="Trebuchet MS" w:hAnsi="Trebuchet MS"/>
          <w:sz w:val="18"/>
          <w:szCs w:val="18"/>
        </w:rPr>
      </w:pPr>
      <w:r w:rsidRPr="00A9314F">
        <w:rPr>
          <w:rFonts w:ascii="Trebuchet MS" w:hAnsi="Trebuchet MS"/>
          <w:sz w:val="18"/>
          <w:szCs w:val="18"/>
        </w:rPr>
        <w:t>ASAMPSA_E shall discuss the link between screening criteria and design basis conditions (type A):</w:t>
      </w:r>
    </w:p>
    <w:p w:rsidR="00F4691F" w:rsidRPr="00A9314F" w:rsidRDefault="00F4691F" w:rsidP="00E62976">
      <w:pPr>
        <w:pStyle w:val="Paragraphedeliste"/>
        <w:numPr>
          <w:ilvl w:val="0"/>
          <w:numId w:val="56"/>
        </w:numPr>
        <w:spacing w:after="0" w:line="348" w:lineRule="atLeast"/>
        <w:rPr>
          <w:rFonts w:ascii="Trebuchet MS" w:hAnsi="Trebuchet MS"/>
          <w:sz w:val="18"/>
          <w:szCs w:val="18"/>
        </w:rPr>
      </w:pPr>
      <w:r w:rsidRPr="00A9314F">
        <w:rPr>
          <w:rFonts w:ascii="Trebuchet MS" w:hAnsi="Trebuchet MS"/>
          <w:sz w:val="18"/>
          <w:szCs w:val="18"/>
        </w:rPr>
        <w:t>PSA should focus on area</w:t>
      </w:r>
      <w:r w:rsidR="00A72107">
        <w:rPr>
          <w:rFonts w:ascii="Trebuchet MS" w:hAnsi="Trebuchet MS"/>
          <w:sz w:val="18"/>
          <w:szCs w:val="18"/>
        </w:rPr>
        <w:t>s</w:t>
      </w:r>
      <w:r w:rsidRPr="00A9314F">
        <w:rPr>
          <w:rFonts w:ascii="Trebuchet MS" w:hAnsi="Trebuchet MS"/>
          <w:sz w:val="18"/>
          <w:szCs w:val="18"/>
        </w:rPr>
        <w:t xml:space="preserve"> that are not in the design basis – example : specific combinations</w:t>
      </w:r>
      <w:r>
        <w:rPr>
          <w:rFonts w:ascii="Trebuchet MS" w:hAnsi="Trebuchet MS"/>
          <w:sz w:val="18"/>
          <w:szCs w:val="18"/>
        </w:rPr>
        <w:t xml:space="preserve"> like hazards + induced effects,</w:t>
      </w:r>
    </w:p>
    <w:p w:rsidR="00F4691F" w:rsidRPr="00A9314F" w:rsidRDefault="00F4691F" w:rsidP="00E62976">
      <w:pPr>
        <w:pStyle w:val="Paragraphedeliste"/>
        <w:numPr>
          <w:ilvl w:val="0"/>
          <w:numId w:val="56"/>
        </w:numPr>
        <w:spacing w:after="0" w:line="348" w:lineRule="atLeast"/>
        <w:rPr>
          <w:rFonts w:ascii="Trebuchet MS" w:hAnsi="Trebuchet MS"/>
          <w:sz w:val="18"/>
          <w:szCs w:val="18"/>
        </w:rPr>
      </w:pPr>
      <w:r w:rsidRPr="00A9314F">
        <w:rPr>
          <w:rFonts w:ascii="Trebuchet MS" w:hAnsi="Trebuchet MS"/>
          <w:sz w:val="18"/>
          <w:szCs w:val="18"/>
        </w:rPr>
        <w:t>PSA should include hazards in the design basis (useful for PSR for example).</w:t>
      </w:r>
    </w:p>
    <w:p w:rsidR="00F4691F" w:rsidRPr="00A9314F" w:rsidRDefault="00F4691F" w:rsidP="00E62976">
      <w:pPr>
        <w:pStyle w:val="Paragraphedeliste"/>
        <w:numPr>
          <w:ilvl w:val="0"/>
          <w:numId w:val="57"/>
        </w:numPr>
        <w:spacing w:after="0" w:line="348" w:lineRule="atLeast"/>
        <w:rPr>
          <w:rFonts w:ascii="Trebuchet MS" w:hAnsi="Trebuchet MS"/>
          <w:sz w:val="18"/>
          <w:szCs w:val="18"/>
        </w:rPr>
      </w:pPr>
      <w:r w:rsidRPr="00A9314F">
        <w:rPr>
          <w:rFonts w:ascii="Trebuchet MS" w:hAnsi="Trebuchet MS"/>
          <w:sz w:val="18"/>
          <w:szCs w:val="18"/>
        </w:rPr>
        <w:t>ASAMPSA_E shall discuss the sum of hazards frequencies (final comparison with numerical safety target) (type B).</w:t>
      </w:r>
    </w:p>
    <w:p w:rsidR="00F4691F" w:rsidRPr="00A9314F" w:rsidRDefault="00F4691F" w:rsidP="00E62976">
      <w:pPr>
        <w:pStyle w:val="Paragraphedeliste"/>
        <w:numPr>
          <w:ilvl w:val="0"/>
          <w:numId w:val="57"/>
        </w:numPr>
        <w:spacing w:after="0" w:line="348" w:lineRule="atLeast"/>
        <w:rPr>
          <w:rFonts w:ascii="Trebuchet MS" w:hAnsi="Trebuchet MS"/>
          <w:sz w:val="18"/>
          <w:szCs w:val="18"/>
        </w:rPr>
      </w:pPr>
      <w:r w:rsidRPr="00A9314F">
        <w:rPr>
          <w:rFonts w:ascii="Trebuchet MS" w:hAnsi="Trebuchet MS"/>
          <w:sz w:val="18"/>
          <w:szCs w:val="18"/>
        </w:rPr>
        <w:t>ASAMPSA_E shall examine what to do if the sciences cannot provide information for low frequencies events or extremely high uncertainties on their amplitude (type A).</w:t>
      </w:r>
    </w:p>
    <w:p w:rsidR="00281A20" w:rsidRPr="001B7918" w:rsidRDefault="00281A20" w:rsidP="001B7918">
      <w:pPr>
        <w:rPr>
          <w:szCs w:val="18"/>
          <w:lang w:val="en-US"/>
        </w:rPr>
      </w:pPr>
    </w:p>
    <w:p w:rsidR="00F363C5" w:rsidRPr="00281A20" w:rsidRDefault="00D26D32" w:rsidP="001B7918">
      <w:pPr>
        <w:pStyle w:val="Titre1"/>
        <w:rPr>
          <w:lang w:val="en-US"/>
        </w:rPr>
      </w:pPr>
      <w:bookmarkStart w:id="55" w:name="_Toc473303543"/>
      <w:r w:rsidRPr="00281A20">
        <w:rPr>
          <w:lang w:val="en-US"/>
        </w:rPr>
        <w:t>DEFINITIONS USED IN THE REPORT</w:t>
      </w:r>
      <w:bookmarkEnd w:id="55"/>
    </w:p>
    <w:p w:rsidR="00861806" w:rsidRDefault="00861806" w:rsidP="001B7918">
      <w:pPr>
        <w:rPr>
          <w:szCs w:val="18"/>
          <w:lang w:val="en-US"/>
        </w:rPr>
      </w:pPr>
    </w:p>
    <w:p w:rsidR="0073755B" w:rsidRPr="001B7918" w:rsidRDefault="0073755B" w:rsidP="001B7918">
      <w:pPr>
        <w:rPr>
          <w:szCs w:val="18"/>
          <w:lang w:val="en-US"/>
        </w:rPr>
      </w:pPr>
      <w:r w:rsidRPr="001B7918">
        <w:rPr>
          <w:szCs w:val="18"/>
          <w:lang w:val="en-US"/>
        </w:rPr>
        <w:t xml:space="preserve">The following definitions are used in this report. </w:t>
      </w:r>
      <w:r>
        <w:rPr>
          <w:szCs w:val="18"/>
          <w:lang w:val="en-US"/>
        </w:rPr>
        <w:t>Some variations may exist in comparison with other publications.</w:t>
      </w:r>
    </w:p>
    <w:p w:rsidR="0073755B" w:rsidRDefault="0073755B" w:rsidP="001B7918">
      <w:pPr>
        <w:rPr>
          <w:szCs w:val="18"/>
          <w:lang w:val="en-US"/>
        </w:rPr>
      </w:pPr>
    </w:p>
    <w:p w:rsidR="0087782B" w:rsidRPr="005079A3" w:rsidRDefault="00D34417" w:rsidP="0087782B">
      <w:pPr>
        <w:rPr>
          <w:b/>
          <w:u w:val="single"/>
          <w:lang w:val="en-GB"/>
        </w:rPr>
      </w:pPr>
      <w:r w:rsidRPr="005079A3">
        <w:rPr>
          <w:b/>
          <w:u w:val="single"/>
          <w:lang w:val="en-GB"/>
        </w:rPr>
        <w:t xml:space="preserve">Bounding </w:t>
      </w:r>
      <w:r w:rsidR="00C9066E" w:rsidRPr="005079A3">
        <w:rPr>
          <w:b/>
          <w:u w:val="single"/>
          <w:lang w:val="en-GB"/>
        </w:rPr>
        <w:t xml:space="preserve">(Probabilistic) </w:t>
      </w:r>
      <w:r w:rsidRPr="005079A3">
        <w:rPr>
          <w:b/>
          <w:u w:val="single"/>
          <w:lang w:val="en-GB"/>
        </w:rPr>
        <w:t>Analysis</w:t>
      </w:r>
    </w:p>
    <w:p w:rsidR="00E43D88" w:rsidRDefault="00B41EBC" w:rsidP="0087782B">
      <w:pPr>
        <w:rPr>
          <w:lang w:val="en-GB"/>
        </w:rPr>
      </w:pPr>
      <w:r>
        <w:rPr>
          <w:lang w:val="en-GB"/>
        </w:rPr>
        <w:t xml:space="preserve">A bounding analysis is a manifestly conservative analysis applied to initiating events, hazard, hazard scenarios or specific sequences during a PSA. </w:t>
      </w:r>
    </w:p>
    <w:p w:rsidR="0087782B" w:rsidRDefault="00B41EBC" w:rsidP="0087782B">
      <w:pPr>
        <w:rPr>
          <w:lang w:val="en-GB"/>
        </w:rPr>
      </w:pPr>
      <w:r>
        <w:rPr>
          <w:lang w:val="en-GB"/>
        </w:rPr>
        <w:t>“</w:t>
      </w:r>
      <w:r w:rsidR="0048673F">
        <w:rPr>
          <w:lang w:val="en-GB"/>
        </w:rPr>
        <w:t>W</w:t>
      </w:r>
      <w:r>
        <w:rPr>
          <w:lang w:val="en-GB"/>
        </w:rPr>
        <w:t xml:space="preserve">orst-case” assumptions for the case under consideration are applied. The PSA analyst </w:t>
      </w:r>
      <w:r w:rsidR="0048673F">
        <w:rPr>
          <w:lang w:val="en-GB"/>
        </w:rPr>
        <w:t>shall</w:t>
      </w:r>
      <w:r>
        <w:rPr>
          <w:lang w:val="en-GB"/>
        </w:rPr>
        <w:t xml:space="preserve"> demonstrate</w:t>
      </w:r>
      <w:r w:rsidR="00136D07">
        <w:rPr>
          <w:lang w:val="en-GB"/>
        </w:rPr>
        <w:t>s</w:t>
      </w:r>
      <w:r>
        <w:rPr>
          <w:lang w:val="en-GB"/>
        </w:rPr>
        <w:t xml:space="preserve"> that the bounding analysis covers all (known) sources of uncerta</w:t>
      </w:r>
      <w:r w:rsidR="00C36C0C">
        <w:rPr>
          <w:lang w:val="en-GB"/>
        </w:rPr>
        <w:t>inty. Bounding analysis is often the result of expert judgement but should be based on solid arguments and refer to applicable evidence.</w:t>
      </w:r>
    </w:p>
    <w:p w:rsidR="00C9066E" w:rsidRDefault="00C9066E" w:rsidP="0087782B">
      <w:pPr>
        <w:rPr>
          <w:lang w:val="en-GB"/>
        </w:rPr>
      </w:pPr>
    </w:p>
    <w:p w:rsidR="0048673F" w:rsidRDefault="0048673F" w:rsidP="0087782B">
      <w:pPr>
        <w:rPr>
          <w:lang w:val="en-GB"/>
        </w:rPr>
      </w:pPr>
      <w:r>
        <w:rPr>
          <w:lang w:val="en-GB"/>
        </w:rPr>
        <w:t xml:space="preserve">The results of a bounding analysis in the context of a PSA can be a demonstration that the NPP </w:t>
      </w:r>
      <w:r w:rsidR="000C1715">
        <w:rPr>
          <w:lang w:val="en-GB"/>
        </w:rPr>
        <w:t>safety functions are not degraded in some specific conditions, or a conservative value of conditional failure probability of a safety function.</w:t>
      </w:r>
      <w:r w:rsidR="00764AEC">
        <w:rPr>
          <w:lang w:val="en-GB"/>
        </w:rPr>
        <w:br/>
      </w:r>
    </w:p>
    <w:p w:rsidR="00C36C0C" w:rsidRPr="005079A3" w:rsidRDefault="00C36C0C" w:rsidP="0087782B">
      <w:pPr>
        <w:rPr>
          <w:b/>
          <w:u w:val="single"/>
          <w:lang w:val="en-GB"/>
        </w:rPr>
      </w:pPr>
      <w:r w:rsidRPr="005079A3">
        <w:rPr>
          <w:b/>
          <w:u w:val="single"/>
          <w:lang w:val="en-GB"/>
        </w:rPr>
        <w:t>Claim</w:t>
      </w:r>
    </w:p>
    <w:p w:rsidR="00C36C0C" w:rsidRPr="00E20701" w:rsidRDefault="00C36C0C" w:rsidP="0087782B">
      <w:pPr>
        <w:rPr>
          <w:lang w:val="en-GB"/>
        </w:rPr>
      </w:pPr>
      <w:r>
        <w:rPr>
          <w:lang w:val="en-GB"/>
        </w:rPr>
        <w:t>A claim is an assertion by an analyst. A claim needs to be supported by arguments and can be demonstrated by evidence. For PSA, claims will be made with regard to all elements of a PSA model, including the frequency of events, their impact on the plant, the resilience of the plant, and reliability data.</w:t>
      </w:r>
    </w:p>
    <w:p w:rsidR="0087782B" w:rsidRDefault="0087782B" w:rsidP="001B7918">
      <w:pPr>
        <w:rPr>
          <w:szCs w:val="18"/>
          <w:lang w:val="en-US"/>
        </w:rPr>
      </w:pPr>
    </w:p>
    <w:p w:rsidR="0069604C" w:rsidRPr="005079A3" w:rsidRDefault="0069604C" w:rsidP="001B7918">
      <w:pPr>
        <w:rPr>
          <w:b/>
          <w:szCs w:val="18"/>
          <w:u w:val="single"/>
          <w:lang w:val="en-US"/>
        </w:rPr>
      </w:pPr>
      <w:r w:rsidRPr="005079A3">
        <w:rPr>
          <w:b/>
          <w:szCs w:val="18"/>
          <w:u w:val="single"/>
          <w:lang w:val="en-US"/>
        </w:rPr>
        <w:t>Core Damage Frequency (CDF)</w:t>
      </w:r>
    </w:p>
    <w:p w:rsidR="0069604C" w:rsidRDefault="0069604C" w:rsidP="001B7918">
      <w:pPr>
        <w:rPr>
          <w:szCs w:val="18"/>
          <w:lang w:val="en-US"/>
        </w:rPr>
      </w:pPr>
      <w:r w:rsidRPr="00313E82">
        <w:rPr>
          <w:rFonts w:eastAsia="Batang"/>
          <w:lang w:val="en-US"/>
        </w:rPr>
        <w:t>Core damage for PSA Level 1 is commonly understood to occur if there is a significant degradation of reactor core components (like fuel rod (cladding) or control rod).</w:t>
      </w:r>
      <w:r>
        <w:rPr>
          <w:rFonts w:eastAsia="Batang"/>
          <w:lang w:val="en-US"/>
        </w:rPr>
        <w:t xml:space="preserve"> </w:t>
      </w:r>
      <w:r w:rsidRPr="00313E82">
        <w:rPr>
          <w:rFonts w:eastAsia="Batang"/>
          <w:lang w:val="en-US"/>
        </w:rPr>
        <w:t>The quantification for the risk metric “core damage” is always the direct frequency (or probability) of the sequence in the risk model</w:t>
      </w:r>
      <w:r>
        <w:rPr>
          <w:rFonts w:eastAsia="Batang"/>
          <w:lang w:val="en-US"/>
        </w:rPr>
        <w:t xml:space="preserve">. </w:t>
      </w:r>
      <w:r w:rsidRPr="00313E82">
        <w:rPr>
          <w:rFonts w:eastAsia="Batang"/>
          <w:lang w:val="en-US"/>
        </w:rPr>
        <w:t>CDF should be defined as a subset of the FDF measure, specifically covering accidental scenarios with the potential for severe off-site releases related to the core of the reactor.</w:t>
      </w:r>
    </w:p>
    <w:p w:rsidR="0069604C" w:rsidRDefault="0069604C" w:rsidP="001B7918">
      <w:pPr>
        <w:rPr>
          <w:szCs w:val="18"/>
          <w:lang w:val="en-US"/>
        </w:rPr>
      </w:pPr>
    </w:p>
    <w:p w:rsidR="005949A6" w:rsidRPr="005079A3" w:rsidRDefault="005949A6" w:rsidP="001B7918">
      <w:pPr>
        <w:rPr>
          <w:b/>
          <w:szCs w:val="18"/>
          <w:u w:val="single"/>
          <w:lang w:val="en-US"/>
        </w:rPr>
      </w:pPr>
      <w:r w:rsidRPr="005079A3">
        <w:rPr>
          <w:b/>
          <w:szCs w:val="18"/>
          <w:u w:val="single"/>
          <w:lang w:val="en-US"/>
        </w:rPr>
        <w:t>Early Release Frequency (ERF)</w:t>
      </w:r>
    </w:p>
    <w:p w:rsidR="005949A6" w:rsidRDefault="005949A6" w:rsidP="001B7918">
      <w:pPr>
        <w:rPr>
          <w:szCs w:val="18"/>
          <w:lang w:val="en-US"/>
        </w:rPr>
      </w:pPr>
      <w:r w:rsidRPr="005949A6">
        <w:rPr>
          <w:szCs w:val="18"/>
          <w:lang w:val="en-US"/>
        </w:rPr>
        <w:t>An early release is commonly understood to cover scenarios with release to the outside of the plant or site perimeter, which happen before off-site emergency measures are effective</w:t>
      </w:r>
      <w:r>
        <w:rPr>
          <w:szCs w:val="18"/>
          <w:lang w:val="en-US"/>
        </w:rPr>
        <w:t xml:space="preserve">. </w:t>
      </w:r>
      <w:r w:rsidRPr="00313E82">
        <w:rPr>
          <w:rFonts w:eastAsia="Batang"/>
          <w:lang w:val="en-US"/>
        </w:rPr>
        <w:t xml:space="preserve">The quantification for the risk metric </w:t>
      </w:r>
      <w:r>
        <w:rPr>
          <w:rFonts w:eastAsia="Batang"/>
          <w:lang w:val="en-US"/>
        </w:rPr>
        <w:t>“early release”</w:t>
      </w:r>
      <w:r w:rsidRPr="00313E82">
        <w:rPr>
          <w:rFonts w:eastAsia="Batang"/>
          <w:lang w:val="en-US"/>
        </w:rPr>
        <w:t xml:space="preserve"> is always the direct frequency (or probability) of the sequence in the risk model</w:t>
      </w:r>
      <w:r>
        <w:rPr>
          <w:rFonts w:eastAsia="Batang"/>
          <w:lang w:val="en-US"/>
        </w:rPr>
        <w:t>. The time period for early releases should be determined based on the time needed for performing a comprehensive evacuation of the predetermined evacuation sector. The start for the “early” period of time should be consistently assigned to the declaration of a state of emergency by the responsible authority. There should be a minimum release threshold for ERF. We recommend to set such a release threshold consistent to “small” release categories (e.g. a filtered release) and consistent to thresholds for the RMF (if used). Based on these considerations, a lower threshold in the range of 1 TBq I-131 (equiv.) seems to be a reasonable approach.</w:t>
      </w:r>
      <w:r w:rsidR="00764AEC">
        <w:rPr>
          <w:rFonts w:eastAsia="Batang"/>
          <w:lang w:val="en-US"/>
        </w:rPr>
        <w:tab/>
      </w:r>
      <w:r w:rsidR="00764AEC">
        <w:rPr>
          <w:rFonts w:eastAsia="Batang"/>
          <w:lang w:val="en-US"/>
        </w:rPr>
        <w:br/>
      </w:r>
    </w:p>
    <w:p w:rsidR="000338CA" w:rsidRPr="005079A3" w:rsidRDefault="000338CA" w:rsidP="000338CA">
      <w:pPr>
        <w:rPr>
          <w:b/>
          <w:szCs w:val="18"/>
          <w:u w:val="single"/>
          <w:lang w:val="en-US"/>
        </w:rPr>
      </w:pPr>
      <w:r w:rsidRPr="005079A3">
        <w:rPr>
          <w:b/>
          <w:szCs w:val="18"/>
          <w:u w:val="single"/>
          <w:lang w:val="en-US"/>
        </w:rPr>
        <w:t>External Event</w:t>
      </w:r>
    </w:p>
    <w:p w:rsidR="000338CA" w:rsidRPr="005079A3" w:rsidRDefault="000338CA" w:rsidP="005079A3">
      <w:pPr>
        <w:rPr>
          <w:szCs w:val="18"/>
          <w:lang w:val="en-US"/>
        </w:rPr>
      </w:pPr>
      <w:r w:rsidRPr="005079A3">
        <w:rPr>
          <w:szCs w:val="18"/>
          <w:lang w:val="en-US"/>
        </w:rPr>
        <w:t>The term “external event” can have several distinct meanings</w:t>
      </w:r>
      <w:r w:rsidR="00781521">
        <w:rPr>
          <w:szCs w:val="18"/>
          <w:lang w:val="en-US"/>
        </w:rPr>
        <w:t>:</w:t>
      </w:r>
    </w:p>
    <w:p w:rsidR="000338CA" w:rsidRPr="007F1C02" w:rsidRDefault="000338CA" w:rsidP="00E62976">
      <w:pPr>
        <w:pStyle w:val="Paragraphedeliste"/>
        <w:numPr>
          <w:ilvl w:val="0"/>
          <w:numId w:val="46"/>
        </w:numPr>
        <w:spacing w:before="120" w:line="360" w:lineRule="auto"/>
        <w:ind w:left="714" w:hanging="357"/>
        <w:rPr>
          <w:rFonts w:ascii="Trebuchet MS" w:eastAsia="Times New Roman" w:hAnsi="Trebuchet MS"/>
          <w:sz w:val="18"/>
          <w:szCs w:val="24"/>
          <w:lang w:eastAsia="fr-FR"/>
        </w:rPr>
      </w:pPr>
      <w:r w:rsidRPr="007F1C02">
        <w:rPr>
          <w:rFonts w:ascii="Trebuchet MS" w:eastAsia="Times New Roman" w:hAnsi="Trebuchet MS"/>
          <w:sz w:val="18"/>
          <w:szCs w:val="24"/>
          <w:lang w:eastAsia="fr-FR"/>
        </w:rPr>
        <w:t>External event is used synonymous to external hazard, denoting a specific category of hazards</w:t>
      </w:r>
      <w:r w:rsidR="00781521">
        <w:rPr>
          <w:rFonts w:ascii="Trebuchet MS" w:eastAsia="Times New Roman" w:hAnsi="Trebuchet MS"/>
          <w:sz w:val="18"/>
          <w:szCs w:val="24"/>
          <w:lang w:eastAsia="fr-FR"/>
        </w:rPr>
        <w:t>.</w:t>
      </w:r>
    </w:p>
    <w:p w:rsidR="000338CA" w:rsidRPr="007F1C02" w:rsidRDefault="000338CA" w:rsidP="00E62976">
      <w:pPr>
        <w:pStyle w:val="Paragraphedeliste"/>
        <w:numPr>
          <w:ilvl w:val="0"/>
          <w:numId w:val="46"/>
        </w:numPr>
        <w:spacing w:line="360" w:lineRule="auto"/>
        <w:rPr>
          <w:rFonts w:ascii="Trebuchet MS" w:eastAsia="Times New Roman" w:hAnsi="Trebuchet MS"/>
          <w:sz w:val="18"/>
          <w:szCs w:val="24"/>
          <w:lang w:eastAsia="fr-FR"/>
        </w:rPr>
      </w:pPr>
      <w:r w:rsidRPr="007F1C02">
        <w:rPr>
          <w:rFonts w:ascii="Trebuchet MS" w:eastAsia="Times New Roman" w:hAnsi="Trebuchet MS"/>
          <w:sz w:val="18"/>
          <w:szCs w:val="24"/>
          <w:lang w:eastAsia="fr-FR"/>
        </w:rPr>
        <w:t>External event is used synonymous to the first meaning of hazard event when applied to an external hazard</w:t>
      </w:r>
      <w:r w:rsidR="00781521">
        <w:rPr>
          <w:rFonts w:ascii="Trebuchet MS" w:eastAsia="Times New Roman" w:hAnsi="Trebuchet MS"/>
          <w:sz w:val="18"/>
          <w:szCs w:val="24"/>
          <w:lang w:eastAsia="fr-FR"/>
        </w:rPr>
        <w:t>.</w:t>
      </w:r>
    </w:p>
    <w:p w:rsidR="000338CA" w:rsidRPr="007F1C02" w:rsidRDefault="000338CA" w:rsidP="00E62976">
      <w:pPr>
        <w:pStyle w:val="Paragraphedeliste"/>
        <w:numPr>
          <w:ilvl w:val="0"/>
          <w:numId w:val="46"/>
        </w:numPr>
        <w:spacing w:line="360" w:lineRule="auto"/>
        <w:rPr>
          <w:rFonts w:ascii="Trebuchet MS" w:eastAsia="Times New Roman" w:hAnsi="Trebuchet MS"/>
          <w:sz w:val="18"/>
          <w:szCs w:val="24"/>
          <w:lang w:eastAsia="fr-FR"/>
        </w:rPr>
      </w:pPr>
      <w:r w:rsidRPr="007F1C02">
        <w:rPr>
          <w:rFonts w:ascii="Trebuchet MS" w:eastAsia="Times New Roman" w:hAnsi="Trebuchet MS"/>
          <w:sz w:val="18"/>
          <w:szCs w:val="24"/>
          <w:lang w:eastAsia="fr-FR"/>
        </w:rPr>
        <w:t>External event is used synonymous to hazard scenario or hazard scenario group when applied to an external hazard</w:t>
      </w:r>
      <w:r w:rsidR="00781521">
        <w:rPr>
          <w:rFonts w:ascii="Trebuchet MS" w:eastAsia="Times New Roman" w:hAnsi="Trebuchet MS"/>
          <w:sz w:val="18"/>
          <w:szCs w:val="24"/>
          <w:lang w:eastAsia="fr-FR"/>
        </w:rPr>
        <w:t>.</w:t>
      </w:r>
    </w:p>
    <w:p w:rsidR="000338CA" w:rsidRPr="005079A3" w:rsidRDefault="0069604C" w:rsidP="001B7918">
      <w:pPr>
        <w:rPr>
          <w:b/>
          <w:szCs w:val="18"/>
          <w:u w:val="single"/>
          <w:lang w:val="en-US"/>
        </w:rPr>
      </w:pPr>
      <w:r w:rsidRPr="005079A3">
        <w:rPr>
          <w:b/>
          <w:szCs w:val="18"/>
          <w:u w:val="single"/>
          <w:lang w:val="en-US"/>
        </w:rPr>
        <w:t>Fuel Damage Frequency (FDF)</w:t>
      </w:r>
    </w:p>
    <w:p w:rsidR="0069604C" w:rsidRDefault="0069604C" w:rsidP="001B7918">
      <w:pPr>
        <w:rPr>
          <w:szCs w:val="18"/>
          <w:lang w:val="en-US"/>
        </w:rPr>
      </w:pPr>
      <w:r>
        <w:rPr>
          <w:rFonts w:eastAsia="Batang"/>
          <w:lang w:val="en-US"/>
        </w:rPr>
        <w:t xml:space="preserve">A </w:t>
      </w:r>
      <w:r w:rsidRPr="00313E82">
        <w:rPr>
          <w:rFonts w:eastAsia="Batang"/>
          <w:lang w:val="en-US"/>
        </w:rPr>
        <w:t>fuel damage state should be understood as a loss of integrity of fuel elements on the site, which has the potential for a severe accident, irrespective of operating state of the reactor or location of the fuel.</w:t>
      </w:r>
      <w:r>
        <w:rPr>
          <w:rFonts w:eastAsia="Batang"/>
          <w:lang w:val="en-US"/>
        </w:rPr>
        <w:t xml:space="preserve"> The q</w:t>
      </w:r>
      <w:r w:rsidRPr="00313E82">
        <w:rPr>
          <w:rFonts w:eastAsia="Batang"/>
          <w:lang w:val="en-US"/>
        </w:rPr>
        <w:t>uantification of the FDF is always done with the direct frequency (or probability) of the sequence in the risk model</w:t>
      </w:r>
      <w:r>
        <w:rPr>
          <w:rFonts w:eastAsia="Batang"/>
          <w:lang w:val="en-US"/>
        </w:rPr>
        <w:t xml:space="preserve">. </w:t>
      </w:r>
      <w:r w:rsidR="00222401">
        <w:rPr>
          <w:rFonts w:eastAsia="Batang"/>
          <w:lang w:val="en-US"/>
        </w:rPr>
        <w:fldChar w:fldCharType="begin"/>
      </w:r>
      <w:r w:rsidR="00222401">
        <w:rPr>
          <w:rFonts w:eastAsia="Batang"/>
          <w:lang w:val="en-US"/>
        </w:rPr>
        <w:instrText xml:space="preserve"> REF _Ref422842679 \r \h </w:instrText>
      </w:r>
      <w:r w:rsidR="00222401">
        <w:rPr>
          <w:rFonts w:eastAsia="Batang"/>
          <w:lang w:val="en-US"/>
        </w:rPr>
      </w:r>
      <w:r w:rsidR="00222401">
        <w:rPr>
          <w:rFonts w:eastAsia="Batang"/>
          <w:lang w:val="en-US"/>
        </w:rPr>
        <w:fldChar w:fldCharType="separate"/>
      </w:r>
      <w:r w:rsidR="00E62976">
        <w:rPr>
          <w:rFonts w:eastAsia="Batang"/>
          <w:lang w:val="en-US"/>
        </w:rPr>
        <w:t>[86]</w:t>
      </w:r>
      <w:r w:rsidR="00222401">
        <w:rPr>
          <w:rFonts w:eastAsia="Batang"/>
          <w:lang w:val="en-US"/>
        </w:rPr>
        <w:fldChar w:fldCharType="end"/>
      </w:r>
    </w:p>
    <w:p w:rsidR="0069604C" w:rsidRDefault="0069604C" w:rsidP="001B7918">
      <w:pPr>
        <w:rPr>
          <w:szCs w:val="18"/>
          <w:lang w:val="en-US"/>
        </w:rPr>
      </w:pPr>
    </w:p>
    <w:p w:rsidR="000338CA" w:rsidRPr="005079A3" w:rsidRDefault="000338CA" w:rsidP="000338CA">
      <w:pPr>
        <w:rPr>
          <w:b/>
          <w:szCs w:val="18"/>
          <w:u w:val="single"/>
          <w:lang w:val="en-GB"/>
        </w:rPr>
      </w:pPr>
      <w:r w:rsidRPr="005079A3">
        <w:rPr>
          <w:b/>
          <w:szCs w:val="18"/>
          <w:u w:val="single"/>
          <w:lang w:val="en-GB"/>
        </w:rPr>
        <w:t>Hazard</w:t>
      </w:r>
    </w:p>
    <w:p w:rsidR="000338CA" w:rsidRPr="001B7918" w:rsidRDefault="000338CA" w:rsidP="000338CA">
      <w:pPr>
        <w:rPr>
          <w:szCs w:val="18"/>
          <w:highlight w:val="yellow"/>
          <w:lang w:val="en-GB"/>
        </w:rPr>
      </w:pPr>
      <w:r w:rsidRPr="001B7918">
        <w:rPr>
          <w:szCs w:val="18"/>
          <w:lang w:val="en-GB"/>
        </w:rPr>
        <w:t>The term “hazard” has multiple specific meanings. In a general sense, a hazard refers to a situation that poses a level of threat to some valuable asset, including life, hea</w:t>
      </w:r>
      <w:r w:rsidR="003F0898">
        <w:rPr>
          <w:szCs w:val="18"/>
          <w:lang w:val="en-GB"/>
        </w:rPr>
        <w:t>l</w:t>
      </w:r>
      <w:r w:rsidRPr="001B7918">
        <w:rPr>
          <w:szCs w:val="18"/>
          <w:lang w:val="en-GB"/>
        </w:rPr>
        <w:t xml:space="preserve">th, property, or the environment. In this report, hazard is not used in this way. Instead, a hazard is synonymous to an event with the ability to challenge the nuclear safety of the plant (i.e. cause an IE, see below) and simultaneously reduce or degrade SSC relevant for controlling the </w:t>
      </w:r>
      <w:r w:rsidRPr="00080288">
        <w:rPr>
          <w:szCs w:val="18"/>
          <w:lang w:val="en-GB"/>
        </w:rPr>
        <w:t xml:space="preserve">event. </w:t>
      </w:r>
      <w:r w:rsidRPr="005079A3">
        <w:rPr>
          <w:szCs w:val="18"/>
          <w:lang w:val="en-GB"/>
        </w:rPr>
        <w:t xml:space="preserve">Moreover, there needs to be a mechanism by which the hazard either affects directly or may affect by spreading or propagation more than one specific location in the plant. When referring to specific hazards, the events are often identified with the spreading or propagation mechanism (cf. fire, flooding, earthquake). </w:t>
      </w:r>
    </w:p>
    <w:p w:rsidR="000338CA" w:rsidRPr="008466A5" w:rsidRDefault="000338CA" w:rsidP="000338CA">
      <w:pPr>
        <w:autoSpaceDE w:val="0"/>
        <w:autoSpaceDN w:val="0"/>
        <w:adjustRightInd w:val="0"/>
        <w:jc w:val="left"/>
        <w:rPr>
          <w:szCs w:val="18"/>
          <w:lang w:val="en-GB"/>
        </w:rPr>
      </w:pPr>
      <w:r w:rsidRPr="005079A3">
        <w:rPr>
          <w:szCs w:val="18"/>
          <w:lang w:val="en-GB"/>
        </w:rPr>
        <w:t>Hazards are further categorized as (cf. e.g. SSG-3</w:t>
      </w:r>
      <w:r w:rsidR="00273113">
        <w:rPr>
          <w:szCs w:val="18"/>
          <w:lang w:val="en-GB"/>
        </w:rPr>
        <w:t xml:space="preserve"> </w:t>
      </w:r>
      <w:r w:rsidR="00273113">
        <w:rPr>
          <w:szCs w:val="18"/>
          <w:lang w:val="en-GB"/>
        </w:rPr>
        <w:fldChar w:fldCharType="begin"/>
      </w:r>
      <w:r w:rsidR="00273113">
        <w:rPr>
          <w:szCs w:val="18"/>
          <w:lang w:val="en-GB"/>
        </w:rPr>
        <w:instrText xml:space="preserve"> REF _Ref384386913 \r \h </w:instrText>
      </w:r>
      <w:r w:rsidR="00273113">
        <w:rPr>
          <w:szCs w:val="18"/>
          <w:lang w:val="en-GB"/>
        </w:rPr>
      </w:r>
      <w:r w:rsidR="00273113">
        <w:rPr>
          <w:szCs w:val="18"/>
          <w:lang w:val="en-GB"/>
        </w:rPr>
        <w:fldChar w:fldCharType="separate"/>
      </w:r>
      <w:r w:rsidR="00E62976">
        <w:rPr>
          <w:szCs w:val="18"/>
          <w:lang w:val="en-GB"/>
        </w:rPr>
        <w:t>[4]</w:t>
      </w:r>
      <w:r w:rsidR="00273113">
        <w:rPr>
          <w:szCs w:val="18"/>
          <w:lang w:val="en-GB"/>
        </w:rPr>
        <w:fldChar w:fldCharType="end"/>
      </w:r>
      <w:r w:rsidRPr="005079A3">
        <w:rPr>
          <w:szCs w:val="18"/>
          <w:lang w:val="en-GB"/>
        </w:rPr>
        <w:t>):</w:t>
      </w:r>
    </w:p>
    <w:p w:rsidR="000338CA" w:rsidRDefault="000338CA" w:rsidP="000338CA">
      <w:pPr>
        <w:autoSpaceDE w:val="0"/>
        <w:autoSpaceDN w:val="0"/>
        <w:adjustRightInd w:val="0"/>
        <w:jc w:val="left"/>
        <w:rPr>
          <w:szCs w:val="18"/>
          <w:lang w:val="en-GB"/>
        </w:rPr>
      </w:pPr>
      <w:r w:rsidRPr="008466A5">
        <w:rPr>
          <w:szCs w:val="18"/>
          <w:lang w:val="en-GB"/>
        </w:rPr>
        <w:t xml:space="preserve">(a) </w:t>
      </w:r>
      <w:r w:rsidRPr="00EA5D9F">
        <w:rPr>
          <w:b/>
          <w:szCs w:val="18"/>
          <w:lang w:val="en-GB"/>
        </w:rPr>
        <w:t>Internal hazards</w:t>
      </w:r>
      <w:r w:rsidRPr="008466A5">
        <w:rPr>
          <w:szCs w:val="18"/>
          <w:lang w:val="en-GB"/>
        </w:rPr>
        <w:t xml:space="preserve"> originating from the sources located on the site of the</w:t>
      </w:r>
      <w:r>
        <w:rPr>
          <w:szCs w:val="18"/>
          <w:lang w:val="en-GB"/>
        </w:rPr>
        <w:t xml:space="preserve"> </w:t>
      </w:r>
      <w:r w:rsidRPr="008466A5">
        <w:rPr>
          <w:szCs w:val="18"/>
          <w:lang w:val="en-GB"/>
        </w:rPr>
        <w:t>nuclear power plant, both inside and outside plant buildings. Examples of</w:t>
      </w:r>
      <w:r>
        <w:rPr>
          <w:szCs w:val="18"/>
          <w:lang w:val="en-GB"/>
        </w:rPr>
        <w:t xml:space="preserve"> </w:t>
      </w:r>
      <w:r w:rsidRPr="008466A5">
        <w:rPr>
          <w:szCs w:val="18"/>
          <w:lang w:val="en-GB"/>
        </w:rPr>
        <w:t xml:space="preserve">internal hazards are internal fires, </w:t>
      </w:r>
      <w:r>
        <w:rPr>
          <w:szCs w:val="18"/>
          <w:lang w:val="en-GB"/>
        </w:rPr>
        <w:t>internal floods, turbine missiles</w:t>
      </w:r>
      <w:r w:rsidRPr="008466A5">
        <w:rPr>
          <w:szCs w:val="18"/>
          <w:lang w:val="en-GB"/>
        </w:rPr>
        <w:t>, on-site</w:t>
      </w:r>
      <w:r>
        <w:rPr>
          <w:szCs w:val="18"/>
          <w:lang w:val="en-GB"/>
        </w:rPr>
        <w:t xml:space="preserve"> t</w:t>
      </w:r>
      <w:r w:rsidRPr="00987020">
        <w:rPr>
          <w:szCs w:val="18"/>
          <w:lang w:val="en-GB"/>
        </w:rPr>
        <w:t>ransportation accidents and releases of toxic substances from on-site</w:t>
      </w:r>
      <w:r>
        <w:rPr>
          <w:szCs w:val="18"/>
          <w:lang w:val="en-GB"/>
        </w:rPr>
        <w:t xml:space="preserve"> </w:t>
      </w:r>
      <w:r w:rsidRPr="00987020">
        <w:rPr>
          <w:szCs w:val="18"/>
          <w:lang w:val="en-GB"/>
        </w:rPr>
        <w:t>storage facilities.</w:t>
      </w:r>
    </w:p>
    <w:p w:rsidR="000338CA" w:rsidRDefault="000338CA" w:rsidP="000338CA">
      <w:pPr>
        <w:autoSpaceDE w:val="0"/>
        <w:autoSpaceDN w:val="0"/>
        <w:adjustRightInd w:val="0"/>
        <w:jc w:val="left"/>
        <w:rPr>
          <w:szCs w:val="18"/>
          <w:lang w:val="en-GB"/>
        </w:rPr>
      </w:pPr>
      <w:r>
        <w:rPr>
          <w:szCs w:val="18"/>
          <w:lang w:val="en-GB"/>
        </w:rPr>
        <w:t>(b)</w:t>
      </w:r>
      <w:r w:rsidRPr="008466A5">
        <w:rPr>
          <w:b/>
          <w:szCs w:val="18"/>
          <w:lang w:val="en-GB"/>
        </w:rPr>
        <w:t xml:space="preserve"> External hazards</w:t>
      </w:r>
      <w:r w:rsidRPr="003B167A">
        <w:rPr>
          <w:szCs w:val="18"/>
          <w:lang w:val="en-GB"/>
        </w:rPr>
        <w:t xml:space="preserve"> originating from the sources located outside the site of</w:t>
      </w:r>
      <w:r>
        <w:rPr>
          <w:szCs w:val="18"/>
          <w:lang w:val="en-GB"/>
        </w:rPr>
        <w:t xml:space="preserve"> </w:t>
      </w:r>
      <w:r w:rsidRPr="003B167A">
        <w:rPr>
          <w:szCs w:val="18"/>
          <w:lang w:val="en-GB"/>
        </w:rPr>
        <w:t>the nuclear power plant. Examples of external hazards are seismic hazards,</w:t>
      </w:r>
      <w:r>
        <w:rPr>
          <w:szCs w:val="18"/>
          <w:lang w:val="en-GB"/>
        </w:rPr>
        <w:t xml:space="preserve"> </w:t>
      </w:r>
      <w:r w:rsidRPr="003B167A">
        <w:rPr>
          <w:szCs w:val="18"/>
          <w:lang w:val="en-GB"/>
        </w:rPr>
        <w:t>external fires (e.g. fires affecting the site and originating from nearby</w:t>
      </w:r>
      <w:r>
        <w:rPr>
          <w:szCs w:val="18"/>
          <w:lang w:val="en-GB"/>
        </w:rPr>
        <w:t xml:space="preserve"> </w:t>
      </w:r>
      <w:r w:rsidRPr="003B167A">
        <w:rPr>
          <w:szCs w:val="18"/>
          <w:lang w:val="en-GB"/>
        </w:rPr>
        <w:t>forest fires), external floods, high winds and wind induced missiles,</w:t>
      </w:r>
      <w:r>
        <w:rPr>
          <w:szCs w:val="18"/>
          <w:lang w:val="en-GB"/>
        </w:rPr>
        <w:t xml:space="preserve"> </w:t>
      </w:r>
      <w:r w:rsidRPr="003B167A">
        <w:rPr>
          <w:szCs w:val="18"/>
          <w:lang w:val="en-GB"/>
        </w:rPr>
        <w:t>off-site transportation accidents, releases of toxic substances from off-site</w:t>
      </w:r>
      <w:r>
        <w:rPr>
          <w:szCs w:val="18"/>
          <w:lang w:val="en-GB"/>
        </w:rPr>
        <w:t xml:space="preserve"> </w:t>
      </w:r>
      <w:r w:rsidRPr="003B167A">
        <w:rPr>
          <w:szCs w:val="18"/>
          <w:lang w:val="en-GB"/>
        </w:rPr>
        <w:t xml:space="preserve">storage facilities and </w:t>
      </w:r>
      <w:r>
        <w:rPr>
          <w:szCs w:val="18"/>
          <w:lang w:val="en-GB"/>
        </w:rPr>
        <w:t xml:space="preserve">other </w:t>
      </w:r>
      <w:r w:rsidRPr="003B167A">
        <w:rPr>
          <w:szCs w:val="18"/>
          <w:lang w:val="en-GB"/>
        </w:rPr>
        <w:t>severe weather conditions.</w:t>
      </w:r>
    </w:p>
    <w:p w:rsidR="00BD2194" w:rsidRPr="00E20701" w:rsidRDefault="00BD2194" w:rsidP="000338CA">
      <w:pPr>
        <w:rPr>
          <w:lang w:val="en-GB"/>
        </w:rPr>
      </w:pPr>
    </w:p>
    <w:p w:rsidR="00C61025" w:rsidRPr="001B7918" w:rsidRDefault="00C61025" w:rsidP="000338CA">
      <w:pPr>
        <w:rPr>
          <w:b/>
          <w:lang w:val="en-GB"/>
        </w:rPr>
      </w:pPr>
      <w:r w:rsidRPr="005079A3">
        <w:rPr>
          <w:b/>
          <w:u w:val="single"/>
          <w:lang w:val="en-GB"/>
        </w:rPr>
        <w:t>Hazard event</w:t>
      </w:r>
    </w:p>
    <w:p w:rsidR="000338CA" w:rsidRDefault="000338CA" w:rsidP="005079A3">
      <w:pPr>
        <w:spacing w:before="120" w:line="360" w:lineRule="auto"/>
        <w:rPr>
          <w:lang w:val="en-GB"/>
        </w:rPr>
      </w:pPr>
      <w:r>
        <w:rPr>
          <w:lang w:val="en-GB"/>
        </w:rPr>
        <w:t>The term hazard event can have t</w:t>
      </w:r>
      <w:r w:rsidR="001E3653">
        <w:rPr>
          <w:lang w:val="en-GB"/>
        </w:rPr>
        <w:t>w</w:t>
      </w:r>
      <w:r>
        <w:rPr>
          <w:lang w:val="en-GB"/>
        </w:rPr>
        <w:t>o distinct meaning</w:t>
      </w:r>
      <w:r w:rsidR="001E3653">
        <w:rPr>
          <w:lang w:val="en-GB"/>
        </w:rPr>
        <w:t>s</w:t>
      </w:r>
      <w:r w:rsidR="002A1A4A">
        <w:rPr>
          <w:lang w:val="en-GB"/>
        </w:rPr>
        <w:t>:</w:t>
      </w:r>
    </w:p>
    <w:p w:rsidR="000338CA" w:rsidRPr="007F1C02" w:rsidRDefault="000338CA" w:rsidP="00E62976">
      <w:pPr>
        <w:pStyle w:val="Paragraphedeliste"/>
        <w:numPr>
          <w:ilvl w:val="0"/>
          <w:numId w:val="45"/>
        </w:numPr>
        <w:spacing w:line="360" w:lineRule="auto"/>
        <w:rPr>
          <w:rFonts w:ascii="Trebuchet MS" w:eastAsia="Times New Roman" w:hAnsi="Trebuchet MS"/>
          <w:sz w:val="18"/>
          <w:szCs w:val="24"/>
          <w:lang w:eastAsia="fr-FR"/>
        </w:rPr>
      </w:pPr>
      <w:r w:rsidRPr="007F1C02">
        <w:rPr>
          <w:rFonts w:ascii="Trebuchet MS" w:eastAsia="Times New Roman" w:hAnsi="Trebuchet MS"/>
          <w:sz w:val="18"/>
          <w:szCs w:val="24"/>
          <w:lang w:eastAsia="fr-FR"/>
        </w:rPr>
        <w:t xml:space="preserve">Hazard event is a specific realization of a hazard. This specific realization occurred to an installation with some specific boundary conditions and specific consequences. </w:t>
      </w:r>
    </w:p>
    <w:p w:rsidR="000338CA" w:rsidRPr="007F1C02" w:rsidRDefault="000338CA" w:rsidP="00E62976">
      <w:pPr>
        <w:pStyle w:val="Paragraphedeliste"/>
        <w:numPr>
          <w:ilvl w:val="0"/>
          <w:numId w:val="45"/>
        </w:numPr>
        <w:spacing w:line="360" w:lineRule="auto"/>
        <w:rPr>
          <w:rFonts w:ascii="Trebuchet MS" w:eastAsia="Times New Roman" w:hAnsi="Trebuchet MS"/>
          <w:sz w:val="18"/>
          <w:szCs w:val="24"/>
          <w:lang w:eastAsia="fr-FR"/>
        </w:rPr>
      </w:pPr>
      <w:r w:rsidRPr="007F1C02">
        <w:rPr>
          <w:rFonts w:ascii="Trebuchet MS" w:eastAsia="Times New Roman" w:hAnsi="Trebuchet MS"/>
          <w:sz w:val="18"/>
          <w:szCs w:val="24"/>
          <w:lang w:eastAsia="fr-FR"/>
        </w:rPr>
        <w:t>Hazard event is used imprecisely to denote a specific potential realization of a hazard. In this report, the term “hazard scenario” is preferred.</w:t>
      </w:r>
    </w:p>
    <w:p w:rsidR="000338CA" w:rsidRPr="005079A3" w:rsidRDefault="000338CA" w:rsidP="000338CA">
      <w:pPr>
        <w:rPr>
          <w:b/>
          <w:u w:val="single"/>
          <w:lang w:val="en-GB"/>
        </w:rPr>
      </w:pPr>
      <w:r w:rsidRPr="005079A3">
        <w:rPr>
          <w:b/>
          <w:u w:val="single"/>
          <w:lang w:val="en-GB"/>
        </w:rPr>
        <w:t>Hazard Scenario</w:t>
      </w:r>
    </w:p>
    <w:p w:rsidR="000338CA" w:rsidRDefault="000338CA" w:rsidP="000338CA">
      <w:pPr>
        <w:rPr>
          <w:lang w:val="en-GB"/>
        </w:rPr>
      </w:pPr>
      <w:r>
        <w:rPr>
          <w:lang w:val="en-GB"/>
        </w:rPr>
        <w:t xml:space="preserve">The term hazard scenario describes a potential (assumed) realization of a hazard defined by at least one characteristic parameter for the severity of hazard impact to the plant (e.g. an earthquake with peak ground acceleration (pga) of </w:t>
      </w:r>
      <w:r w:rsidRPr="00080288">
        <w:rPr>
          <w:lang w:val="en-GB"/>
        </w:rPr>
        <w:t xml:space="preserve">0.5 g). </w:t>
      </w:r>
      <w:r w:rsidRPr="005079A3">
        <w:rPr>
          <w:lang w:val="en-GB"/>
        </w:rPr>
        <w:t xml:space="preserve">The hazard scenario usually represents a whole set of similar potential realizations of the same hazard, which are bounded in impact severity by the specified assumptions (e.g. the hazard scenario applied to earthquakes with 0.25 g &lt; pga ≤ 0.5 g). </w:t>
      </w:r>
      <w:r w:rsidRPr="00080288">
        <w:rPr>
          <w:lang w:val="en-GB"/>
        </w:rPr>
        <w:t>In addition, a hazard scenario may entail further specifications like boundary conditions, additional assumptions, and consequential</w:t>
      </w:r>
      <w:r>
        <w:rPr>
          <w:lang w:val="en-GB"/>
        </w:rPr>
        <w:t xml:space="preserve"> effects. Moreover, a hazard scenario may describe combinations of hazards or combinations of hazards with other (internal) events. Importantly, the hazard scenario shall be sufficiently specific so that a likelihood of occurrence can be assigned to it. </w:t>
      </w:r>
    </w:p>
    <w:p w:rsidR="000338CA" w:rsidRDefault="000338CA" w:rsidP="000338CA">
      <w:pPr>
        <w:rPr>
          <w:lang w:val="en-GB"/>
        </w:rPr>
      </w:pPr>
      <w:r>
        <w:rPr>
          <w:lang w:val="en-GB"/>
        </w:rPr>
        <w:t>In this report, hazard scenario is specifically used to describe the postulated scenario, which is assumed for investigating hazard impact and identification of triggered initiating events within a hazard PSA. Thereby, the assumed scenario is separated from the more general hazard.</w:t>
      </w:r>
    </w:p>
    <w:p w:rsidR="00BD2194" w:rsidRDefault="00BD2194" w:rsidP="000338CA">
      <w:pPr>
        <w:rPr>
          <w:lang w:val="en-GB"/>
        </w:rPr>
      </w:pPr>
    </w:p>
    <w:p w:rsidR="000338CA" w:rsidRPr="005079A3" w:rsidRDefault="000338CA" w:rsidP="000338CA">
      <w:pPr>
        <w:rPr>
          <w:b/>
          <w:u w:val="single"/>
          <w:lang w:val="en-GB"/>
        </w:rPr>
      </w:pPr>
      <w:r w:rsidRPr="005079A3">
        <w:rPr>
          <w:b/>
          <w:u w:val="single"/>
          <w:lang w:val="en-GB"/>
        </w:rPr>
        <w:t>Hazard Scenario Group</w:t>
      </w:r>
    </w:p>
    <w:p w:rsidR="000338CA" w:rsidRDefault="000338CA" w:rsidP="000338CA">
      <w:pPr>
        <w:rPr>
          <w:lang w:val="en-GB"/>
        </w:rPr>
      </w:pPr>
      <w:r>
        <w:rPr>
          <w:lang w:val="en-GB"/>
        </w:rPr>
        <w:t>The term hazard scenario group is a specification of the hazard scenario term. The hazard scenario group denotes a specific hazard scenario, which is defined with specific characteristic parameters and boundary conditions, and which is used as an enveloping scenario for several other hazard scenarios (with different characteristic parameters, boundary conditions and potentially even different hazard mechanisms). Importantly, the likelihood assigned to a hazard scenario group shall gather the likelihood of all constituent likelihoods. Moreover, it shall be enveloping or bounding in its characteristic parameters and in its boundary conditions regarding the impact on the plant for all constituent hazard scenarios. In this report, the term is used mainly to clearly designate the representative hazard scenarios arrived at after screening, impact assessment, and grouping of hazards.</w:t>
      </w:r>
    </w:p>
    <w:p w:rsidR="00F363C5" w:rsidRDefault="00F363C5" w:rsidP="00F4691F">
      <w:pPr>
        <w:rPr>
          <w:rFonts w:eastAsia="Batang"/>
          <w:lang w:val="en-GB"/>
        </w:rPr>
      </w:pPr>
    </w:p>
    <w:p w:rsidR="0087782B" w:rsidRPr="00E20701" w:rsidRDefault="0087782B" w:rsidP="0087782B">
      <w:pPr>
        <w:rPr>
          <w:lang w:val="en-GB"/>
        </w:rPr>
      </w:pPr>
      <w:r w:rsidRPr="001B7918">
        <w:rPr>
          <w:b/>
          <w:u w:val="single"/>
          <w:lang w:val="en-GB"/>
        </w:rPr>
        <w:t>Impact Analysis</w:t>
      </w:r>
    </w:p>
    <w:p w:rsidR="0087782B" w:rsidRDefault="00CA3716" w:rsidP="00F4691F">
      <w:pPr>
        <w:rPr>
          <w:rFonts w:eastAsia="Batang"/>
          <w:lang w:val="en-GB"/>
        </w:rPr>
      </w:pPr>
      <w:r>
        <w:rPr>
          <w:rFonts w:eastAsia="Batang"/>
          <w:lang w:val="en-GB"/>
        </w:rPr>
        <w:t>A hazard or hazard scenario results in (potentially detrimental) effects on the plant and its safety. Impact analysis is the investigation of the consequential effects of a hazard or hazard scenario impacting on the plant with the assumed severity. Impact analysis identifies the affected systems, structures, and components as well as other safety provisions and determines if and to what exten</w:t>
      </w:r>
      <w:r w:rsidR="00A72107">
        <w:rPr>
          <w:rFonts w:eastAsia="Batang"/>
          <w:lang w:val="en-GB"/>
        </w:rPr>
        <w:t>t</w:t>
      </w:r>
      <w:r>
        <w:rPr>
          <w:rFonts w:eastAsia="Batang"/>
          <w:lang w:val="en-GB"/>
        </w:rPr>
        <w:t xml:space="preserve"> plant safety is challenged. The scope and level of detail of impact analysis depends on the specific application. During hazards screening for a PSA, impact analysis is performed </w:t>
      </w:r>
      <w:r w:rsidR="00FB65D9">
        <w:rPr>
          <w:rFonts w:eastAsia="Batang"/>
          <w:lang w:val="en-GB"/>
        </w:rPr>
        <w:t>firstly</w:t>
      </w:r>
      <w:r>
        <w:rPr>
          <w:rFonts w:eastAsia="Batang"/>
          <w:lang w:val="en-GB"/>
        </w:rPr>
        <w:t xml:space="preserve"> in order to determine if plant safety is challenged by hazard impact at all, and then as part of bounding analysis for the respective hazard or hazard scenario.</w:t>
      </w:r>
    </w:p>
    <w:p w:rsidR="0087782B" w:rsidRDefault="0087782B" w:rsidP="00F4691F">
      <w:pPr>
        <w:rPr>
          <w:rFonts w:eastAsia="Batang"/>
          <w:lang w:val="en-GB"/>
        </w:rPr>
      </w:pPr>
    </w:p>
    <w:p w:rsidR="0087782B" w:rsidRPr="008466A5" w:rsidRDefault="0087782B" w:rsidP="0087782B">
      <w:pPr>
        <w:rPr>
          <w:b/>
          <w:szCs w:val="18"/>
          <w:u w:val="single"/>
          <w:lang w:val="en-GB"/>
        </w:rPr>
      </w:pPr>
      <w:r>
        <w:rPr>
          <w:b/>
          <w:szCs w:val="18"/>
          <w:u w:val="single"/>
          <w:lang w:val="en-GB"/>
        </w:rPr>
        <w:t>I</w:t>
      </w:r>
      <w:r w:rsidRPr="008466A5">
        <w:rPr>
          <w:b/>
          <w:szCs w:val="18"/>
          <w:u w:val="single"/>
          <w:lang w:val="en-GB"/>
        </w:rPr>
        <w:t>nitiating Event</w:t>
      </w:r>
      <w:r w:rsidRPr="00552CCE">
        <w:rPr>
          <w:b/>
          <w:szCs w:val="18"/>
          <w:u w:val="single"/>
          <w:lang w:val="en-GB"/>
        </w:rPr>
        <w:t xml:space="preserve"> (IE)</w:t>
      </w:r>
    </w:p>
    <w:p w:rsidR="0087782B" w:rsidRDefault="0087782B" w:rsidP="0087782B">
      <w:pPr>
        <w:autoSpaceDE w:val="0"/>
        <w:autoSpaceDN w:val="0"/>
        <w:adjustRightInd w:val="0"/>
        <w:jc w:val="left"/>
        <w:rPr>
          <w:szCs w:val="18"/>
          <w:lang w:val="en-GB"/>
        </w:rPr>
      </w:pPr>
      <w:r w:rsidRPr="008466A5">
        <w:rPr>
          <w:szCs w:val="18"/>
          <w:lang w:val="en-GB" w:eastAsia="de-DE"/>
        </w:rPr>
        <w:t>An initiating event is an event that could lead directly to fuel damage</w:t>
      </w:r>
      <w:r w:rsidR="001E3653">
        <w:rPr>
          <w:szCs w:val="18"/>
          <w:lang w:val="en-GB" w:eastAsia="de-DE"/>
        </w:rPr>
        <w:t>,</w:t>
      </w:r>
      <w:r w:rsidRPr="008466A5">
        <w:rPr>
          <w:szCs w:val="18"/>
          <w:lang w:val="en-GB" w:eastAsia="de-DE"/>
        </w:rPr>
        <w:t xml:space="preserve"> </w:t>
      </w:r>
      <w:r w:rsidR="001E3653">
        <w:rPr>
          <w:szCs w:val="18"/>
          <w:lang w:val="en-GB" w:eastAsia="de-DE"/>
        </w:rPr>
        <w:t xml:space="preserve">or the failure of containment for a radionuclide source leading to the potential mobilization of radionuclides, </w:t>
      </w:r>
      <w:r w:rsidRPr="008466A5">
        <w:rPr>
          <w:szCs w:val="18"/>
          <w:lang w:val="en-GB" w:eastAsia="de-DE"/>
        </w:rPr>
        <w:t xml:space="preserve">or that challenges normal operation </w:t>
      </w:r>
      <w:r w:rsidR="001E3653">
        <w:rPr>
          <w:szCs w:val="18"/>
          <w:lang w:val="en-GB" w:eastAsia="de-DE"/>
        </w:rPr>
        <w:t>in a way</w:t>
      </w:r>
      <w:r w:rsidR="001E3653" w:rsidRPr="008466A5">
        <w:rPr>
          <w:szCs w:val="18"/>
          <w:lang w:val="en-GB" w:eastAsia="de-DE"/>
        </w:rPr>
        <w:t xml:space="preserve"> </w:t>
      </w:r>
      <w:r w:rsidRPr="008466A5">
        <w:rPr>
          <w:szCs w:val="18"/>
          <w:lang w:val="en-GB" w:eastAsia="de-DE"/>
        </w:rPr>
        <w:t xml:space="preserve">which requires successful mitigation using safety or non-safety systems to prevent </w:t>
      </w:r>
      <w:r w:rsidR="001E3653">
        <w:rPr>
          <w:szCs w:val="18"/>
          <w:lang w:val="en-GB" w:eastAsia="de-DE"/>
        </w:rPr>
        <w:t>such outcomes</w:t>
      </w:r>
      <w:r w:rsidRPr="008466A5">
        <w:rPr>
          <w:szCs w:val="18"/>
          <w:lang w:val="en-GB" w:eastAsia="de-DE"/>
        </w:rPr>
        <w:t>.</w:t>
      </w:r>
    </w:p>
    <w:p w:rsidR="0087782B" w:rsidRDefault="0087782B" w:rsidP="0087782B">
      <w:pPr>
        <w:autoSpaceDE w:val="0"/>
        <w:autoSpaceDN w:val="0"/>
        <w:adjustRightInd w:val="0"/>
        <w:jc w:val="left"/>
        <w:rPr>
          <w:szCs w:val="18"/>
          <w:lang w:val="en-GB" w:eastAsia="de-DE"/>
        </w:rPr>
      </w:pPr>
    </w:p>
    <w:p w:rsidR="0087782B" w:rsidRPr="008466A5" w:rsidRDefault="0087782B" w:rsidP="0087782B">
      <w:pPr>
        <w:autoSpaceDE w:val="0"/>
        <w:autoSpaceDN w:val="0"/>
        <w:adjustRightInd w:val="0"/>
        <w:jc w:val="left"/>
        <w:rPr>
          <w:szCs w:val="18"/>
          <w:lang w:val="en-GB" w:eastAsia="de-DE"/>
        </w:rPr>
      </w:pPr>
      <w:r w:rsidRPr="008466A5">
        <w:rPr>
          <w:szCs w:val="18"/>
          <w:lang w:val="en-GB" w:eastAsia="de-DE"/>
        </w:rPr>
        <w:t xml:space="preserve">Note: This is a modified definition from SSG-3 </w:t>
      </w:r>
      <w:r w:rsidR="00A72107">
        <w:fldChar w:fldCharType="begin"/>
      </w:r>
      <w:r w:rsidR="00A72107" w:rsidRPr="00DC20E9">
        <w:instrText xml:space="preserve"> REF _Ref384386913 \r \h  \* MERGEFORMAT </w:instrText>
      </w:r>
      <w:r w:rsidR="00A72107">
        <w:fldChar w:fldCharType="separate"/>
      </w:r>
      <w:r w:rsidR="00E62976" w:rsidRPr="00E62976">
        <w:rPr>
          <w:szCs w:val="18"/>
          <w:lang w:val="en-GB"/>
        </w:rPr>
        <w:t>[4]</w:t>
      </w:r>
      <w:r w:rsidR="00A72107">
        <w:fldChar w:fldCharType="end"/>
      </w:r>
      <w:r w:rsidRPr="008466A5">
        <w:rPr>
          <w:szCs w:val="18"/>
          <w:lang w:val="en-GB" w:eastAsia="de-DE"/>
        </w:rPr>
        <w:t xml:space="preserve"> to address also the risk from spent fuel storage facilities (spent fuel pool, etc.)</w:t>
      </w:r>
      <w:r w:rsidR="00542CDD">
        <w:rPr>
          <w:szCs w:val="18"/>
          <w:lang w:val="en-GB" w:eastAsia="de-DE"/>
        </w:rPr>
        <w:t xml:space="preserve"> and other radionuclide sources</w:t>
      </w:r>
      <w:r w:rsidRPr="008466A5">
        <w:rPr>
          <w:szCs w:val="18"/>
          <w:lang w:val="en-GB" w:eastAsia="de-DE"/>
        </w:rPr>
        <w:t>. Note that core damage is a subset of fuel damage (fuel as a source of significant plant releases can be located in the reactor core, spent fuel pool, etc.). The original SSG-3 definition is “An initiating event is an event that could lead directly to core damage (e.g. reactor vessel rupture) or that challenges normal operation and which requires successful mitigation using safety or non-safety systems to prevent core damage.”</w:t>
      </w:r>
      <w:r>
        <w:rPr>
          <w:szCs w:val="18"/>
          <w:lang w:val="en-GB" w:eastAsia="de-DE"/>
        </w:rPr>
        <w:t xml:space="preserve"> </w:t>
      </w:r>
      <w:r w:rsidR="00125AF4">
        <w:rPr>
          <w:szCs w:val="18"/>
          <w:lang w:val="en-GB"/>
        </w:rPr>
        <w:fldChar w:fldCharType="begin"/>
      </w:r>
      <w:r>
        <w:rPr>
          <w:szCs w:val="18"/>
          <w:lang w:val="en-GB" w:eastAsia="de-DE"/>
        </w:rPr>
        <w:instrText xml:space="preserve"> REF _Ref384386913 \r \h </w:instrText>
      </w:r>
      <w:r w:rsidR="00125AF4">
        <w:rPr>
          <w:szCs w:val="18"/>
          <w:lang w:val="en-GB"/>
        </w:rPr>
      </w:r>
      <w:r w:rsidR="00125AF4">
        <w:rPr>
          <w:szCs w:val="18"/>
          <w:lang w:val="en-GB"/>
        </w:rPr>
        <w:fldChar w:fldCharType="separate"/>
      </w:r>
      <w:r w:rsidR="00E62976">
        <w:rPr>
          <w:szCs w:val="18"/>
          <w:lang w:val="en-GB" w:eastAsia="de-DE"/>
        </w:rPr>
        <w:t>[4]</w:t>
      </w:r>
      <w:r w:rsidR="00125AF4">
        <w:rPr>
          <w:szCs w:val="18"/>
          <w:lang w:val="en-GB"/>
        </w:rPr>
        <w:fldChar w:fldCharType="end"/>
      </w:r>
      <w:r>
        <w:rPr>
          <w:szCs w:val="18"/>
          <w:lang w:val="en-GB"/>
        </w:rPr>
        <w:t>, p. 25</w:t>
      </w:r>
      <w:r>
        <w:rPr>
          <w:szCs w:val="18"/>
          <w:lang w:val="en-GB" w:eastAsia="de-DE"/>
        </w:rPr>
        <w:t xml:space="preserve"> </w:t>
      </w:r>
    </w:p>
    <w:p w:rsidR="0087782B" w:rsidRPr="00E20701" w:rsidRDefault="0087782B" w:rsidP="0087782B">
      <w:pPr>
        <w:rPr>
          <w:lang w:val="en-GB"/>
        </w:rPr>
      </w:pPr>
    </w:p>
    <w:p w:rsidR="0087782B" w:rsidRPr="001B7918" w:rsidRDefault="0087782B" w:rsidP="0087782B">
      <w:pPr>
        <w:rPr>
          <w:b/>
          <w:u w:val="single"/>
          <w:lang w:val="en-GB"/>
        </w:rPr>
      </w:pPr>
      <w:r w:rsidRPr="001B7918">
        <w:rPr>
          <w:b/>
          <w:u w:val="single"/>
          <w:lang w:val="en-GB"/>
        </w:rPr>
        <w:t>Initiating Event Group (IEG)</w:t>
      </w:r>
    </w:p>
    <w:p w:rsidR="002206D4" w:rsidRDefault="009F4C5F" w:rsidP="00F4691F">
      <w:pPr>
        <w:rPr>
          <w:rFonts w:eastAsia="Batang"/>
          <w:lang w:val="en-GB"/>
        </w:rPr>
      </w:pPr>
      <w:r>
        <w:rPr>
          <w:rFonts w:eastAsia="Batang"/>
          <w:lang w:val="en-GB"/>
        </w:rPr>
        <w:t xml:space="preserve">An initiating event group gathers a number of initiating events into one </w:t>
      </w:r>
      <w:r w:rsidR="002206D4">
        <w:rPr>
          <w:rFonts w:eastAsia="Batang"/>
          <w:lang w:val="en-GB"/>
        </w:rPr>
        <w:t xml:space="preserve">representative </w:t>
      </w:r>
      <w:r>
        <w:rPr>
          <w:rFonts w:eastAsia="Batang"/>
          <w:lang w:val="en-GB"/>
        </w:rPr>
        <w:t xml:space="preserve">enveloping (bounding) scenario. During the initiating event screening process for a PSA, analysts might decide to assign contributions from several initiating events to one IEG in order to facilitate PSA analyses. The specific initiating events assigned to one IEG </w:t>
      </w:r>
      <w:r w:rsidR="002206D4">
        <w:rPr>
          <w:rFonts w:eastAsia="Batang"/>
          <w:lang w:val="en-GB"/>
        </w:rPr>
        <w:t>should be similar in terms of transient response of the plant, success criteria for safety functions, plant configuration as well as potential consequences with respect to Level 1 and Level 2 risk metrics. The IEG sums up the frequency contributions from all IE assigned to it. The bounding conditions for the enveloping scenario representing the IEG may be unrealistic for each individual IE assigned to the IEG.</w:t>
      </w:r>
    </w:p>
    <w:p w:rsidR="009F4C5F" w:rsidRDefault="009F4C5F" w:rsidP="00F4691F">
      <w:pPr>
        <w:rPr>
          <w:rFonts w:eastAsia="Batang"/>
          <w:lang w:val="en-GB"/>
        </w:rPr>
      </w:pPr>
    </w:p>
    <w:p w:rsidR="00D205BC" w:rsidRPr="005079A3" w:rsidRDefault="00D205BC" w:rsidP="00F4691F">
      <w:pPr>
        <w:rPr>
          <w:rFonts w:eastAsia="Batang"/>
          <w:b/>
          <w:u w:val="single"/>
          <w:lang w:val="en-GB"/>
        </w:rPr>
      </w:pPr>
      <w:r w:rsidRPr="005079A3">
        <w:rPr>
          <w:rFonts w:eastAsia="Batang"/>
          <w:b/>
          <w:u w:val="single"/>
          <w:lang w:val="en-GB"/>
        </w:rPr>
        <w:t>Large Release Frequency (LRF)</w:t>
      </w:r>
    </w:p>
    <w:p w:rsidR="00D205BC" w:rsidRPr="005079A3" w:rsidRDefault="00D205BC" w:rsidP="005949A6">
      <w:pPr>
        <w:rPr>
          <w:rFonts w:eastAsia="Batang"/>
          <w:lang w:val="en-US"/>
        </w:rPr>
      </w:pPr>
      <w:r w:rsidRPr="00D205BC">
        <w:rPr>
          <w:rFonts w:eastAsia="Batang"/>
          <w:lang w:val="en-GB"/>
        </w:rPr>
        <w:t>A large release is commonly understood to be an unacceptable release of radionuclides at the plant fence or plant perimeter into the environment of the plant.</w:t>
      </w:r>
      <w:r w:rsidR="005949A6">
        <w:rPr>
          <w:rFonts w:eastAsia="Batang"/>
          <w:lang w:val="en-GB"/>
        </w:rPr>
        <w:t xml:space="preserve"> </w:t>
      </w:r>
      <w:r w:rsidR="005949A6" w:rsidRPr="00313E82">
        <w:rPr>
          <w:rFonts w:eastAsia="Batang"/>
          <w:lang w:val="en-US"/>
        </w:rPr>
        <w:t xml:space="preserve">The quantification for the risk metric </w:t>
      </w:r>
      <w:r w:rsidR="005949A6">
        <w:rPr>
          <w:rFonts w:eastAsia="Batang"/>
          <w:lang w:val="en-US"/>
        </w:rPr>
        <w:t>“large release”</w:t>
      </w:r>
      <w:r w:rsidR="005949A6" w:rsidRPr="00313E82">
        <w:rPr>
          <w:rFonts w:eastAsia="Batang"/>
          <w:lang w:val="en-US"/>
        </w:rPr>
        <w:t xml:space="preserve"> is always the direct frequency (or probability) of the sequence in the risk model</w:t>
      </w:r>
      <w:r w:rsidR="005949A6">
        <w:rPr>
          <w:rFonts w:eastAsia="Batang"/>
          <w:lang w:val="en-US"/>
        </w:rPr>
        <w:t>.</w:t>
      </w:r>
      <w:r w:rsidR="005949A6">
        <w:rPr>
          <w:rFonts w:eastAsia="Batang"/>
          <w:lang w:val="en-GB"/>
        </w:rPr>
        <w:t xml:space="preserve"> </w:t>
      </w:r>
      <w:r w:rsidR="005949A6" w:rsidRPr="005949A6">
        <w:rPr>
          <w:rFonts w:eastAsia="Batang"/>
          <w:lang w:val="en-GB"/>
        </w:rPr>
        <w:t>We recommend to define the LRF metric consistently with respect to an amount of radiologically weighted radionuclides. Weighting factors can be found in the INE</w:t>
      </w:r>
      <w:r w:rsidR="005949A6">
        <w:rPr>
          <w:rFonts w:eastAsia="Batang"/>
          <w:lang w:val="en-GB"/>
        </w:rPr>
        <w:t>S manual for some nuclides</w:t>
      </w:r>
      <w:r w:rsidR="005949A6" w:rsidRPr="005949A6">
        <w:rPr>
          <w:rFonts w:eastAsia="Batang"/>
          <w:lang w:val="en-GB"/>
        </w:rPr>
        <w:t xml:space="preserve"> and in more detail in ICRP publications. We recommend to use as leading (representative) isotope</w:t>
      </w:r>
      <w:r w:rsidR="005949A6">
        <w:rPr>
          <w:rFonts w:eastAsia="Batang"/>
          <w:lang w:val="en-GB"/>
        </w:rPr>
        <w:t xml:space="preserve"> </w:t>
      </w:r>
      <w:r w:rsidR="005949A6" w:rsidRPr="005949A6">
        <w:rPr>
          <w:rFonts w:eastAsia="Batang"/>
          <w:lang w:val="en-GB"/>
        </w:rPr>
        <w:t>I-131 if short-term consequences are of particular interest</w:t>
      </w:r>
      <w:r w:rsidR="005949A6">
        <w:rPr>
          <w:rFonts w:eastAsia="Batang"/>
          <w:lang w:val="en-GB"/>
        </w:rPr>
        <w:t xml:space="preserve">, </w:t>
      </w:r>
      <w:r w:rsidR="005949A6" w:rsidRPr="005949A6">
        <w:rPr>
          <w:rFonts w:eastAsia="Batang"/>
          <w:lang w:val="en-GB"/>
        </w:rPr>
        <w:t>Cs-137 if long-term (environmental) consequences are of particular interest</w:t>
      </w:r>
      <w:r w:rsidR="005949A6">
        <w:rPr>
          <w:rFonts w:eastAsia="Batang"/>
          <w:lang w:val="en-GB"/>
        </w:rPr>
        <w:t>.</w:t>
      </w:r>
    </w:p>
    <w:p w:rsidR="00D205BC" w:rsidRDefault="00D205BC" w:rsidP="00F4691F">
      <w:pPr>
        <w:rPr>
          <w:rFonts w:eastAsia="Batang"/>
          <w:lang w:val="en-GB"/>
        </w:rPr>
      </w:pPr>
    </w:p>
    <w:p w:rsidR="0087782B" w:rsidRPr="001B7918" w:rsidRDefault="0087782B" w:rsidP="0087782B">
      <w:pPr>
        <w:rPr>
          <w:b/>
          <w:u w:val="single"/>
          <w:lang w:val="en-GB"/>
        </w:rPr>
      </w:pPr>
      <w:r w:rsidRPr="001B7918">
        <w:rPr>
          <w:b/>
          <w:u w:val="single"/>
          <w:lang w:val="en-GB"/>
        </w:rPr>
        <w:t>Maximum Impact</w:t>
      </w:r>
    </w:p>
    <w:p w:rsidR="007F66D1" w:rsidRDefault="00CA3716" w:rsidP="00E23584">
      <w:pPr>
        <w:rPr>
          <w:rFonts w:eastAsia="Batang"/>
          <w:b/>
          <w:lang w:val="en-GB"/>
        </w:rPr>
      </w:pPr>
      <w:r w:rsidRPr="005079A3">
        <w:rPr>
          <w:rFonts w:eastAsia="Batang"/>
          <w:lang w:val="en-GB"/>
        </w:rPr>
        <w:t xml:space="preserve">The maximum impact </w:t>
      </w:r>
      <w:r w:rsidR="007F66D1">
        <w:rPr>
          <w:rFonts w:eastAsia="Batang"/>
          <w:lang w:val="en-GB"/>
        </w:rPr>
        <w:t xml:space="preserve">or maximum credible impact for a hazard or hazard scenario is the </w:t>
      </w:r>
      <w:r w:rsidR="00577555">
        <w:rPr>
          <w:rFonts w:eastAsia="Batang"/>
          <w:lang w:val="en-GB"/>
        </w:rPr>
        <w:t>maximum</w:t>
      </w:r>
      <w:r w:rsidR="007F66D1">
        <w:rPr>
          <w:rFonts w:eastAsia="Batang"/>
          <w:lang w:val="en-GB"/>
        </w:rPr>
        <w:t xml:space="preserve"> load</w:t>
      </w:r>
      <w:r w:rsidR="00577555">
        <w:rPr>
          <w:rFonts w:eastAsia="Batang"/>
          <w:lang w:val="en-GB"/>
        </w:rPr>
        <w:t xml:space="preserve"> on the</w:t>
      </w:r>
      <w:r w:rsidR="007F66D1">
        <w:rPr>
          <w:rFonts w:eastAsia="Batang"/>
          <w:lang w:val="en-GB"/>
        </w:rPr>
        <w:t xml:space="preserve"> plant</w:t>
      </w:r>
      <w:r w:rsidR="00577555">
        <w:rPr>
          <w:rFonts w:eastAsia="Batang"/>
          <w:lang w:val="en-GB"/>
        </w:rPr>
        <w:t xml:space="preserve"> and its</w:t>
      </w:r>
      <w:r w:rsidR="007F66D1">
        <w:rPr>
          <w:rFonts w:eastAsia="Batang"/>
          <w:lang w:val="en-GB"/>
        </w:rPr>
        <w:t xml:space="preserve"> SSC</w:t>
      </w:r>
      <w:r w:rsidR="00577555">
        <w:rPr>
          <w:rFonts w:eastAsia="Batang"/>
          <w:lang w:val="en-GB"/>
        </w:rPr>
        <w:t xml:space="preserve"> induced by</w:t>
      </w:r>
      <w:r w:rsidR="007F66D1">
        <w:rPr>
          <w:rFonts w:eastAsia="Batang"/>
          <w:lang w:val="en-GB"/>
        </w:rPr>
        <w:t xml:space="preserve"> harmful hazard effects</w:t>
      </w:r>
      <w:r w:rsidR="00577555">
        <w:rPr>
          <w:rFonts w:eastAsia="Batang"/>
          <w:lang w:val="en-GB"/>
        </w:rPr>
        <w:t xml:space="preserve"> to the site</w:t>
      </w:r>
      <w:r w:rsidR="007F66D1">
        <w:rPr>
          <w:rFonts w:eastAsia="Batang"/>
          <w:lang w:val="en-GB"/>
        </w:rPr>
        <w:t>.</w:t>
      </w:r>
      <w:r w:rsidR="00577555">
        <w:rPr>
          <w:rFonts w:eastAsia="Batang"/>
          <w:lang w:val="en-GB"/>
        </w:rPr>
        <w:t xml:space="preserve"> The maximum credible impact applies to the site and needs to consider both the hazard magnitude at its source and the change during its propagation to the site. PSA analysts need to make claims on maximum (credible) impact for a hazard during the hazard screening. </w:t>
      </w:r>
      <w:r w:rsidR="00A33105">
        <w:rPr>
          <w:rFonts w:eastAsia="Batang"/>
          <w:lang w:val="en-GB"/>
        </w:rPr>
        <w:t>For a lot of natural hazards,</w:t>
      </w:r>
      <w:r w:rsidR="007F66D1" w:rsidRPr="00F6767D">
        <w:rPr>
          <w:lang w:val="en-GB"/>
        </w:rPr>
        <w:t xml:space="preserve"> a maximum impact </w:t>
      </w:r>
      <w:r w:rsidR="007F66D1">
        <w:rPr>
          <w:lang w:val="en-GB"/>
        </w:rPr>
        <w:t xml:space="preserve">at the site </w:t>
      </w:r>
      <w:r w:rsidR="007F66D1" w:rsidRPr="00F6767D">
        <w:rPr>
          <w:lang w:val="en-GB"/>
        </w:rPr>
        <w:t>cannot be determined</w:t>
      </w:r>
      <w:r w:rsidR="007F66D1">
        <w:rPr>
          <w:lang w:val="en-GB"/>
        </w:rPr>
        <w:t xml:space="preserve"> independent of the</w:t>
      </w:r>
      <w:r w:rsidR="007F66D1" w:rsidRPr="00F6767D">
        <w:rPr>
          <w:lang w:val="en-GB"/>
        </w:rPr>
        <w:t xml:space="preserve"> occurrence frequency</w:t>
      </w:r>
      <w:r w:rsidR="007F66D1">
        <w:rPr>
          <w:lang w:val="en-GB"/>
        </w:rPr>
        <w:t xml:space="preserve"> or exceedance frequency. In these cases</w:t>
      </w:r>
      <w:r w:rsidR="00A33105">
        <w:rPr>
          <w:lang w:val="en-GB"/>
        </w:rPr>
        <w:t>, PSA analysts will have to specif</w:t>
      </w:r>
      <w:r w:rsidR="00A72107">
        <w:rPr>
          <w:lang w:val="en-GB"/>
        </w:rPr>
        <w:t>y</w:t>
      </w:r>
      <w:r w:rsidR="00A33105">
        <w:rPr>
          <w:lang w:val="en-GB"/>
        </w:rPr>
        <w:t xml:space="preserve"> a sufficiently small threshold value. </w:t>
      </w:r>
      <w:r w:rsidR="00EE3BDC">
        <w:rPr>
          <w:lang w:val="en-GB"/>
        </w:rPr>
        <w:t xml:space="preserve">It should be noted that the maximum impact </w:t>
      </w:r>
      <w:r w:rsidR="000926E3">
        <w:rPr>
          <w:lang w:val="en-GB"/>
        </w:rPr>
        <w:t>is often characterized by just one maximum load parameter, but may need to be characterized by a set of load parameters.</w:t>
      </w:r>
    </w:p>
    <w:p w:rsidR="00E23584" w:rsidRDefault="00E23584" w:rsidP="00F4691F">
      <w:pPr>
        <w:rPr>
          <w:rFonts w:eastAsia="Batang"/>
          <w:lang w:val="en-GB"/>
        </w:rPr>
      </w:pPr>
    </w:p>
    <w:p w:rsidR="000338CA" w:rsidRPr="001B7918" w:rsidRDefault="000338CA" w:rsidP="000338CA">
      <w:pPr>
        <w:rPr>
          <w:rFonts w:eastAsia="Batang"/>
          <w:b/>
          <w:u w:val="single"/>
          <w:lang w:val="en-GB"/>
        </w:rPr>
      </w:pPr>
      <w:r w:rsidRPr="001B7918">
        <w:rPr>
          <w:rFonts w:eastAsia="Batang"/>
          <w:b/>
          <w:u w:val="single"/>
          <w:lang w:val="en-GB"/>
        </w:rPr>
        <w:t>Postulated initiated events (PIE)</w:t>
      </w:r>
    </w:p>
    <w:p w:rsidR="000338CA" w:rsidRDefault="00C36C0C" w:rsidP="001C52EA">
      <w:pPr>
        <w:rPr>
          <w:rFonts w:eastAsia="Batang"/>
          <w:lang w:val="en-GB"/>
        </w:rPr>
      </w:pPr>
      <w:r>
        <w:rPr>
          <w:rFonts w:eastAsia="Batang"/>
          <w:lang w:val="en-GB"/>
        </w:rPr>
        <w:t>A postulated initiating event (PIE) is “</w:t>
      </w:r>
      <w:r w:rsidRPr="00C36C0C">
        <w:rPr>
          <w:rFonts w:eastAsia="Batang"/>
          <w:lang w:val="en-GB"/>
        </w:rPr>
        <w:t>[a]n event identified during design as capable of leading to anticipated operational occurrences or accident conditions. The primary causes of postulated initiating events may be credible equipment failures and operator errors (both within and external to the facility) or human induced or natural events.</w:t>
      </w:r>
      <w:r>
        <w:rPr>
          <w:rFonts w:eastAsia="Batang"/>
          <w:lang w:val="en-GB"/>
        </w:rPr>
        <w:t xml:space="preserve">” </w:t>
      </w:r>
      <w:r w:rsidR="00125AF4">
        <w:rPr>
          <w:rFonts w:eastAsia="Batang"/>
          <w:lang w:val="en-GB"/>
        </w:rPr>
        <w:fldChar w:fldCharType="begin"/>
      </w:r>
      <w:r w:rsidR="001C52EA">
        <w:rPr>
          <w:rFonts w:eastAsia="Batang"/>
          <w:lang w:val="en-GB"/>
        </w:rPr>
        <w:instrText xml:space="preserve"> REF _Ref432773062 \r \h </w:instrText>
      </w:r>
      <w:r w:rsidR="00125AF4">
        <w:rPr>
          <w:rFonts w:eastAsia="Batang"/>
          <w:lang w:val="en-GB"/>
        </w:rPr>
      </w:r>
      <w:r w:rsidR="00125AF4">
        <w:rPr>
          <w:rFonts w:eastAsia="Batang"/>
          <w:lang w:val="en-GB"/>
        </w:rPr>
        <w:fldChar w:fldCharType="separate"/>
      </w:r>
      <w:r w:rsidR="00E62976">
        <w:rPr>
          <w:rFonts w:eastAsia="Batang"/>
          <w:lang w:val="en-GB"/>
        </w:rPr>
        <w:t>[6]</w:t>
      </w:r>
      <w:r w:rsidR="00125AF4">
        <w:rPr>
          <w:rFonts w:eastAsia="Batang"/>
          <w:lang w:val="en-GB"/>
        </w:rPr>
        <w:fldChar w:fldCharType="end"/>
      </w:r>
      <w:r w:rsidR="001C52EA">
        <w:rPr>
          <w:rFonts w:eastAsia="Batang"/>
          <w:lang w:val="en-GB"/>
        </w:rPr>
        <w:t xml:space="preserve">, p. 98. In this report, PIE is summarily used for those events analysed during deterministic safety analysis, cf. SSG-2 </w:t>
      </w:r>
      <w:r w:rsidR="00125AF4">
        <w:rPr>
          <w:rFonts w:eastAsia="Batang"/>
          <w:lang w:val="en-GB"/>
        </w:rPr>
        <w:fldChar w:fldCharType="begin"/>
      </w:r>
      <w:r w:rsidR="001C52EA">
        <w:rPr>
          <w:rFonts w:eastAsia="Batang"/>
          <w:lang w:val="en-GB"/>
        </w:rPr>
        <w:instrText xml:space="preserve"> REF _Ref384387949 \r \h </w:instrText>
      </w:r>
      <w:r w:rsidR="00125AF4">
        <w:rPr>
          <w:rFonts w:eastAsia="Batang"/>
          <w:lang w:val="en-GB"/>
        </w:rPr>
      </w:r>
      <w:r w:rsidR="00125AF4">
        <w:rPr>
          <w:rFonts w:eastAsia="Batang"/>
          <w:lang w:val="en-GB"/>
        </w:rPr>
        <w:fldChar w:fldCharType="separate"/>
      </w:r>
      <w:r w:rsidR="00E62976">
        <w:rPr>
          <w:rFonts w:eastAsia="Batang"/>
          <w:lang w:val="en-GB"/>
        </w:rPr>
        <w:t>[3]</w:t>
      </w:r>
      <w:r w:rsidR="00125AF4">
        <w:rPr>
          <w:rFonts w:eastAsia="Batang"/>
          <w:lang w:val="en-GB"/>
        </w:rPr>
        <w:fldChar w:fldCharType="end"/>
      </w:r>
      <w:r w:rsidR="001C52EA">
        <w:rPr>
          <w:rFonts w:eastAsia="Batang"/>
          <w:lang w:val="en-GB"/>
        </w:rPr>
        <w:t xml:space="preserve"> and WENRA Reference Levels </w:t>
      </w:r>
      <w:r w:rsidR="00125AF4">
        <w:rPr>
          <w:rFonts w:eastAsia="Batang"/>
          <w:lang w:val="en-GB"/>
        </w:rPr>
        <w:fldChar w:fldCharType="begin"/>
      </w:r>
      <w:r w:rsidR="001C52EA">
        <w:rPr>
          <w:rFonts w:eastAsia="Batang"/>
          <w:lang w:val="en-GB"/>
        </w:rPr>
        <w:instrText xml:space="preserve"> REF _Ref384812549 \r \h </w:instrText>
      </w:r>
      <w:r w:rsidR="00125AF4">
        <w:rPr>
          <w:rFonts w:eastAsia="Batang"/>
          <w:lang w:val="en-GB"/>
        </w:rPr>
      </w:r>
      <w:r w:rsidR="00125AF4">
        <w:rPr>
          <w:rFonts w:eastAsia="Batang"/>
          <w:lang w:val="en-GB"/>
        </w:rPr>
        <w:fldChar w:fldCharType="separate"/>
      </w:r>
      <w:r w:rsidR="00E62976">
        <w:rPr>
          <w:rFonts w:eastAsia="Batang"/>
          <w:lang w:val="en-GB"/>
        </w:rPr>
        <w:t>[11]</w:t>
      </w:r>
      <w:r w:rsidR="00125AF4">
        <w:rPr>
          <w:rFonts w:eastAsia="Batang"/>
          <w:lang w:val="en-GB"/>
        </w:rPr>
        <w:fldChar w:fldCharType="end"/>
      </w:r>
      <w:r w:rsidR="001C52EA">
        <w:rPr>
          <w:rFonts w:eastAsia="Batang"/>
          <w:lang w:val="en-GB"/>
        </w:rPr>
        <w:t xml:space="preserve">, </w:t>
      </w:r>
      <w:r w:rsidR="006036E0">
        <w:rPr>
          <w:rFonts w:eastAsia="Batang"/>
          <w:lang w:val="en-GB"/>
        </w:rPr>
        <w:fldChar w:fldCharType="begin"/>
      </w:r>
      <w:r w:rsidR="006036E0">
        <w:rPr>
          <w:rFonts w:eastAsia="Batang"/>
          <w:lang w:val="en-GB"/>
        </w:rPr>
        <w:instrText xml:space="preserve"> REF _Ref392859457 \r \h </w:instrText>
      </w:r>
      <w:r w:rsidR="006036E0">
        <w:rPr>
          <w:rFonts w:eastAsia="Batang"/>
          <w:lang w:val="en-GB"/>
        </w:rPr>
      </w:r>
      <w:r w:rsidR="006036E0">
        <w:rPr>
          <w:rFonts w:eastAsia="Batang"/>
          <w:lang w:val="en-GB"/>
        </w:rPr>
        <w:fldChar w:fldCharType="separate"/>
      </w:r>
      <w:r w:rsidR="00E62976">
        <w:rPr>
          <w:rFonts w:eastAsia="Batang"/>
          <w:lang w:val="en-GB"/>
        </w:rPr>
        <w:t>[35]</w:t>
      </w:r>
      <w:r w:rsidR="006036E0">
        <w:rPr>
          <w:rFonts w:eastAsia="Batang"/>
          <w:lang w:val="en-GB"/>
        </w:rPr>
        <w:fldChar w:fldCharType="end"/>
      </w:r>
      <w:r w:rsidR="001C52EA">
        <w:rPr>
          <w:rFonts w:eastAsia="Batang"/>
          <w:lang w:val="en-GB"/>
        </w:rPr>
        <w:t>.</w:t>
      </w:r>
    </w:p>
    <w:p w:rsidR="000338CA" w:rsidRDefault="000338CA" w:rsidP="00F4691F">
      <w:pPr>
        <w:rPr>
          <w:rFonts w:eastAsia="Batang"/>
          <w:lang w:val="en-GB"/>
        </w:rPr>
      </w:pPr>
    </w:p>
    <w:p w:rsidR="0069604C" w:rsidRPr="005079A3" w:rsidRDefault="0069604C" w:rsidP="00F4691F">
      <w:pPr>
        <w:rPr>
          <w:rFonts w:eastAsia="Batang"/>
          <w:b/>
          <w:u w:val="single"/>
          <w:lang w:val="en-GB"/>
        </w:rPr>
      </w:pPr>
      <w:r w:rsidRPr="005079A3">
        <w:rPr>
          <w:rFonts w:eastAsia="Batang"/>
          <w:b/>
          <w:u w:val="single"/>
          <w:lang w:val="en-GB"/>
        </w:rPr>
        <w:t>Radionuclide Mobilization Frequency (RMF)</w:t>
      </w:r>
    </w:p>
    <w:p w:rsidR="0069604C" w:rsidRDefault="0069604C" w:rsidP="00F4691F">
      <w:pPr>
        <w:rPr>
          <w:rFonts w:eastAsia="Batang"/>
          <w:lang w:val="en-GB"/>
        </w:rPr>
      </w:pPr>
      <w:r>
        <w:rPr>
          <w:rFonts w:eastAsia="Batang"/>
          <w:lang w:val="en-GB"/>
        </w:rPr>
        <w:t xml:space="preserve">RMF </w:t>
      </w:r>
      <w:r w:rsidRPr="0069604C">
        <w:rPr>
          <w:rFonts w:eastAsia="Batang"/>
          <w:lang w:val="en-GB"/>
        </w:rPr>
        <w:t xml:space="preserve">is defined as a loss of the design basis confinement for a source of radionuclides, leading to an unintended mobilization of a significant amount of radionuclides with the potential for internal or external release, e.g. more than </w:t>
      </w:r>
      <w:r w:rsidR="000D069F">
        <w:rPr>
          <w:rFonts w:eastAsia="Batang"/>
        </w:rPr>
        <w:t>1 EBq (10</w:t>
      </w:r>
      <w:r w:rsidR="000D069F" w:rsidRPr="00EB6EEC">
        <w:rPr>
          <w:rFonts w:eastAsia="Batang"/>
          <w:vertAlign w:val="superscript"/>
        </w:rPr>
        <w:t>18</w:t>
      </w:r>
      <w:r w:rsidR="000D069F">
        <w:rPr>
          <w:rFonts w:eastAsia="Batang"/>
        </w:rPr>
        <w:t xml:space="preserve"> Bq)</w:t>
      </w:r>
      <w:r w:rsidRPr="0069604C">
        <w:rPr>
          <w:rFonts w:eastAsia="Batang"/>
          <w:lang w:val="en-GB"/>
        </w:rPr>
        <w:t xml:space="preserve"> I-131 or equivalent </w:t>
      </w:r>
      <w:r w:rsidR="00BB6327">
        <w:rPr>
          <w:rFonts w:eastAsia="Batang"/>
          <w:lang w:val="en-GB"/>
        </w:rPr>
        <w:fldChar w:fldCharType="begin"/>
      </w:r>
      <w:r w:rsidR="00BB6327">
        <w:rPr>
          <w:rFonts w:eastAsia="Batang"/>
          <w:lang w:val="en-GB"/>
        </w:rPr>
        <w:instrText xml:space="preserve"> REF _Ref469063850 \w \h </w:instrText>
      </w:r>
      <w:r w:rsidR="00BB6327">
        <w:rPr>
          <w:rFonts w:eastAsia="Batang"/>
          <w:lang w:val="en-GB"/>
        </w:rPr>
      </w:r>
      <w:r w:rsidR="00BB6327">
        <w:rPr>
          <w:rFonts w:eastAsia="Batang"/>
          <w:lang w:val="en-GB"/>
        </w:rPr>
        <w:fldChar w:fldCharType="separate"/>
      </w:r>
      <w:r w:rsidR="00E62976">
        <w:rPr>
          <w:rFonts w:eastAsia="Batang"/>
          <w:lang w:val="en-GB"/>
        </w:rPr>
        <w:t>[87]</w:t>
      </w:r>
      <w:r w:rsidR="00BB6327">
        <w:rPr>
          <w:rFonts w:eastAsia="Batang"/>
          <w:lang w:val="en-GB"/>
        </w:rPr>
        <w:fldChar w:fldCharType="end"/>
      </w:r>
      <w:r w:rsidRPr="0069604C">
        <w:rPr>
          <w:rFonts w:eastAsia="Batang"/>
          <w:lang w:val="en-GB"/>
        </w:rPr>
        <w:t>. The threshold value and it</w:t>
      </w:r>
      <w:r w:rsidR="0095473B">
        <w:rPr>
          <w:rFonts w:eastAsia="Batang"/>
          <w:lang w:val="en-GB"/>
        </w:rPr>
        <w:t>s</w:t>
      </w:r>
      <w:r w:rsidRPr="0069604C">
        <w:rPr>
          <w:rFonts w:eastAsia="Batang"/>
          <w:lang w:val="en-GB"/>
        </w:rPr>
        <w:t xml:space="preserve"> reference radionuclide (or radionuclides) has to be adjusted to the facility under consideration and the objectives of the study.</w:t>
      </w:r>
      <w:r>
        <w:rPr>
          <w:rFonts w:eastAsia="Batang"/>
          <w:lang w:val="en-GB"/>
        </w:rPr>
        <w:t xml:space="preserve"> </w:t>
      </w:r>
      <w:r w:rsidRPr="0069604C">
        <w:rPr>
          <w:rFonts w:eastAsia="Batang"/>
          <w:lang w:val="en-GB"/>
        </w:rPr>
        <w:t>The quantification of the radionuclide mobilization frequency (RMF) is to be done by direct frequency (or probability) of the sequence in the risk model</w:t>
      </w:r>
      <w:r w:rsidR="00016F1D">
        <w:rPr>
          <w:rFonts w:eastAsia="Batang"/>
          <w:lang w:val="en-GB"/>
        </w:rPr>
        <w:t>.</w:t>
      </w:r>
    </w:p>
    <w:p w:rsidR="0069604C" w:rsidRDefault="0069604C" w:rsidP="00F4691F">
      <w:pPr>
        <w:rPr>
          <w:rFonts w:eastAsia="Batang"/>
          <w:lang w:val="en-GB"/>
        </w:rPr>
      </w:pPr>
    </w:p>
    <w:p w:rsidR="00711C70" w:rsidRPr="001B7918" w:rsidRDefault="00711C70" w:rsidP="00711C70">
      <w:pPr>
        <w:rPr>
          <w:rFonts w:eastAsia="Batang"/>
          <w:b/>
          <w:u w:val="single"/>
          <w:lang w:val="en-GB"/>
        </w:rPr>
      </w:pPr>
      <w:r w:rsidRPr="001B7918">
        <w:rPr>
          <w:rFonts w:eastAsia="Batang"/>
          <w:b/>
          <w:u w:val="single"/>
          <w:lang w:val="en-GB"/>
        </w:rPr>
        <w:t>Representative plant response analysis for a group of initiating events</w:t>
      </w:r>
    </w:p>
    <w:p w:rsidR="00711C70" w:rsidRDefault="00711C70" w:rsidP="00711C70">
      <w:pPr>
        <w:rPr>
          <w:rFonts w:eastAsia="Batang"/>
          <w:lang w:val="en-GB"/>
        </w:rPr>
      </w:pPr>
      <w:r>
        <w:rPr>
          <w:rFonts w:eastAsia="Batang"/>
          <w:lang w:val="en-GB"/>
        </w:rPr>
        <w:t>The initiating events group is represented by a specific scenario (representative event) with specific boundary conditions and assumptions. The representative plant response analysis develops the further progression of the scenario given the success or failure of safety provisions, safety functions, or barriers. In PSA, the final result of this analysis will be the event tree model for the initiating event group.</w:t>
      </w:r>
    </w:p>
    <w:p w:rsidR="00711C70" w:rsidRDefault="00711C70" w:rsidP="00F4691F">
      <w:pPr>
        <w:rPr>
          <w:b/>
          <w:u w:val="single"/>
          <w:lang w:val="en-GB"/>
        </w:rPr>
      </w:pPr>
    </w:p>
    <w:p w:rsidR="00C9066E" w:rsidRPr="007C621B" w:rsidRDefault="00C9066E" w:rsidP="00C9066E">
      <w:pPr>
        <w:rPr>
          <w:b/>
          <w:u w:val="single"/>
          <w:lang w:val="en-US"/>
        </w:rPr>
      </w:pPr>
      <w:r w:rsidRPr="007C621B">
        <w:rPr>
          <w:b/>
          <w:u w:val="single"/>
          <w:lang w:val="en-US"/>
        </w:rPr>
        <w:t xml:space="preserve">Risk </w:t>
      </w:r>
      <w:r w:rsidR="00125AF4">
        <w:fldChar w:fldCharType="begin"/>
      </w:r>
      <w:r w:rsidR="00125AF4" w:rsidRPr="007C621B">
        <w:instrText xml:space="preserve"> REF _Ref446688511 \r \h  \* MERGEFORMAT </w:instrText>
      </w:r>
      <w:r w:rsidR="00125AF4">
        <w:fldChar w:fldCharType="separate"/>
      </w:r>
      <w:r w:rsidR="00E62976" w:rsidRPr="00E62976">
        <w:rPr>
          <w:lang w:val="en-US"/>
        </w:rPr>
        <w:t>[13]</w:t>
      </w:r>
      <w:r w:rsidR="00125AF4">
        <w:fldChar w:fldCharType="end"/>
      </w:r>
      <w:r w:rsidRPr="007C621B">
        <w:rPr>
          <w:lang w:val="en-US"/>
        </w:rPr>
        <w:t>)</w:t>
      </w:r>
    </w:p>
    <w:p w:rsidR="00C9066E" w:rsidRPr="009803F6" w:rsidRDefault="00C9066E" w:rsidP="009803F6">
      <w:pPr>
        <w:rPr>
          <w:rFonts w:eastAsia="Batang"/>
          <w:lang w:val="en-GB"/>
        </w:rPr>
      </w:pPr>
      <w:r w:rsidRPr="009803F6">
        <w:rPr>
          <w:rFonts w:eastAsia="Batang"/>
          <w:lang w:val="en-GB"/>
        </w:rPr>
        <w:t xml:space="preserve">Risk is defined relative to hazards or accidents. A hazard is something that presents a potential for health, economical or environmental harm. Risk associated with the hazard is a combination of the probability (or frequency) of the hazardous event and the magnitude of the consequences. The consequences can be represented in several dimensions. A usual engineering definition of risk associated with an event i is: </w:t>
      </w:r>
    </w:p>
    <w:p w:rsidR="00C9066E" w:rsidRPr="009803F6" w:rsidRDefault="00C9066E" w:rsidP="009803F6">
      <w:pPr>
        <w:rPr>
          <w:rFonts w:eastAsia="Batang"/>
          <w:lang w:val="en-GB"/>
        </w:rPr>
      </w:pPr>
      <w:r w:rsidRPr="009803F6">
        <w:rPr>
          <w:rFonts w:eastAsia="Batang"/>
          <w:lang w:val="en-GB"/>
        </w:rPr>
        <w:t>Risk</w:t>
      </w:r>
      <w:r w:rsidR="00273113">
        <w:rPr>
          <w:rFonts w:eastAsia="Batang"/>
          <w:lang w:val="en-GB"/>
        </w:rPr>
        <w:t xml:space="preserve"> </w:t>
      </w:r>
      <w:r w:rsidRPr="009803F6">
        <w:rPr>
          <w:rFonts w:eastAsia="Batang"/>
          <w:lang w:val="en-GB"/>
        </w:rPr>
        <w:t xml:space="preserve">(event i) = “the probability of an event i” x “the consequences of an event i”. </w:t>
      </w:r>
      <w:r w:rsidR="00B300DC">
        <w:fldChar w:fldCharType="begin"/>
      </w:r>
      <w:r w:rsidR="00B300DC" w:rsidRPr="007C621B">
        <w:instrText xml:space="preserve"> REF _Ref446688511 \r \h  \* MERGEFORMAT </w:instrText>
      </w:r>
      <w:r w:rsidR="00B300DC">
        <w:fldChar w:fldCharType="separate"/>
      </w:r>
      <w:r w:rsidR="00E62976" w:rsidRPr="00E62976">
        <w:rPr>
          <w:lang w:val="en-US"/>
        </w:rPr>
        <w:t>[13]</w:t>
      </w:r>
      <w:r w:rsidR="00B300DC">
        <w:fldChar w:fldCharType="end"/>
      </w:r>
      <w:r w:rsidRPr="009803F6">
        <w:rPr>
          <w:rFonts w:eastAsia="Batang"/>
          <w:lang w:val="en-GB"/>
        </w:rPr>
        <w:t xml:space="preserve"> p. 69 after</w:t>
      </w:r>
      <w:r w:rsidR="0095446B" w:rsidRPr="009803F6">
        <w:rPr>
          <w:rFonts w:eastAsia="Batang"/>
          <w:lang w:val="en-GB"/>
        </w:rPr>
        <w:t xml:space="preserve"> </w:t>
      </w:r>
      <w:r w:rsidR="00125AF4" w:rsidRPr="00B300DC">
        <w:rPr>
          <w:rFonts w:eastAsia="Batang"/>
          <w:lang w:val="en-GB"/>
        </w:rPr>
        <w:fldChar w:fldCharType="begin"/>
      </w:r>
      <w:r w:rsidR="0095446B" w:rsidRPr="00B300DC">
        <w:rPr>
          <w:rFonts w:eastAsia="Batang"/>
        </w:rPr>
        <w:instrText xml:space="preserve"> REF _Ref413857632 \r \h </w:instrText>
      </w:r>
      <w:r w:rsidR="00016F1D" w:rsidRPr="00B300DC">
        <w:rPr>
          <w:rFonts w:eastAsia="Batang"/>
        </w:rPr>
        <w:instrText xml:space="preserve"> \* MERGEFORMAT </w:instrText>
      </w:r>
      <w:r w:rsidR="00125AF4" w:rsidRPr="00B300DC">
        <w:rPr>
          <w:rFonts w:eastAsia="Batang"/>
          <w:lang w:val="en-GB"/>
        </w:rPr>
      </w:r>
      <w:r w:rsidR="00125AF4" w:rsidRPr="00B300DC">
        <w:rPr>
          <w:rFonts w:eastAsia="Batang"/>
          <w:lang w:val="en-GB"/>
        </w:rPr>
        <w:fldChar w:fldCharType="separate"/>
      </w:r>
      <w:r w:rsidR="00E62976" w:rsidRPr="00E62976">
        <w:rPr>
          <w:rFonts w:eastAsia="Batang"/>
          <w:lang w:val="en-GB"/>
        </w:rPr>
        <w:t>[15]</w:t>
      </w:r>
      <w:r w:rsidR="00125AF4" w:rsidRPr="00B300DC">
        <w:rPr>
          <w:rFonts w:eastAsia="Batang"/>
          <w:lang w:val="en-GB"/>
        </w:rPr>
        <w:fldChar w:fldCharType="end"/>
      </w:r>
      <w:r w:rsidRPr="009803F6">
        <w:rPr>
          <w:rFonts w:eastAsia="Batang"/>
          <w:lang w:val="en-GB"/>
        </w:rPr>
        <w:t>.</w:t>
      </w:r>
    </w:p>
    <w:p w:rsidR="00C9066E" w:rsidRPr="00B300DC" w:rsidRDefault="00C9066E" w:rsidP="00C9066E">
      <w:pPr>
        <w:ind w:left="709"/>
        <w:rPr>
          <w:b/>
          <w:lang w:val="en-US"/>
        </w:rPr>
      </w:pPr>
    </w:p>
    <w:p w:rsidR="0087782B" w:rsidRDefault="00C9066E" w:rsidP="00C9066E">
      <w:pPr>
        <w:rPr>
          <w:rFonts w:eastAsia="Batang"/>
          <w:lang w:val="en-GB"/>
        </w:rPr>
      </w:pPr>
      <w:r w:rsidRPr="00313E82">
        <w:rPr>
          <w:lang w:val="en-US"/>
        </w:rPr>
        <w:t>It should be noted that in this definition “hazard” is used in a broad sense and not with respect to natural or man-made hazard events.</w:t>
      </w:r>
    </w:p>
    <w:p w:rsidR="00C9066E" w:rsidRDefault="00C9066E" w:rsidP="00F4691F">
      <w:pPr>
        <w:rPr>
          <w:rFonts w:eastAsia="Batang"/>
          <w:lang w:val="en-GB"/>
        </w:rPr>
      </w:pPr>
    </w:p>
    <w:p w:rsidR="009E1CD8" w:rsidRPr="00273113" w:rsidRDefault="009E1CD8" w:rsidP="009E1CD8">
      <w:pPr>
        <w:rPr>
          <w:b/>
          <w:u w:val="single"/>
          <w:lang w:val="en-US"/>
        </w:rPr>
      </w:pPr>
      <w:r w:rsidRPr="00313E82">
        <w:rPr>
          <w:b/>
          <w:u w:val="single"/>
          <w:lang w:val="en-US"/>
        </w:rPr>
        <w:t>Risk Measure and Risk Metrics</w:t>
      </w:r>
      <w:r w:rsidR="00273113">
        <w:rPr>
          <w:b/>
          <w:u w:val="single"/>
          <w:lang w:val="en-US"/>
        </w:rPr>
        <w:t xml:space="preserve"> (see also ASAMPSA_E</w:t>
      </w:r>
      <w:r>
        <w:rPr>
          <w:b/>
          <w:u w:val="single"/>
          <w:lang w:val="en-US"/>
        </w:rPr>
        <w:t xml:space="preserve"> D30.5)</w:t>
      </w:r>
    </w:p>
    <w:p w:rsidR="009E1CD8" w:rsidRDefault="009E1CD8" w:rsidP="009803F6">
      <w:pPr>
        <w:rPr>
          <w:lang w:val="en-US"/>
        </w:rPr>
      </w:pPr>
      <w:r w:rsidRPr="00313E82">
        <w:rPr>
          <w:lang w:val="en-US"/>
        </w:rPr>
        <w:t>“In the context of risk measurement, a risk metric is the concept quantified by a risk measure.”</w:t>
      </w:r>
      <w:r w:rsidR="00273113">
        <w:rPr>
          <w:lang w:val="en-US"/>
        </w:rPr>
        <w:t xml:space="preserve"> </w:t>
      </w:r>
      <w:r w:rsidR="00125AF4" w:rsidRPr="00FB36BD">
        <w:rPr>
          <w:lang w:val="en-US"/>
        </w:rPr>
        <w:fldChar w:fldCharType="begin"/>
      </w:r>
      <w:r w:rsidR="0095446B" w:rsidRPr="00FB36BD">
        <w:rPr>
          <w:lang w:val="en-US"/>
        </w:rPr>
        <w:instrText xml:space="preserve"> REF _Ref413863269 \r \h </w:instrText>
      </w:r>
      <w:r w:rsidR="00016F1D" w:rsidRPr="00FB36BD">
        <w:rPr>
          <w:lang w:val="en-US"/>
        </w:rPr>
        <w:instrText xml:space="preserve"> \* MERGEFORMAT </w:instrText>
      </w:r>
      <w:r w:rsidR="00125AF4" w:rsidRPr="00FB36BD">
        <w:rPr>
          <w:lang w:val="en-US"/>
        </w:rPr>
      </w:r>
      <w:r w:rsidR="00125AF4" w:rsidRPr="00FB36BD">
        <w:rPr>
          <w:lang w:val="en-US"/>
        </w:rPr>
        <w:fldChar w:fldCharType="separate"/>
      </w:r>
      <w:r w:rsidR="00E62976">
        <w:rPr>
          <w:lang w:val="en-US"/>
        </w:rPr>
        <w:t>[14]</w:t>
      </w:r>
      <w:r w:rsidR="00125AF4" w:rsidRPr="00FB36BD">
        <w:rPr>
          <w:lang w:val="en-US"/>
        </w:rPr>
        <w:fldChar w:fldCharType="end"/>
      </w:r>
      <w:r w:rsidRPr="00313E82">
        <w:rPr>
          <w:lang w:val="en-US"/>
        </w:rPr>
        <w:t>. The risk metric is a feature or property of the risk model like e.g. a consequence, a transition between two states of the risk model, or</w:t>
      </w:r>
      <w:r w:rsidR="0084497F">
        <w:rPr>
          <w:lang w:val="en-US"/>
        </w:rPr>
        <w:t xml:space="preserve"> </w:t>
      </w:r>
      <w:r w:rsidR="00A30156">
        <w:rPr>
          <w:lang w:val="en-US"/>
        </w:rPr>
        <w:t xml:space="preserve">an indicator </w:t>
      </w:r>
      <w:r w:rsidR="0084497F">
        <w:rPr>
          <w:lang w:val="en-US"/>
        </w:rPr>
        <w:t xml:space="preserve">derived from another </w:t>
      </w:r>
      <w:r w:rsidRPr="00313E82">
        <w:rPr>
          <w:lang w:val="en-US"/>
        </w:rPr>
        <w:t>risk measures. The risk measure includes in addition the quantification procedure for the risk metric. Risk measures are used for the representation, discussion, and interpretation of PSA results. For risk measures like core damage frequency, conditional failure probability of a system, or basic event importance for CDF to be used, the risk model has to support the respective risk metrics. However, under the ASAMPSA_E project the two terms risk metrics and risk measures have been used without distinction. For this reason, in this report, the term risk measure will be used as a more comprehensive term even if only the risk metric is meant. The term risk metric will be used if specifically the metric aspect is addressed or if there would otherwise be ambiguities.</w:t>
      </w:r>
    </w:p>
    <w:p w:rsidR="00FB36BD" w:rsidRPr="009803F6" w:rsidRDefault="00FB36BD" w:rsidP="009803F6">
      <w:pPr>
        <w:rPr>
          <w:lang w:val="en-US"/>
        </w:rPr>
      </w:pPr>
    </w:p>
    <w:p w:rsidR="007151BE" w:rsidRPr="00313E82" w:rsidRDefault="007151BE" w:rsidP="007151BE">
      <w:pPr>
        <w:rPr>
          <w:lang w:val="en-US"/>
        </w:rPr>
      </w:pPr>
      <w:r>
        <w:rPr>
          <w:b/>
          <w:u w:val="single"/>
          <w:lang w:val="en-US"/>
        </w:rPr>
        <w:t>Screening</w:t>
      </w:r>
    </w:p>
    <w:p w:rsidR="00080288" w:rsidRDefault="007151BE" w:rsidP="009803F6">
      <w:pPr>
        <w:rPr>
          <w:lang w:val="en-US"/>
        </w:rPr>
      </w:pPr>
      <w:r w:rsidRPr="005079A3">
        <w:rPr>
          <w:lang w:val="en-US"/>
        </w:rPr>
        <w:t>The title of the present document is “Methodology for Selecting Initiating Events and Hazards for Consideration in an Extended PSA</w:t>
      </w:r>
      <w:r>
        <w:rPr>
          <w:lang w:val="en-US"/>
        </w:rPr>
        <w:t xml:space="preserve">”. In the related literature and also here very often the word “screening” is used instead. </w:t>
      </w:r>
      <w:r w:rsidRPr="005079A3">
        <w:rPr>
          <w:lang w:val="en-US"/>
        </w:rPr>
        <w:t>Screening is the process to determine if an item is to be included</w:t>
      </w:r>
      <w:r w:rsidR="00BD2194">
        <w:rPr>
          <w:lang w:val="en-US"/>
        </w:rPr>
        <w:t xml:space="preserve"> in the </w:t>
      </w:r>
      <w:r w:rsidR="00080288">
        <w:rPr>
          <w:lang w:val="en-US"/>
        </w:rPr>
        <w:t>extended PSA</w:t>
      </w:r>
      <w:r>
        <w:rPr>
          <w:lang w:val="en-US"/>
        </w:rPr>
        <w:t>,</w:t>
      </w:r>
      <w:r w:rsidRPr="005079A3">
        <w:rPr>
          <w:lang w:val="en-US"/>
        </w:rPr>
        <w:t xml:space="preserve"> the</w:t>
      </w:r>
      <w:r>
        <w:rPr>
          <w:lang w:val="en-US"/>
        </w:rPr>
        <w:t xml:space="preserve"> </w:t>
      </w:r>
      <w:r w:rsidRPr="005079A3">
        <w:rPr>
          <w:lang w:val="en-US"/>
        </w:rPr>
        <w:t>kind of treatment to follow, and the priority of the activities to be carried out</w:t>
      </w:r>
      <w:r>
        <w:rPr>
          <w:lang w:val="en-US"/>
        </w:rPr>
        <w:t xml:space="preserve"> (</w:t>
      </w:r>
      <w:r w:rsidR="00BD2194">
        <w:rPr>
          <w:lang w:val="en-US"/>
        </w:rPr>
        <w:t>t</w:t>
      </w:r>
      <w:r>
        <w:rPr>
          <w:lang w:val="en-US"/>
        </w:rPr>
        <w:t xml:space="preserve">his phrase adapted from </w:t>
      </w:r>
      <w:r w:rsidR="00465493">
        <w:rPr>
          <w:lang w:val="en-US"/>
        </w:rPr>
        <w:t>IAEA</w:t>
      </w:r>
      <w:r w:rsidR="00FB36BD">
        <w:rPr>
          <w:lang w:val="en-US"/>
        </w:rPr>
        <w:t>–</w:t>
      </w:r>
      <w:r w:rsidR="00465493">
        <w:rPr>
          <w:lang w:val="en-US"/>
        </w:rPr>
        <w:t>TECDOC</w:t>
      </w:r>
      <w:r w:rsidR="00FB36BD">
        <w:rPr>
          <w:lang w:val="en-US"/>
        </w:rPr>
        <w:t>-</w:t>
      </w:r>
      <w:r w:rsidR="00465493">
        <w:rPr>
          <w:lang w:val="en-US"/>
        </w:rPr>
        <w:t>1581</w:t>
      </w:r>
      <w:r w:rsidR="004A1884">
        <w:rPr>
          <w:lang w:val="en-US"/>
        </w:rPr>
        <w:t xml:space="preserve"> </w:t>
      </w:r>
      <w:r w:rsidR="004A1884">
        <w:rPr>
          <w:lang w:val="en-US"/>
        </w:rPr>
        <w:fldChar w:fldCharType="begin"/>
      </w:r>
      <w:r w:rsidR="004A1884">
        <w:rPr>
          <w:lang w:val="en-US"/>
        </w:rPr>
        <w:instrText xml:space="preserve"> REF _Ref469064187 \w \h </w:instrText>
      </w:r>
      <w:r w:rsidR="004A1884">
        <w:rPr>
          <w:lang w:val="en-US"/>
        </w:rPr>
      </w:r>
      <w:r w:rsidR="004A1884">
        <w:rPr>
          <w:lang w:val="en-US"/>
        </w:rPr>
        <w:fldChar w:fldCharType="separate"/>
      </w:r>
      <w:r w:rsidR="00E62976">
        <w:rPr>
          <w:lang w:val="en-US"/>
        </w:rPr>
        <w:t>[105]</w:t>
      </w:r>
      <w:r w:rsidR="004A1884">
        <w:rPr>
          <w:lang w:val="en-US"/>
        </w:rPr>
        <w:fldChar w:fldCharType="end"/>
      </w:r>
      <w:r w:rsidR="00465493">
        <w:rPr>
          <w:lang w:val="en-US"/>
        </w:rPr>
        <w:t>).</w:t>
      </w:r>
    </w:p>
    <w:p w:rsidR="00080288" w:rsidRDefault="00080288">
      <w:pPr>
        <w:spacing w:line="240" w:lineRule="auto"/>
        <w:jc w:val="left"/>
        <w:rPr>
          <w:lang w:val="en-US"/>
        </w:rPr>
      </w:pPr>
      <w:r>
        <w:rPr>
          <w:lang w:val="en-US"/>
        </w:rPr>
        <w:br w:type="page"/>
      </w:r>
    </w:p>
    <w:p w:rsidR="00D34417" w:rsidRDefault="00D34417" w:rsidP="00D34417">
      <w:pPr>
        <w:pStyle w:val="Titre1"/>
        <w:rPr>
          <w:lang w:val="en-GB"/>
        </w:rPr>
      </w:pPr>
      <w:bookmarkStart w:id="56" w:name="_Toc446686355"/>
      <w:bookmarkStart w:id="57" w:name="_Toc446686356"/>
      <w:bookmarkStart w:id="58" w:name="_Toc446686357"/>
      <w:bookmarkStart w:id="59" w:name="_Toc446686358"/>
      <w:bookmarkStart w:id="60" w:name="_Toc446686359"/>
      <w:bookmarkStart w:id="61" w:name="_Toc446686360"/>
      <w:bookmarkStart w:id="62" w:name="_Toc443043195"/>
      <w:bookmarkStart w:id="63" w:name="_Toc443294912"/>
      <w:bookmarkStart w:id="64" w:name="_Toc443584202"/>
      <w:bookmarkStart w:id="65" w:name="_Toc443584354"/>
      <w:bookmarkStart w:id="66" w:name="_Toc443584472"/>
      <w:bookmarkStart w:id="67" w:name="_Toc443584590"/>
      <w:bookmarkStart w:id="68" w:name="_Toc443584708"/>
      <w:bookmarkStart w:id="69" w:name="_Toc443584821"/>
      <w:bookmarkStart w:id="70" w:name="_Toc443584938"/>
      <w:bookmarkStart w:id="71" w:name="_Toc443585055"/>
      <w:bookmarkStart w:id="72" w:name="_Toc443585172"/>
      <w:bookmarkStart w:id="73" w:name="_Toc443585289"/>
      <w:bookmarkStart w:id="74" w:name="_Toc443585406"/>
      <w:bookmarkStart w:id="75" w:name="_Toc443585519"/>
      <w:bookmarkStart w:id="76" w:name="_Toc443586980"/>
      <w:bookmarkStart w:id="77" w:name="_Ref444952891"/>
      <w:bookmarkStart w:id="78" w:name="_Toc473303544"/>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r>
        <w:rPr>
          <w:rFonts w:eastAsia="Batang"/>
          <w:lang w:val="en-GB"/>
        </w:rPr>
        <w:t xml:space="preserve">GENERAL METHODOLOGY FOR THE SELECTION OF INITIATING EVENTS </w:t>
      </w:r>
      <w:bookmarkStart w:id="79" w:name="_Ref418859951"/>
      <w:r w:rsidR="007A3F77">
        <w:rPr>
          <w:rFonts w:eastAsia="Batang"/>
          <w:lang w:val="en-GB"/>
        </w:rPr>
        <w:t xml:space="preserve">and hazards </w:t>
      </w:r>
      <w:r w:rsidR="001B7918">
        <w:rPr>
          <w:lang w:val="en-GB"/>
        </w:rPr>
        <w:t>IN AN EXTENDED PSA</w:t>
      </w:r>
      <w:bookmarkEnd w:id="77"/>
      <w:bookmarkEnd w:id="78"/>
    </w:p>
    <w:bookmarkEnd w:id="79"/>
    <w:p w:rsidR="005650B4" w:rsidRDefault="005650B4" w:rsidP="005D64CA">
      <w:pPr>
        <w:rPr>
          <w:lang w:val="en-GB"/>
        </w:rPr>
      </w:pPr>
    </w:p>
    <w:p w:rsidR="00E11649" w:rsidRDefault="00625583" w:rsidP="00E11649">
      <w:pPr>
        <w:rPr>
          <w:lang w:val="en-GB"/>
        </w:rPr>
      </w:pPr>
      <w:r w:rsidRPr="00E20701">
        <w:rPr>
          <w:lang w:val="en-GB"/>
        </w:rPr>
        <w:t xml:space="preserve">The general methodology for identifying initiating events and hazards is </w:t>
      </w:r>
      <w:r>
        <w:rPr>
          <w:lang w:val="en-GB"/>
        </w:rPr>
        <w:t>similar</w:t>
      </w:r>
      <w:r w:rsidRPr="00E20701">
        <w:rPr>
          <w:lang w:val="en-GB"/>
        </w:rPr>
        <w:t xml:space="preserve"> </w:t>
      </w:r>
      <w:r w:rsidR="000926E3">
        <w:rPr>
          <w:rStyle w:val="Marquedecommentaire"/>
          <w:lang w:val="en-US"/>
        </w:rPr>
        <w:t>for</w:t>
      </w:r>
      <w:r w:rsidR="000926E3" w:rsidRPr="00E20701">
        <w:rPr>
          <w:lang w:val="en-GB"/>
        </w:rPr>
        <w:t xml:space="preserve"> </w:t>
      </w:r>
      <w:r w:rsidRPr="00E20701">
        <w:rPr>
          <w:lang w:val="en-GB"/>
        </w:rPr>
        <w:t>PSA and deterministic safety assessment (DSA) practice. It is described, amongst others, in the IAEA safety requirements, e.g. SSR-2/1 for the design of NPP</w:t>
      </w:r>
      <w:r w:rsidR="002448C5">
        <w:rPr>
          <w:lang w:val="en-GB"/>
        </w:rPr>
        <w:t xml:space="preserve"> </w:t>
      </w:r>
      <w:r w:rsidR="00125AF4">
        <w:rPr>
          <w:lang w:val="en-GB"/>
        </w:rPr>
        <w:fldChar w:fldCharType="begin"/>
      </w:r>
      <w:r w:rsidR="002448C5">
        <w:rPr>
          <w:lang w:val="en-GB"/>
        </w:rPr>
        <w:instrText xml:space="preserve"> REF _Ref443294889 \r \h </w:instrText>
      </w:r>
      <w:r w:rsidR="00125AF4">
        <w:rPr>
          <w:lang w:val="en-GB"/>
        </w:rPr>
      </w:r>
      <w:r w:rsidR="00125AF4">
        <w:rPr>
          <w:lang w:val="en-GB"/>
        </w:rPr>
        <w:fldChar w:fldCharType="separate"/>
      </w:r>
      <w:r w:rsidR="00E62976">
        <w:rPr>
          <w:lang w:val="en-GB"/>
        </w:rPr>
        <w:t>[2]</w:t>
      </w:r>
      <w:r w:rsidR="00125AF4">
        <w:rPr>
          <w:lang w:val="en-GB"/>
        </w:rPr>
        <w:fldChar w:fldCharType="end"/>
      </w:r>
      <w:r w:rsidRPr="00E20701">
        <w:rPr>
          <w:lang w:val="en-GB"/>
        </w:rPr>
        <w:t xml:space="preserve">, and specific safety guides, e.g. SSG-2 on deterministic safety analysis </w:t>
      </w:r>
      <w:r w:rsidR="00125AF4" w:rsidRPr="00FA7763">
        <w:rPr>
          <w:lang w:val="en-GB"/>
        </w:rPr>
        <w:fldChar w:fldCharType="begin"/>
      </w:r>
      <w:r w:rsidRPr="00E20701">
        <w:rPr>
          <w:lang w:val="en-GB"/>
        </w:rPr>
        <w:instrText xml:space="preserve"> REF _Ref384387949 \r \h </w:instrText>
      </w:r>
      <w:r w:rsidR="00125AF4" w:rsidRPr="00FA7763">
        <w:rPr>
          <w:lang w:val="en-GB"/>
        </w:rPr>
      </w:r>
      <w:r w:rsidR="00125AF4" w:rsidRPr="00FA7763">
        <w:rPr>
          <w:lang w:val="en-GB"/>
        </w:rPr>
        <w:fldChar w:fldCharType="separate"/>
      </w:r>
      <w:r w:rsidR="00E62976">
        <w:rPr>
          <w:lang w:val="en-GB"/>
        </w:rPr>
        <w:t>[3]</w:t>
      </w:r>
      <w:r w:rsidR="00125AF4" w:rsidRPr="00FA7763">
        <w:rPr>
          <w:lang w:val="en-GB"/>
        </w:rPr>
        <w:fldChar w:fldCharType="end"/>
      </w:r>
      <w:r w:rsidRPr="00E20701">
        <w:rPr>
          <w:lang w:val="en-GB"/>
        </w:rPr>
        <w:t xml:space="preserve"> and SSG-3 on PSA level</w:t>
      </w:r>
      <w:r w:rsidR="00A87E86">
        <w:rPr>
          <w:lang w:val="en-GB"/>
        </w:rPr>
        <w:t> </w:t>
      </w:r>
      <w:r w:rsidRPr="00E20701">
        <w:rPr>
          <w:lang w:val="en-GB"/>
        </w:rPr>
        <w:t xml:space="preserve">1 </w:t>
      </w:r>
      <w:r w:rsidR="00125AF4" w:rsidRPr="00FA7763">
        <w:rPr>
          <w:lang w:val="en-GB"/>
        </w:rPr>
        <w:fldChar w:fldCharType="begin"/>
      </w:r>
      <w:r w:rsidRPr="00E20701">
        <w:rPr>
          <w:lang w:val="en-GB"/>
        </w:rPr>
        <w:instrText xml:space="preserve"> REF _Ref384386913 \r \h </w:instrText>
      </w:r>
      <w:r w:rsidR="00125AF4" w:rsidRPr="00FA7763">
        <w:rPr>
          <w:lang w:val="en-GB"/>
        </w:rPr>
      </w:r>
      <w:r w:rsidR="00125AF4" w:rsidRPr="00FA7763">
        <w:rPr>
          <w:lang w:val="en-GB"/>
        </w:rPr>
        <w:fldChar w:fldCharType="separate"/>
      </w:r>
      <w:r w:rsidR="00E62976">
        <w:rPr>
          <w:lang w:val="en-GB"/>
        </w:rPr>
        <w:t>[4]</w:t>
      </w:r>
      <w:r w:rsidR="00125AF4" w:rsidRPr="00FA7763">
        <w:rPr>
          <w:lang w:val="en-GB"/>
        </w:rPr>
        <w:fldChar w:fldCharType="end"/>
      </w:r>
      <w:r w:rsidRPr="00E20701">
        <w:rPr>
          <w:lang w:val="en-GB"/>
        </w:rPr>
        <w:t xml:space="preserve"> (cf. section </w:t>
      </w:r>
      <w:r w:rsidR="00125AF4" w:rsidRPr="00FA7763">
        <w:rPr>
          <w:lang w:val="en-GB"/>
        </w:rPr>
        <w:fldChar w:fldCharType="begin"/>
      </w:r>
      <w:r w:rsidRPr="00E20701">
        <w:rPr>
          <w:lang w:val="en-GB"/>
        </w:rPr>
        <w:instrText xml:space="preserve"> REF _Ref384898859 \r \h </w:instrText>
      </w:r>
      <w:r w:rsidR="00125AF4" w:rsidRPr="00FA7763">
        <w:rPr>
          <w:lang w:val="en-GB"/>
        </w:rPr>
      </w:r>
      <w:r w:rsidR="00125AF4" w:rsidRPr="00FA7763">
        <w:rPr>
          <w:lang w:val="en-GB"/>
        </w:rPr>
        <w:fldChar w:fldCharType="separate"/>
      </w:r>
      <w:r w:rsidR="00E62976">
        <w:rPr>
          <w:lang w:val="en-GB"/>
        </w:rPr>
        <w:t>5.1.1</w:t>
      </w:r>
      <w:r w:rsidR="00125AF4" w:rsidRPr="00FA7763">
        <w:rPr>
          <w:lang w:val="en-GB"/>
        </w:rPr>
        <w:fldChar w:fldCharType="end"/>
      </w:r>
      <w:r w:rsidRPr="00E20701">
        <w:rPr>
          <w:lang w:val="en-GB"/>
        </w:rPr>
        <w:t xml:space="preserve">). The basic concepts are also part of WENRA </w:t>
      </w:r>
      <w:r w:rsidR="00273113">
        <w:rPr>
          <w:lang w:val="en-GB"/>
        </w:rPr>
        <w:t>R</w:t>
      </w:r>
      <w:r w:rsidRPr="00E20701">
        <w:rPr>
          <w:lang w:val="en-GB"/>
        </w:rPr>
        <w:t xml:space="preserve">eference </w:t>
      </w:r>
      <w:r w:rsidR="00273113">
        <w:rPr>
          <w:lang w:val="en-GB"/>
        </w:rPr>
        <w:t>L</w:t>
      </w:r>
      <w:r w:rsidRPr="00E20701">
        <w:rPr>
          <w:lang w:val="en-GB"/>
        </w:rPr>
        <w:t xml:space="preserve">evels for existing </w:t>
      </w:r>
      <w:r w:rsidR="00125AF4">
        <w:rPr>
          <w:lang w:val="en-GB"/>
        </w:rPr>
        <w:fldChar w:fldCharType="begin"/>
      </w:r>
      <w:r w:rsidR="001C52EA">
        <w:rPr>
          <w:lang w:val="en-GB"/>
        </w:rPr>
        <w:instrText xml:space="preserve"> REF _Ref384812549 \r \h </w:instrText>
      </w:r>
      <w:r w:rsidR="00125AF4">
        <w:rPr>
          <w:lang w:val="en-GB"/>
        </w:rPr>
      </w:r>
      <w:r w:rsidR="00125AF4">
        <w:rPr>
          <w:lang w:val="en-GB"/>
        </w:rPr>
        <w:fldChar w:fldCharType="separate"/>
      </w:r>
      <w:r w:rsidR="00E62976">
        <w:rPr>
          <w:lang w:val="en-GB"/>
        </w:rPr>
        <w:t>[11]</w:t>
      </w:r>
      <w:r w:rsidR="00125AF4">
        <w:rPr>
          <w:lang w:val="en-GB"/>
        </w:rPr>
        <w:fldChar w:fldCharType="end"/>
      </w:r>
      <w:r w:rsidRPr="00E20701">
        <w:rPr>
          <w:lang w:val="en-GB"/>
        </w:rPr>
        <w:t xml:space="preserve"> and for new reactors </w:t>
      </w:r>
      <w:r w:rsidR="008E343E">
        <w:rPr>
          <w:lang w:val="en-GB"/>
        </w:rPr>
        <w:fldChar w:fldCharType="begin"/>
      </w:r>
      <w:r w:rsidR="008E343E">
        <w:rPr>
          <w:lang w:val="en-GB"/>
        </w:rPr>
        <w:instrText xml:space="preserve"> REF _Ref392859457 \w \h </w:instrText>
      </w:r>
      <w:r w:rsidR="008E343E">
        <w:rPr>
          <w:lang w:val="en-GB"/>
        </w:rPr>
      </w:r>
      <w:r w:rsidR="008E343E">
        <w:rPr>
          <w:lang w:val="en-GB"/>
        </w:rPr>
        <w:fldChar w:fldCharType="separate"/>
      </w:r>
      <w:r w:rsidR="00E62976">
        <w:rPr>
          <w:lang w:val="en-GB"/>
        </w:rPr>
        <w:t>[35]</w:t>
      </w:r>
      <w:r w:rsidR="008E343E">
        <w:rPr>
          <w:lang w:val="en-GB"/>
        </w:rPr>
        <w:fldChar w:fldCharType="end"/>
      </w:r>
      <w:r w:rsidRPr="00E20701">
        <w:rPr>
          <w:lang w:val="en-GB"/>
        </w:rPr>
        <w:t xml:space="preserve">. National regulation and guidance documents on DSA and PSA from Europe (e.g. </w:t>
      </w:r>
      <w:r w:rsidR="00125AF4" w:rsidRPr="00FA7763">
        <w:rPr>
          <w:lang w:val="en-GB"/>
        </w:rPr>
        <w:fldChar w:fldCharType="begin"/>
      </w:r>
      <w:r w:rsidRPr="00E20701">
        <w:rPr>
          <w:lang w:val="en-GB"/>
        </w:rPr>
        <w:instrText xml:space="preserve"> REF _Ref406515493 \r \h </w:instrText>
      </w:r>
      <w:r w:rsidR="00125AF4" w:rsidRPr="00FA7763">
        <w:rPr>
          <w:lang w:val="en-GB"/>
        </w:rPr>
      </w:r>
      <w:r w:rsidR="00125AF4" w:rsidRPr="00FA7763">
        <w:rPr>
          <w:lang w:val="en-GB"/>
        </w:rPr>
        <w:fldChar w:fldCharType="separate"/>
      </w:r>
      <w:r w:rsidR="00E62976">
        <w:rPr>
          <w:lang w:val="en-GB"/>
        </w:rPr>
        <w:t>[10]</w:t>
      </w:r>
      <w:r w:rsidR="00125AF4" w:rsidRPr="00FA7763">
        <w:rPr>
          <w:lang w:val="en-GB"/>
        </w:rPr>
        <w:fldChar w:fldCharType="end"/>
      </w:r>
      <w:r w:rsidRPr="00E20701">
        <w:rPr>
          <w:lang w:val="en-GB"/>
        </w:rPr>
        <w:t xml:space="preserve">, </w:t>
      </w:r>
      <w:r w:rsidR="000B23D9">
        <w:rPr>
          <w:lang w:val="en-GB"/>
        </w:rPr>
        <w:fldChar w:fldCharType="begin"/>
      </w:r>
      <w:r w:rsidR="000B23D9">
        <w:rPr>
          <w:lang w:val="en-GB"/>
        </w:rPr>
        <w:instrText xml:space="preserve"> REF _Ref394482203 \w \h </w:instrText>
      </w:r>
      <w:r w:rsidR="000B23D9">
        <w:rPr>
          <w:lang w:val="en-GB"/>
        </w:rPr>
      </w:r>
      <w:r w:rsidR="000B23D9">
        <w:rPr>
          <w:lang w:val="en-GB"/>
        </w:rPr>
        <w:fldChar w:fldCharType="separate"/>
      </w:r>
      <w:r w:rsidR="00E62976">
        <w:rPr>
          <w:lang w:val="en-GB"/>
        </w:rPr>
        <w:t>[30]</w:t>
      </w:r>
      <w:r w:rsidR="000B23D9">
        <w:rPr>
          <w:lang w:val="en-GB"/>
        </w:rPr>
        <w:fldChar w:fldCharType="end"/>
      </w:r>
      <w:r w:rsidRPr="00E20701">
        <w:rPr>
          <w:lang w:val="en-GB"/>
        </w:rPr>
        <w:t xml:space="preserve">, </w:t>
      </w:r>
      <w:r w:rsidR="000B23D9">
        <w:rPr>
          <w:lang w:val="en-GB"/>
        </w:rPr>
        <w:fldChar w:fldCharType="begin"/>
      </w:r>
      <w:r w:rsidR="000B23D9">
        <w:rPr>
          <w:lang w:val="en-GB"/>
        </w:rPr>
        <w:instrText xml:space="preserve"> REF _Ref406515522 \w \h </w:instrText>
      </w:r>
      <w:r w:rsidR="000B23D9">
        <w:rPr>
          <w:lang w:val="en-GB"/>
        </w:rPr>
      </w:r>
      <w:r w:rsidR="000B23D9">
        <w:rPr>
          <w:lang w:val="en-GB"/>
        </w:rPr>
        <w:fldChar w:fldCharType="separate"/>
      </w:r>
      <w:r w:rsidR="00E62976">
        <w:rPr>
          <w:lang w:val="en-GB"/>
        </w:rPr>
        <w:t>[36]</w:t>
      </w:r>
      <w:r w:rsidR="000B23D9">
        <w:rPr>
          <w:lang w:val="en-GB"/>
        </w:rPr>
        <w:fldChar w:fldCharType="end"/>
      </w:r>
      <w:r w:rsidRPr="00E20701">
        <w:rPr>
          <w:lang w:val="en-GB"/>
        </w:rPr>
        <w:t xml:space="preserve">, </w:t>
      </w:r>
      <w:r w:rsidR="000B23D9">
        <w:rPr>
          <w:lang w:val="en-GB"/>
        </w:rPr>
        <w:fldChar w:fldCharType="begin"/>
      </w:r>
      <w:r w:rsidR="000B23D9">
        <w:rPr>
          <w:lang w:val="en-GB"/>
        </w:rPr>
        <w:instrText xml:space="preserve"> REF _Ref406515523 \w \h </w:instrText>
      </w:r>
      <w:r w:rsidR="000B23D9">
        <w:rPr>
          <w:lang w:val="en-GB"/>
        </w:rPr>
      </w:r>
      <w:r w:rsidR="000B23D9">
        <w:rPr>
          <w:lang w:val="en-GB"/>
        </w:rPr>
        <w:fldChar w:fldCharType="separate"/>
      </w:r>
      <w:r w:rsidR="00E62976">
        <w:rPr>
          <w:lang w:val="en-GB"/>
        </w:rPr>
        <w:t>[37]</w:t>
      </w:r>
      <w:r w:rsidR="000B23D9">
        <w:rPr>
          <w:lang w:val="en-GB"/>
        </w:rPr>
        <w:fldChar w:fldCharType="end"/>
      </w:r>
      <w:r w:rsidRPr="00E20701">
        <w:rPr>
          <w:lang w:val="en-GB"/>
        </w:rPr>
        <w:t xml:space="preserve">, </w:t>
      </w:r>
      <w:r w:rsidR="000B23D9">
        <w:rPr>
          <w:lang w:val="en-GB"/>
        </w:rPr>
        <w:fldChar w:fldCharType="begin"/>
      </w:r>
      <w:r w:rsidR="000B23D9">
        <w:rPr>
          <w:lang w:val="en-GB"/>
        </w:rPr>
        <w:instrText xml:space="preserve"> REF _Ref406515528 \w \h </w:instrText>
      </w:r>
      <w:r w:rsidR="000B23D9">
        <w:rPr>
          <w:lang w:val="en-GB"/>
        </w:rPr>
      </w:r>
      <w:r w:rsidR="000B23D9">
        <w:rPr>
          <w:lang w:val="en-GB"/>
        </w:rPr>
        <w:fldChar w:fldCharType="separate"/>
      </w:r>
      <w:r w:rsidR="00E62976">
        <w:rPr>
          <w:lang w:val="en-GB"/>
        </w:rPr>
        <w:t>[39]</w:t>
      </w:r>
      <w:r w:rsidR="000B23D9">
        <w:rPr>
          <w:lang w:val="en-GB"/>
        </w:rPr>
        <w:fldChar w:fldCharType="end"/>
      </w:r>
      <w:r w:rsidRPr="00E20701">
        <w:rPr>
          <w:lang w:val="en-GB"/>
        </w:rPr>
        <w:t xml:space="preserve">, </w:t>
      </w:r>
      <w:r w:rsidR="000B23D9">
        <w:rPr>
          <w:lang w:val="en-GB"/>
        </w:rPr>
        <w:fldChar w:fldCharType="begin"/>
      </w:r>
      <w:r w:rsidR="000B23D9">
        <w:rPr>
          <w:lang w:val="en-GB"/>
        </w:rPr>
        <w:instrText xml:space="preserve"> REF _Ref406515529 \w \h </w:instrText>
      </w:r>
      <w:r w:rsidR="000B23D9">
        <w:rPr>
          <w:lang w:val="en-GB"/>
        </w:rPr>
      </w:r>
      <w:r w:rsidR="000B23D9">
        <w:rPr>
          <w:lang w:val="en-GB"/>
        </w:rPr>
        <w:fldChar w:fldCharType="separate"/>
      </w:r>
      <w:r w:rsidR="00E62976">
        <w:rPr>
          <w:lang w:val="en-GB"/>
        </w:rPr>
        <w:t>[40]</w:t>
      </w:r>
      <w:r w:rsidR="000B23D9">
        <w:rPr>
          <w:lang w:val="en-GB"/>
        </w:rPr>
        <w:fldChar w:fldCharType="end"/>
      </w:r>
      <w:r w:rsidRPr="00E20701">
        <w:rPr>
          <w:lang w:val="en-GB"/>
        </w:rPr>
        <w:t xml:space="preserve">, </w:t>
      </w:r>
      <w:r w:rsidR="000B23D9">
        <w:rPr>
          <w:lang w:val="en-GB"/>
        </w:rPr>
        <w:fldChar w:fldCharType="begin"/>
      </w:r>
      <w:r w:rsidR="000B23D9">
        <w:rPr>
          <w:lang w:val="en-GB"/>
        </w:rPr>
        <w:instrText xml:space="preserve"> REF _Ref406515530 \w \h </w:instrText>
      </w:r>
      <w:r w:rsidR="000B23D9">
        <w:rPr>
          <w:lang w:val="en-GB"/>
        </w:rPr>
      </w:r>
      <w:r w:rsidR="000B23D9">
        <w:rPr>
          <w:lang w:val="en-GB"/>
        </w:rPr>
        <w:fldChar w:fldCharType="separate"/>
      </w:r>
      <w:r w:rsidR="00E62976">
        <w:rPr>
          <w:lang w:val="en-GB"/>
        </w:rPr>
        <w:t>[41]</w:t>
      </w:r>
      <w:r w:rsidR="000B23D9">
        <w:rPr>
          <w:lang w:val="en-GB"/>
        </w:rPr>
        <w:fldChar w:fldCharType="end"/>
      </w:r>
      <w:r w:rsidRPr="00E20701">
        <w:rPr>
          <w:lang w:val="en-GB"/>
        </w:rPr>
        <w:t xml:space="preserve">, </w:t>
      </w:r>
      <w:r w:rsidR="000B23D9">
        <w:rPr>
          <w:lang w:val="en-GB"/>
        </w:rPr>
        <w:fldChar w:fldCharType="begin"/>
      </w:r>
      <w:r w:rsidR="000B23D9">
        <w:rPr>
          <w:lang w:val="en-GB"/>
        </w:rPr>
        <w:instrText xml:space="preserve"> REF _Ref406515532 \w \h </w:instrText>
      </w:r>
      <w:r w:rsidR="000B23D9">
        <w:rPr>
          <w:lang w:val="en-GB"/>
        </w:rPr>
      </w:r>
      <w:r w:rsidR="000B23D9">
        <w:rPr>
          <w:lang w:val="en-GB"/>
        </w:rPr>
        <w:fldChar w:fldCharType="separate"/>
      </w:r>
      <w:r w:rsidR="00E62976">
        <w:rPr>
          <w:lang w:val="en-GB"/>
        </w:rPr>
        <w:t>[42]</w:t>
      </w:r>
      <w:r w:rsidR="000B23D9">
        <w:rPr>
          <w:lang w:val="en-GB"/>
        </w:rPr>
        <w:fldChar w:fldCharType="end"/>
      </w:r>
      <w:r w:rsidRPr="00E20701">
        <w:rPr>
          <w:lang w:val="en-GB"/>
        </w:rPr>
        <w:t xml:space="preserve">, etc.) and from America (e.g. </w:t>
      </w:r>
      <w:r w:rsidR="00125AF4" w:rsidRPr="00FA7763">
        <w:rPr>
          <w:lang w:val="en-GB"/>
        </w:rPr>
        <w:fldChar w:fldCharType="begin"/>
      </w:r>
      <w:r w:rsidRPr="00E20701">
        <w:rPr>
          <w:lang w:val="en-GB"/>
        </w:rPr>
        <w:instrText xml:space="preserve"> REF _Ref384813269 \r \h </w:instrText>
      </w:r>
      <w:r w:rsidR="00125AF4" w:rsidRPr="00FA7763">
        <w:rPr>
          <w:lang w:val="en-GB"/>
        </w:rPr>
      </w:r>
      <w:r w:rsidR="00125AF4" w:rsidRPr="00FA7763">
        <w:rPr>
          <w:lang w:val="en-GB"/>
        </w:rPr>
        <w:fldChar w:fldCharType="separate"/>
      </w:r>
      <w:r w:rsidR="00E62976">
        <w:rPr>
          <w:lang w:val="en-GB"/>
        </w:rPr>
        <w:t>[9]</w:t>
      </w:r>
      <w:r w:rsidR="00125AF4" w:rsidRPr="00FA7763">
        <w:rPr>
          <w:lang w:val="en-GB"/>
        </w:rPr>
        <w:fldChar w:fldCharType="end"/>
      </w:r>
      <w:r w:rsidRPr="00E20701">
        <w:rPr>
          <w:lang w:val="en-GB"/>
        </w:rPr>
        <w:t xml:space="preserve">, </w:t>
      </w:r>
      <w:r w:rsidR="000B23D9">
        <w:rPr>
          <w:lang w:val="en-GB"/>
        </w:rPr>
        <w:fldChar w:fldCharType="begin"/>
      </w:r>
      <w:r w:rsidR="000B23D9">
        <w:rPr>
          <w:lang w:val="en-GB"/>
        </w:rPr>
        <w:instrText xml:space="preserve"> REF _Ref394394731 \w \h </w:instrText>
      </w:r>
      <w:r w:rsidR="000B23D9">
        <w:rPr>
          <w:lang w:val="en-GB"/>
        </w:rPr>
      </w:r>
      <w:r w:rsidR="000B23D9">
        <w:rPr>
          <w:lang w:val="en-GB"/>
        </w:rPr>
        <w:fldChar w:fldCharType="separate"/>
      </w:r>
      <w:r w:rsidR="00E62976">
        <w:rPr>
          <w:lang w:val="en-GB"/>
        </w:rPr>
        <w:t>[33]</w:t>
      </w:r>
      <w:r w:rsidR="000B23D9">
        <w:rPr>
          <w:lang w:val="en-GB"/>
        </w:rPr>
        <w:fldChar w:fldCharType="end"/>
      </w:r>
      <w:r w:rsidRPr="00E20701">
        <w:rPr>
          <w:lang w:val="en-GB"/>
        </w:rPr>
        <w:t xml:space="preserve">, </w:t>
      </w:r>
      <w:r w:rsidR="000B23D9">
        <w:rPr>
          <w:lang w:val="en-GB"/>
        </w:rPr>
        <w:fldChar w:fldCharType="begin"/>
      </w:r>
      <w:r w:rsidR="000B23D9">
        <w:rPr>
          <w:lang w:val="en-GB"/>
        </w:rPr>
        <w:instrText xml:space="preserve"> REF _Ref394394788 \w \h </w:instrText>
      </w:r>
      <w:r w:rsidR="000B23D9">
        <w:rPr>
          <w:lang w:val="en-GB"/>
        </w:rPr>
      </w:r>
      <w:r w:rsidR="000B23D9">
        <w:rPr>
          <w:lang w:val="en-GB"/>
        </w:rPr>
        <w:fldChar w:fldCharType="separate"/>
      </w:r>
      <w:r w:rsidR="00E62976">
        <w:rPr>
          <w:lang w:val="en-GB"/>
        </w:rPr>
        <w:t>[34]</w:t>
      </w:r>
      <w:r w:rsidR="000B23D9">
        <w:rPr>
          <w:lang w:val="en-GB"/>
        </w:rPr>
        <w:fldChar w:fldCharType="end"/>
      </w:r>
      <w:r w:rsidRPr="00E20701">
        <w:rPr>
          <w:lang w:val="en-GB"/>
        </w:rPr>
        <w:t xml:space="preserve">, </w:t>
      </w:r>
      <w:r w:rsidR="000B23D9">
        <w:rPr>
          <w:lang w:val="en-GB"/>
        </w:rPr>
        <w:fldChar w:fldCharType="begin"/>
      </w:r>
      <w:r w:rsidR="000B23D9">
        <w:rPr>
          <w:lang w:val="en-GB"/>
        </w:rPr>
        <w:instrText xml:space="preserve"> REF _Ref406516184 \w \h </w:instrText>
      </w:r>
      <w:r w:rsidR="000B23D9">
        <w:rPr>
          <w:lang w:val="en-GB"/>
        </w:rPr>
      </w:r>
      <w:r w:rsidR="000B23D9">
        <w:rPr>
          <w:lang w:val="en-GB"/>
        </w:rPr>
        <w:fldChar w:fldCharType="separate"/>
      </w:r>
      <w:r w:rsidR="00E62976">
        <w:rPr>
          <w:lang w:val="en-GB"/>
        </w:rPr>
        <w:t>[43]</w:t>
      </w:r>
      <w:r w:rsidR="000B23D9">
        <w:rPr>
          <w:lang w:val="en-GB"/>
        </w:rPr>
        <w:fldChar w:fldCharType="end"/>
      </w:r>
      <w:r w:rsidRPr="00E20701">
        <w:rPr>
          <w:lang w:val="en-GB"/>
        </w:rPr>
        <w:t xml:space="preserve">, </w:t>
      </w:r>
      <w:r w:rsidR="000B23D9">
        <w:rPr>
          <w:lang w:val="en-GB"/>
        </w:rPr>
        <w:fldChar w:fldCharType="begin"/>
      </w:r>
      <w:r w:rsidR="000B23D9">
        <w:rPr>
          <w:lang w:val="en-GB"/>
        </w:rPr>
        <w:instrText xml:space="preserve"> REF _Ref406516185 \w \h </w:instrText>
      </w:r>
      <w:r w:rsidR="000B23D9">
        <w:rPr>
          <w:lang w:val="en-GB"/>
        </w:rPr>
      </w:r>
      <w:r w:rsidR="000B23D9">
        <w:rPr>
          <w:lang w:val="en-GB"/>
        </w:rPr>
        <w:fldChar w:fldCharType="separate"/>
      </w:r>
      <w:r w:rsidR="00E62976">
        <w:rPr>
          <w:lang w:val="en-GB"/>
        </w:rPr>
        <w:t>[44]</w:t>
      </w:r>
      <w:r w:rsidR="000B23D9">
        <w:rPr>
          <w:lang w:val="en-GB"/>
        </w:rPr>
        <w:fldChar w:fldCharType="end"/>
      </w:r>
      <w:r w:rsidRPr="00E20701">
        <w:rPr>
          <w:lang w:val="en-GB"/>
        </w:rPr>
        <w:t xml:space="preserve">, </w:t>
      </w:r>
      <w:r w:rsidR="000B23D9">
        <w:rPr>
          <w:lang w:val="en-GB"/>
        </w:rPr>
        <w:fldChar w:fldCharType="begin"/>
      </w:r>
      <w:r w:rsidR="000B23D9">
        <w:rPr>
          <w:lang w:val="en-GB"/>
        </w:rPr>
        <w:instrText xml:space="preserve"> REF _Ref408832492 \w \h </w:instrText>
      </w:r>
      <w:r w:rsidR="000B23D9">
        <w:rPr>
          <w:lang w:val="en-GB"/>
        </w:rPr>
      </w:r>
      <w:r w:rsidR="000B23D9">
        <w:rPr>
          <w:lang w:val="en-GB"/>
        </w:rPr>
        <w:fldChar w:fldCharType="separate"/>
      </w:r>
      <w:r w:rsidR="00E62976">
        <w:rPr>
          <w:lang w:val="en-GB"/>
        </w:rPr>
        <w:t>[56]</w:t>
      </w:r>
      <w:r w:rsidR="000B23D9">
        <w:rPr>
          <w:lang w:val="en-GB"/>
        </w:rPr>
        <w:fldChar w:fldCharType="end"/>
      </w:r>
      <w:r w:rsidRPr="00E20701">
        <w:rPr>
          <w:lang w:val="en-GB"/>
        </w:rPr>
        <w:t>) are either compatible with that basic approach or refer</w:t>
      </w:r>
      <w:r>
        <w:rPr>
          <w:lang w:val="en-GB"/>
        </w:rPr>
        <w:t xml:space="preserve"> to the aforementioned sources.</w:t>
      </w:r>
      <w:r w:rsidR="00E11649" w:rsidRPr="00E11649">
        <w:rPr>
          <w:lang w:val="en-GB"/>
        </w:rPr>
        <w:t xml:space="preserve"> </w:t>
      </w:r>
      <w:r w:rsidR="00E11649">
        <w:rPr>
          <w:lang w:val="en-GB"/>
        </w:rPr>
        <w:t xml:space="preserve">It has to be noted for example the EPRI Report 1022997 “Identification of External Hazards for Analysis in Probabilistic Risk Assessment” </w:t>
      </w:r>
      <w:r w:rsidR="002C271A">
        <w:rPr>
          <w:lang w:val="en-GB"/>
        </w:rPr>
        <w:fldChar w:fldCharType="begin"/>
      </w:r>
      <w:r w:rsidR="002C271A">
        <w:rPr>
          <w:lang w:val="en-GB"/>
        </w:rPr>
        <w:instrText xml:space="preserve"> REF _Ref464301768 \w \h </w:instrText>
      </w:r>
      <w:r w:rsidR="002C271A">
        <w:rPr>
          <w:lang w:val="en-GB"/>
        </w:rPr>
      </w:r>
      <w:r w:rsidR="002C271A">
        <w:rPr>
          <w:lang w:val="en-GB"/>
        </w:rPr>
        <w:fldChar w:fldCharType="separate"/>
      </w:r>
      <w:r w:rsidR="00E62976">
        <w:rPr>
          <w:lang w:val="en-GB"/>
        </w:rPr>
        <w:t>[65]</w:t>
      </w:r>
      <w:r w:rsidR="002C271A">
        <w:rPr>
          <w:lang w:val="en-GB"/>
        </w:rPr>
        <w:fldChar w:fldCharType="end"/>
      </w:r>
      <w:r w:rsidR="002C271A">
        <w:rPr>
          <w:lang w:val="en-GB"/>
        </w:rPr>
        <w:t xml:space="preserve"> </w:t>
      </w:r>
      <w:r w:rsidR="00E11649">
        <w:rPr>
          <w:lang w:val="en-GB"/>
        </w:rPr>
        <w:t>which provides a very detailed guidance and is mentioned in the French contribution. In the ASAMPSA_E report a particular emphasis is given to IAEA documents.</w:t>
      </w:r>
    </w:p>
    <w:p w:rsidR="00625583" w:rsidRDefault="00625583" w:rsidP="00114273">
      <w:pPr>
        <w:rPr>
          <w:lang w:val="en-GB"/>
        </w:rPr>
      </w:pPr>
    </w:p>
    <w:p w:rsidR="00BF3835" w:rsidRPr="006016A2" w:rsidRDefault="00BF3835" w:rsidP="00114273">
      <w:pPr>
        <w:rPr>
          <w:szCs w:val="18"/>
          <w:lang w:val="en-GB"/>
        </w:rPr>
      </w:pPr>
      <w:r w:rsidRPr="006016A2">
        <w:rPr>
          <w:szCs w:val="18"/>
          <w:lang w:val="en-GB"/>
        </w:rPr>
        <w:t>The selection of a set of initiating events and hazards (internal or external) to be considered in a</w:t>
      </w:r>
      <w:r w:rsidR="00625583">
        <w:rPr>
          <w:szCs w:val="18"/>
          <w:lang w:val="en-GB"/>
        </w:rPr>
        <w:t>n extended</w:t>
      </w:r>
      <w:r w:rsidRPr="006016A2">
        <w:rPr>
          <w:szCs w:val="18"/>
          <w:lang w:val="en-GB"/>
        </w:rPr>
        <w:t xml:space="preserve"> PSA is a progressive and iterative process which can include the </w:t>
      </w:r>
      <w:r w:rsidR="00217650" w:rsidRPr="006016A2">
        <w:rPr>
          <w:szCs w:val="18"/>
          <w:lang w:val="en-GB"/>
        </w:rPr>
        <w:t>following</w:t>
      </w:r>
      <w:r w:rsidRPr="006016A2">
        <w:rPr>
          <w:szCs w:val="18"/>
          <w:lang w:val="en-GB"/>
        </w:rPr>
        <w:t xml:space="preserve"> </w:t>
      </w:r>
      <w:r w:rsidR="00217650" w:rsidRPr="006016A2">
        <w:rPr>
          <w:szCs w:val="18"/>
          <w:lang w:val="en-GB"/>
        </w:rPr>
        <w:t>steps</w:t>
      </w:r>
      <w:r w:rsidR="002465DD" w:rsidRPr="006016A2">
        <w:rPr>
          <w:szCs w:val="18"/>
          <w:lang w:val="en-GB"/>
        </w:rPr>
        <w:t>:</w:t>
      </w:r>
    </w:p>
    <w:p w:rsidR="004E52A0" w:rsidRDefault="004E52A0" w:rsidP="00114273">
      <w:pPr>
        <w:rPr>
          <w:szCs w:val="18"/>
          <w:u w:val="single"/>
          <w:lang w:val="en-GB"/>
        </w:rPr>
      </w:pPr>
    </w:p>
    <w:p w:rsidR="002465DD" w:rsidRPr="001B7918" w:rsidRDefault="004E52A0" w:rsidP="001B7918">
      <w:pPr>
        <w:spacing w:line="360" w:lineRule="auto"/>
        <w:rPr>
          <w:b/>
          <w:szCs w:val="18"/>
          <w:u w:val="single"/>
          <w:lang w:val="en-GB"/>
        </w:rPr>
      </w:pPr>
      <w:r w:rsidRPr="001B7918">
        <w:rPr>
          <w:b/>
          <w:szCs w:val="18"/>
          <w:u w:val="single"/>
          <w:lang w:val="en-GB"/>
        </w:rPr>
        <w:t>Selection of initiating events for the i</w:t>
      </w:r>
      <w:r w:rsidR="002465DD" w:rsidRPr="001B7918">
        <w:rPr>
          <w:b/>
          <w:szCs w:val="18"/>
          <w:u w:val="single"/>
          <w:lang w:val="en-GB"/>
        </w:rPr>
        <w:t>nternal event</w:t>
      </w:r>
      <w:r w:rsidR="00217650" w:rsidRPr="001B7918">
        <w:rPr>
          <w:b/>
          <w:szCs w:val="18"/>
          <w:u w:val="single"/>
          <w:lang w:val="en-GB"/>
        </w:rPr>
        <w:t>s</w:t>
      </w:r>
      <w:r w:rsidR="002465DD" w:rsidRPr="001B7918">
        <w:rPr>
          <w:b/>
          <w:szCs w:val="18"/>
          <w:u w:val="single"/>
          <w:lang w:val="en-GB"/>
        </w:rPr>
        <w:t xml:space="preserve"> PSA</w:t>
      </w:r>
      <w:r w:rsidR="006016A2" w:rsidRPr="001B7918">
        <w:rPr>
          <w:b/>
          <w:szCs w:val="18"/>
          <w:u w:val="single"/>
          <w:lang w:val="en-GB"/>
        </w:rPr>
        <w:t xml:space="preserve"> (one NPP, all reactor states)</w:t>
      </w:r>
    </w:p>
    <w:p w:rsidR="006016A2" w:rsidRPr="001B7918" w:rsidRDefault="006016A2" w:rsidP="001B7918">
      <w:pPr>
        <w:spacing w:line="360" w:lineRule="auto"/>
        <w:rPr>
          <w:szCs w:val="18"/>
          <w:u w:val="single"/>
          <w:lang w:val="en-GB"/>
        </w:rPr>
      </w:pPr>
    </w:p>
    <w:p w:rsidR="00E23584" w:rsidRPr="004E52A0" w:rsidRDefault="00BF3835" w:rsidP="00E62976">
      <w:pPr>
        <w:pStyle w:val="Paragraphedeliste"/>
        <w:numPr>
          <w:ilvl w:val="0"/>
          <w:numId w:val="58"/>
        </w:numPr>
        <w:spacing w:line="360" w:lineRule="auto"/>
        <w:jc w:val="both"/>
        <w:rPr>
          <w:szCs w:val="18"/>
        </w:rPr>
      </w:pPr>
      <w:r w:rsidRPr="001B7918">
        <w:rPr>
          <w:rFonts w:ascii="Trebuchet MS" w:hAnsi="Trebuchet MS"/>
          <w:sz w:val="18"/>
          <w:szCs w:val="18"/>
        </w:rPr>
        <w:t xml:space="preserve">Development of an exhaustive (as far as possible) list of </w:t>
      </w:r>
      <w:r w:rsidR="00E23584" w:rsidRPr="001B7918">
        <w:rPr>
          <w:rFonts w:ascii="Trebuchet MS" w:hAnsi="Trebuchet MS"/>
          <w:sz w:val="18"/>
          <w:szCs w:val="18"/>
        </w:rPr>
        <w:t xml:space="preserve">initiating events </w:t>
      </w:r>
      <w:r w:rsidRPr="001B7918">
        <w:rPr>
          <w:rFonts w:ascii="Trebuchet MS" w:hAnsi="Trebuchet MS"/>
          <w:sz w:val="18"/>
          <w:szCs w:val="18"/>
        </w:rPr>
        <w:t xml:space="preserve">that can challenge the NPP safety functions, </w:t>
      </w:r>
    </w:p>
    <w:p w:rsidR="00BF3835" w:rsidRPr="004E52A0" w:rsidRDefault="00E673DE" w:rsidP="00E62976">
      <w:pPr>
        <w:pStyle w:val="Paragraphedeliste"/>
        <w:numPr>
          <w:ilvl w:val="0"/>
          <w:numId w:val="58"/>
        </w:numPr>
        <w:spacing w:line="360" w:lineRule="auto"/>
        <w:jc w:val="both"/>
        <w:rPr>
          <w:szCs w:val="18"/>
        </w:rPr>
      </w:pPr>
      <w:r>
        <w:rPr>
          <w:rFonts w:ascii="Trebuchet MS" w:hAnsi="Trebuchet MS"/>
          <w:sz w:val="18"/>
          <w:szCs w:val="18"/>
        </w:rPr>
        <w:t xml:space="preserve">For each </w:t>
      </w:r>
      <w:r w:rsidR="00AB1042">
        <w:rPr>
          <w:rFonts w:ascii="Trebuchet MS" w:hAnsi="Trebuchet MS"/>
          <w:sz w:val="18"/>
          <w:szCs w:val="18"/>
        </w:rPr>
        <w:t xml:space="preserve">plant operating </w:t>
      </w:r>
      <w:r>
        <w:rPr>
          <w:rFonts w:ascii="Trebuchet MS" w:hAnsi="Trebuchet MS"/>
          <w:sz w:val="18"/>
          <w:szCs w:val="18"/>
        </w:rPr>
        <w:t>state, p</w:t>
      </w:r>
      <w:r w:rsidR="00BF3835" w:rsidRPr="001B7918">
        <w:rPr>
          <w:rFonts w:ascii="Trebuchet MS" w:hAnsi="Trebuchet MS"/>
          <w:sz w:val="18"/>
          <w:szCs w:val="18"/>
        </w:rPr>
        <w:t>lant response analysis and grouping of initiating events that have a similar impact on the NPP,</w:t>
      </w:r>
    </w:p>
    <w:p w:rsidR="002465DD" w:rsidRPr="004E52A0" w:rsidRDefault="002465DD" w:rsidP="00E62976">
      <w:pPr>
        <w:pStyle w:val="Paragraphedeliste"/>
        <w:numPr>
          <w:ilvl w:val="0"/>
          <w:numId w:val="58"/>
        </w:numPr>
        <w:spacing w:line="360" w:lineRule="auto"/>
        <w:jc w:val="both"/>
        <w:rPr>
          <w:szCs w:val="18"/>
        </w:rPr>
      </w:pPr>
      <w:r w:rsidRPr="001B7918">
        <w:rPr>
          <w:rFonts w:ascii="Trebuchet MS" w:hAnsi="Trebuchet MS"/>
          <w:sz w:val="18"/>
          <w:szCs w:val="18"/>
        </w:rPr>
        <w:t>Estimation of occurrence frequency of the grouped initiating events,</w:t>
      </w:r>
    </w:p>
    <w:p w:rsidR="00BF3835" w:rsidRPr="004E52A0" w:rsidRDefault="00BF3835" w:rsidP="00E62976">
      <w:pPr>
        <w:pStyle w:val="Paragraphedeliste"/>
        <w:numPr>
          <w:ilvl w:val="0"/>
          <w:numId w:val="58"/>
        </w:numPr>
        <w:spacing w:line="360" w:lineRule="auto"/>
        <w:jc w:val="both"/>
        <w:rPr>
          <w:szCs w:val="18"/>
        </w:rPr>
      </w:pPr>
      <w:r w:rsidRPr="001B7918">
        <w:rPr>
          <w:rFonts w:ascii="Trebuchet MS" w:hAnsi="Trebuchet MS"/>
          <w:sz w:val="18"/>
          <w:szCs w:val="18"/>
        </w:rPr>
        <w:t>Bounding probabilistic analysis in order to select the initiating events to be considered in</w:t>
      </w:r>
      <w:r w:rsidR="00AB1042">
        <w:rPr>
          <w:rFonts w:ascii="Trebuchet MS" w:hAnsi="Trebuchet MS"/>
          <w:sz w:val="18"/>
          <w:szCs w:val="18"/>
        </w:rPr>
        <w:t xml:space="preserve"> detail in</w:t>
      </w:r>
      <w:r w:rsidRPr="001B7918">
        <w:rPr>
          <w:rFonts w:ascii="Trebuchet MS" w:hAnsi="Trebuchet MS"/>
          <w:sz w:val="18"/>
          <w:szCs w:val="18"/>
        </w:rPr>
        <w:t xml:space="preserve"> the internal event </w:t>
      </w:r>
      <w:r w:rsidR="002465DD" w:rsidRPr="001B7918">
        <w:rPr>
          <w:rFonts w:ascii="Trebuchet MS" w:hAnsi="Trebuchet MS"/>
          <w:sz w:val="18"/>
          <w:szCs w:val="18"/>
        </w:rPr>
        <w:t xml:space="preserve">PSA (using </w:t>
      </w:r>
      <w:r w:rsidR="00622ACF">
        <w:rPr>
          <w:rFonts w:ascii="Trebuchet MS" w:hAnsi="Trebuchet MS"/>
          <w:sz w:val="18"/>
          <w:szCs w:val="18"/>
        </w:rPr>
        <w:t>qualitative or quantitative screening criteria</w:t>
      </w:r>
      <w:r w:rsidR="002465DD" w:rsidRPr="001B7918">
        <w:rPr>
          <w:rFonts w:ascii="Trebuchet MS" w:hAnsi="Trebuchet MS"/>
          <w:sz w:val="18"/>
          <w:szCs w:val="18"/>
        </w:rPr>
        <w:t>),</w:t>
      </w:r>
    </w:p>
    <w:p w:rsidR="00217650" w:rsidRPr="004E52A0" w:rsidRDefault="00217650" w:rsidP="00E62976">
      <w:pPr>
        <w:pStyle w:val="Paragraphedeliste"/>
        <w:numPr>
          <w:ilvl w:val="0"/>
          <w:numId w:val="58"/>
        </w:numPr>
        <w:spacing w:line="360" w:lineRule="auto"/>
        <w:jc w:val="both"/>
        <w:rPr>
          <w:szCs w:val="18"/>
        </w:rPr>
      </w:pPr>
      <w:r w:rsidRPr="001B7918">
        <w:rPr>
          <w:rFonts w:ascii="Trebuchet MS" w:hAnsi="Trebuchet MS"/>
          <w:sz w:val="18"/>
          <w:szCs w:val="18"/>
        </w:rPr>
        <w:t>A list of internal events can be justified for the internal event</w:t>
      </w:r>
      <w:r w:rsidR="00B6436D">
        <w:rPr>
          <w:rFonts w:ascii="Trebuchet MS" w:hAnsi="Trebuchet MS"/>
          <w:sz w:val="18"/>
          <w:szCs w:val="18"/>
        </w:rPr>
        <w:t>s</w:t>
      </w:r>
      <w:r w:rsidRPr="001B7918">
        <w:rPr>
          <w:rFonts w:ascii="Trebuchet MS" w:hAnsi="Trebuchet MS"/>
          <w:sz w:val="18"/>
          <w:szCs w:val="18"/>
        </w:rPr>
        <w:t xml:space="preserve"> PSA. </w:t>
      </w:r>
      <w:r w:rsidR="00273113">
        <w:rPr>
          <w:rFonts w:ascii="Trebuchet MS" w:hAnsi="Trebuchet MS"/>
          <w:sz w:val="18"/>
          <w:szCs w:val="18"/>
        </w:rPr>
        <w:tab/>
      </w:r>
      <w:r w:rsidR="00273113">
        <w:rPr>
          <w:rFonts w:ascii="Trebuchet MS" w:hAnsi="Trebuchet MS"/>
          <w:sz w:val="18"/>
          <w:szCs w:val="18"/>
        </w:rPr>
        <w:br/>
      </w:r>
    </w:p>
    <w:p w:rsidR="002465DD" w:rsidRPr="001B7918" w:rsidRDefault="004E52A0" w:rsidP="001B7918">
      <w:pPr>
        <w:spacing w:line="360" w:lineRule="auto"/>
        <w:rPr>
          <w:b/>
          <w:szCs w:val="18"/>
          <w:u w:val="single"/>
          <w:lang w:val="en-US"/>
        </w:rPr>
      </w:pPr>
      <w:r w:rsidRPr="001B7918">
        <w:rPr>
          <w:b/>
          <w:szCs w:val="18"/>
          <w:u w:val="single"/>
          <w:lang w:val="en-US"/>
        </w:rPr>
        <w:t>Selection of hazards scenarios for i</w:t>
      </w:r>
      <w:r w:rsidR="002465DD" w:rsidRPr="001B7918">
        <w:rPr>
          <w:b/>
          <w:szCs w:val="18"/>
          <w:u w:val="single"/>
          <w:lang w:val="en-US"/>
        </w:rPr>
        <w:t xml:space="preserve">nternal / external </w:t>
      </w:r>
      <w:r w:rsidRPr="001B7918">
        <w:rPr>
          <w:b/>
          <w:szCs w:val="18"/>
          <w:u w:val="single"/>
          <w:lang w:val="en-US"/>
        </w:rPr>
        <w:t>hazards</w:t>
      </w:r>
      <w:r w:rsidR="002465DD" w:rsidRPr="001B7918">
        <w:rPr>
          <w:b/>
          <w:szCs w:val="18"/>
          <w:u w:val="single"/>
          <w:lang w:val="en-US"/>
        </w:rPr>
        <w:t xml:space="preserve"> PSA</w:t>
      </w:r>
      <w:r w:rsidRPr="001B7918">
        <w:rPr>
          <w:b/>
          <w:szCs w:val="18"/>
          <w:u w:val="single"/>
          <w:lang w:val="en-US"/>
        </w:rPr>
        <w:t>s</w:t>
      </w:r>
      <w:r w:rsidR="002465DD" w:rsidRPr="001B7918">
        <w:rPr>
          <w:b/>
          <w:szCs w:val="18"/>
          <w:u w:val="single"/>
          <w:lang w:val="en-US"/>
        </w:rPr>
        <w:t xml:space="preserve"> (with no correlations between hazards</w:t>
      </w:r>
      <w:r w:rsidR="006016A2" w:rsidRPr="001B7918">
        <w:rPr>
          <w:b/>
          <w:szCs w:val="18"/>
          <w:u w:val="single"/>
          <w:lang w:val="en-US"/>
        </w:rPr>
        <w:t xml:space="preserve">, </w:t>
      </w:r>
      <w:r>
        <w:rPr>
          <w:b/>
          <w:szCs w:val="18"/>
          <w:u w:val="single"/>
          <w:lang w:val="en-US"/>
        </w:rPr>
        <w:t xml:space="preserve">limited to </w:t>
      </w:r>
      <w:r w:rsidR="006016A2" w:rsidRPr="001B7918">
        <w:rPr>
          <w:b/>
          <w:szCs w:val="18"/>
          <w:u w:val="single"/>
          <w:lang w:val="en-US"/>
        </w:rPr>
        <w:t>one NPP, all reactor states</w:t>
      </w:r>
      <w:r w:rsidR="002465DD" w:rsidRPr="001B7918">
        <w:rPr>
          <w:b/>
          <w:szCs w:val="18"/>
          <w:u w:val="single"/>
          <w:lang w:val="en-US"/>
        </w:rPr>
        <w:t>)</w:t>
      </w:r>
    </w:p>
    <w:p w:rsidR="006016A2" w:rsidRPr="001B7918" w:rsidRDefault="006016A2" w:rsidP="001B7918">
      <w:pPr>
        <w:spacing w:line="360" w:lineRule="auto"/>
        <w:rPr>
          <w:szCs w:val="18"/>
          <w:u w:val="single"/>
          <w:lang w:val="en-US"/>
        </w:rPr>
      </w:pPr>
    </w:p>
    <w:p w:rsidR="00CB17C9" w:rsidRPr="004E52A0" w:rsidRDefault="00BF3835" w:rsidP="00E62976">
      <w:pPr>
        <w:pStyle w:val="Paragraphedeliste"/>
        <w:numPr>
          <w:ilvl w:val="0"/>
          <w:numId w:val="58"/>
        </w:numPr>
        <w:spacing w:line="360" w:lineRule="auto"/>
        <w:jc w:val="both"/>
        <w:rPr>
          <w:szCs w:val="18"/>
        </w:rPr>
      </w:pPr>
      <w:r w:rsidRPr="001B7918">
        <w:rPr>
          <w:rFonts w:ascii="Trebuchet MS" w:hAnsi="Trebuchet MS"/>
          <w:sz w:val="18"/>
          <w:szCs w:val="18"/>
        </w:rPr>
        <w:t xml:space="preserve">Development of an exhaustive (as far as possible) list of internal / externals hazards which can </w:t>
      </w:r>
      <w:r w:rsidR="002465DD" w:rsidRPr="001B7918">
        <w:rPr>
          <w:rFonts w:ascii="Trebuchet MS" w:hAnsi="Trebuchet MS"/>
          <w:sz w:val="18"/>
          <w:szCs w:val="18"/>
        </w:rPr>
        <w:t xml:space="preserve">challenge some NPP safety functions and </w:t>
      </w:r>
      <w:r w:rsidR="00E8318D">
        <w:rPr>
          <w:rFonts w:ascii="Trebuchet MS" w:hAnsi="Trebuchet MS"/>
          <w:sz w:val="18"/>
          <w:szCs w:val="18"/>
        </w:rPr>
        <w:t>leads</w:t>
      </w:r>
      <w:r w:rsidR="00E8318D" w:rsidRPr="001B7918">
        <w:rPr>
          <w:rFonts w:ascii="Trebuchet MS" w:hAnsi="Trebuchet MS"/>
          <w:sz w:val="18"/>
          <w:szCs w:val="18"/>
        </w:rPr>
        <w:t xml:space="preserve"> </w:t>
      </w:r>
      <w:r w:rsidR="002465DD" w:rsidRPr="001B7918">
        <w:rPr>
          <w:rFonts w:ascii="Trebuchet MS" w:hAnsi="Trebuchet MS"/>
          <w:sz w:val="18"/>
          <w:szCs w:val="18"/>
        </w:rPr>
        <w:t xml:space="preserve">to </w:t>
      </w:r>
      <w:r w:rsidRPr="001B7918">
        <w:rPr>
          <w:rFonts w:ascii="Trebuchet MS" w:hAnsi="Trebuchet MS"/>
          <w:sz w:val="18"/>
          <w:szCs w:val="18"/>
        </w:rPr>
        <w:t>hazards scenarios</w:t>
      </w:r>
      <w:r w:rsidR="002465DD" w:rsidRPr="001B7918">
        <w:rPr>
          <w:rFonts w:ascii="Trebuchet MS" w:hAnsi="Trebuchet MS"/>
          <w:sz w:val="18"/>
          <w:szCs w:val="18"/>
        </w:rPr>
        <w:t>,</w:t>
      </w:r>
    </w:p>
    <w:p w:rsidR="00217650" w:rsidRPr="001B7918" w:rsidRDefault="00E673DE" w:rsidP="00E62976">
      <w:pPr>
        <w:pStyle w:val="Paragraphedeliste"/>
        <w:numPr>
          <w:ilvl w:val="0"/>
          <w:numId w:val="58"/>
        </w:numPr>
        <w:spacing w:line="360" w:lineRule="auto"/>
        <w:jc w:val="both"/>
        <w:rPr>
          <w:rFonts w:ascii="Trebuchet MS" w:hAnsi="Trebuchet MS"/>
          <w:sz w:val="18"/>
          <w:szCs w:val="18"/>
        </w:rPr>
      </w:pPr>
      <w:r>
        <w:rPr>
          <w:rFonts w:ascii="Trebuchet MS" w:hAnsi="Trebuchet MS"/>
          <w:sz w:val="18"/>
          <w:szCs w:val="18"/>
        </w:rPr>
        <w:t xml:space="preserve">For each </w:t>
      </w:r>
      <w:r w:rsidR="00AB1042">
        <w:rPr>
          <w:rFonts w:ascii="Trebuchet MS" w:hAnsi="Trebuchet MS"/>
          <w:sz w:val="18"/>
          <w:szCs w:val="18"/>
        </w:rPr>
        <w:t xml:space="preserve">plant operating </w:t>
      </w:r>
      <w:r>
        <w:rPr>
          <w:rFonts w:ascii="Trebuchet MS" w:hAnsi="Trebuchet MS"/>
          <w:sz w:val="18"/>
          <w:szCs w:val="18"/>
        </w:rPr>
        <w:t>state, p</w:t>
      </w:r>
      <w:r w:rsidR="00217650" w:rsidRPr="001B7918">
        <w:rPr>
          <w:rFonts w:ascii="Trebuchet MS" w:hAnsi="Trebuchet MS"/>
          <w:sz w:val="18"/>
          <w:szCs w:val="18"/>
        </w:rPr>
        <w:t xml:space="preserve">lant response analysis and grouping of </w:t>
      </w:r>
      <w:r w:rsidR="0041600F">
        <w:rPr>
          <w:rFonts w:ascii="Trebuchet MS" w:hAnsi="Trebuchet MS"/>
          <w:sz w:val="18"/>
          <w:szCs w:val="18"/>
        </w:rPr>
        <w:t xml:space="preserve">hazards </w:t>
      </w:r>
      <w:r w:rsidR="00217650" w:rsidRPr="001B7918">
        <w:rPr>
          <w:rFonts w:ascii="Trebuchet MS" w:hAnsi="Trebuchet MS"/>
          <w:sz w:val="18"/>
          <w:szCs w:val="18"/>
        </w:rPr>
        <w:t>scenarios</w:t>
      </w:r>
      <w:r w:rsidR="0041600F">
        <w:rPr>
          <w:rFonts w:ascii="Trebuchet MS" w:hAnsi="Trebuchet MS"/>
          <w:sz w:val="18"/>
          <w:szCs w:val="18"/>
        </w:rPr>
        <w:t xml:space="preserve"> </w:t>
      </w:r>
      <w:r w:rsidR="00217650" w:rsidRPr="001B7918">
        <w:rPr>
          <w:rFonts w:ascii="Trebuchet MS" w:hAnsi="Trebuchet MS"/>
          <w:sz w:val="18"/>
          <w:szCs w:val="18"/>
        </w:rPr>
        <w:t>that have a similar impact on the NPP,</w:t>
      </w:r>
    </w:p>
    <w:p w:rsidR="00217650" w:rsidRPr="004E52A0" w:rsidRDefault="00217650" w:rsidP="00E62976">
      <w:pPr>
        <w:pStyle w:val="Paragraphedeliste"/>
        <w:numPr>
          <w:ilvl w:val="0"/>
          <w:numId w:val="58"/>
        </w:numPr>
        <w:spacing w:line="360" w:lineRule="auto"/>
        <w:jc w:val="both"/>
        <w:rPr>
          <w:szCs w:val="18"/>
        </w:rPr>
      </w:pPr>
      <w:r w:rsidRPr="001B7918">
        <w:rPr>
          <w:rFonts w:ascii="Trebuchet MS" w:hAnsi="Trebuchet MS"/>
          <w:sz w:val="18"/>
          <w:szCs w:val="18"/>
        </w:rPr>
        <w:t>Estimation of occurrence frequency of the grouped hazards scenarios,</w:t>
      </w:r>
    </w:p>
    <w:p w:rsidR="00217650" w:rsidRPr="001B7918" w:rsidRDefault="00217650" w:rsidP="00E62976">
      <w:pPr>
        <w:pStyle w:val="Paragraphedeliste"/>
        <w:numPr>
          <w:ilvl w:val="0"/>
          <w:numId w:val="58"/>
        </w:numPr>
        <w:spacing w:line="360" w:lineRule="auto"/>
        <w:jc w:val="both"/>
        <w:rPr>
          <w:rFonts w:ascii="Trebuchet MS" w:hAnsi="Trebuchet MS"/>
          <w:sz w:val="18"/>
          <w:szCs w:val="18"/>
        </w:rPr>
      </w:pPr>
      <w:r w:rsidRPr="001B7918">
        <w:rPr>
          <w:rFonts w:ascii="Trebuchet MS" w:hAnsi="Trebuchet MS"/>
          <w:sz w:val="18"/>
          <w:szCs w:val="18"/>
        </w:rPr>
        <w:t>Bounding probabilistic analysis in order to select the hazards scenarios to be considered in</w:t>
      </w:r>
      <w:r w:rsidR="00AB1042">
        <w:rPr>
          <w:rFonts w:ascii="Trebuchet MS" w:hAnsi="Trebuchet MS"/>
          <w:sz w:val="18"/>
          <w:szCs w:val="18"/>
        </w:rPr>
        <w:t xml:space="preserve"> detail in</w:t>
      </w:r>
      <w:r w:rsidRPr="001B7918">
        <w:rPr>
          <w:rFonts w:ascii="Trebuchet MS" w:hAnsi="Trebuchet MS"/>
          <w:sz w:val="18"/>
          <w:szCs w:val="18"/>
        </w:rPr>
        <w:t xml:space="preserve"> each hazard PSA (</w:t>
      </w:r>
      <w:r w:rsidR="00622ACF">
        <w:rPr>
          <w:rFonts w:ascii="Trebuchet MS" w:hAnsi="Trebuchet MS"/>
          <w:sz w:val="18"/>
          <w:szCs w:val="18"/>
        </w:rPr>
        <w:t>using qualitative or quantitative screening criteria</w:t>
      </w:r>
      <w:r w:rsidRPr="001B7918">
        <w:rPr>
          <w:rFonts w:ascii="Trebuchet MS" w:hAnsi="Trebuchet MS"/>
          <w:sz w:val="18"/>
          <w:szCs w:val="18"/>
        </w:rPr>
        <w:t>),</w:t>
      </w:r>
    </w:p>
    <w:p w:rsidR="00217650" w:rsidRPr="001B7918" w:rsidRDefault="00217650" w:rsidP="00E62976">
      <w:pPr>
        <w:pStyle w:val="Paragraphedeliste"/>
        <w:numPr>
          <w:ilvl w:val="0"/>
          <w:numId w:val="58"/>
        </w:numPr>
        <w:spacing w:line="360" w:lineRule="auto"/>
        <w:jc w:val="both"/>
        <w:rPr>
          <w:rFonts w:ascii="Trebuchet MS" w:hAnsi="Trebuchet MS"/>
          <w:sz w:val="18"/>
          <w:szCs w:val="18"/>
        </w:rPr>
      </w:pPr>
      <w:r w:rsidRPr="001B7918">
        <w:rPr>
          <w:rFonts w:ascii="Trebuchet MS" w:hAnsi="Trebuchet MS"/>
          <w:sz w:val="18"/>
          <w:szCs w:val="18"/>
        </w:rPr>
        <w:t>A list of hazard scenario</w:t>
      </w:r>
      <w:r w:rsidR="007F1734">
        <w:rPr>
          <w:rFonts w:ascii="Trebuchet MS" w:hAnsi="Trebuchet MS"/>
          <w:sz w:val="18"/>
          <w:szCs w:val="18"/>
        </w:rPr>
        <w:t>s</w:t>
      </w:r>
      <w:r w:rsidRPr="001B7918">
        <w:rPr>
          <w:rFonts w:ascii="Trebuchet MS" w:hAnsi="Trebuchet MS"/>
          <w:sz w:val="18"/>
          <w:szCs w:val="18"/>
        </w:rPr>
        <w:t xml:space="preserve"> can be justified for each hazard PSA.</w:t>
      </w:r>
    </w:p>
    <w:p w:rsidR="00217650" w:rsidRPr="001B7918" w:rsidRDefault="004E52A0" w:rsidP="001B7918">
      <w:pPr>
        <w:spacing w:line="360" w:lineRule="auto"/>
        <w:rPr>
          <w:b/>
          <w:szCs w:val="18"/>
          <w:lang w:val="en-US"/>
        </w:rPr>
      </w:pPr>
      <w:r w:rsidRPr="001B7918">
        <w:rPr>
          <w:b/>
          <w:szCs w:val="18"/>
          <w:u w:val="single"/>
          <w:lang w:val="en-US"/>
        </w:rPr>
        <w:t xml:space="preserve">Selection of combinations of hazards for </w:t>
      </w:r>
      <w:r>
        <w:rPr>
          <w:b/>
          <w:szCs w:val="18"/>
          <w:u w:val="single"/>
          <w:lang w:val="en-US"/>
        </w:rPr>
        <w:t xml:space="preserve">an </w:t>
      </w:r>
      <w:r w:rsidR="00E673DE" w:rsidRPr="001B7918">
        <w:rPr>
          <w:b/>
          <w:szCs w:val="18"/>
          <w:u w:val="single"/>
          <w:lang w:val="en-US"/>
        </w:rPr>
        <w:t>e</w:t>
      </w:r>
      <w:r w:rsidR="00217650" w:rsidRPr="001B7918">
        <w:rPr>
          <w:b/>
          <w:szCs w:val="18"/>
          <w:u w:val="single"/>
          <w:lang w:val="en-US"/>
        </w:rPr>
        <w:t>xtended PSA (with all correlations between internal / external hazards / initiating event</w:t>
      </w:r>
      <w:r w:rsidR="00E673DE" w:rsidRPr="001B7918">
        <w:rPr>
          <w:b/>
          <w:szCs w:val="18"/>
          <w:u w:val="single"/>
          <w:lang w:val="en-US"/>
        </w:rPr>
        <w:t xml:space="preserve">, </w:t>
      </w:r>
      <w:r>
        <w:rPr>
          <w:b/>
          <w:szCs w:val="18"/>
          <w:u w:val="single"/>
          <w:lang w:val="en-US"/>
        </w:rPr>
        <w:t xml:space="preserve">limited to </w:t>
      </w:r>
      <w:r w:rsidR="00E673DE" w:rsidRPr="001B7918">
        <w:rPr>
          <w:b/>
          <w:szCs w:val="18"/>
          <w:u w:val="single"/>
          <w:lang w:val="en-US"/>
        </w:rPr>
        <w:t>one NPP, all reactor states</w:t>
      </w:r>
      <w:r w:rsidR="00217650" w:rsidRPr="001B7918">
        <w:rPr>
          <w:b/>
          <w:szCs w:val="18"/>
          <w:u w:val="single"/>
          <w:lang w:val="en-US"/>
        </w:rPr>
        <w:t>)</w:t>
      </w:r>
    </w:p>
    <w:p w:rsidR="00217650" w:rsidRPr="004E52A0" w:rsidRDefault="00217650" w:rsidP="001B7918">
      <w:pPr>
        <w:pStyle w:val="Paragraphedeliste"/>
        <w:spacing w:line="360" w:lineRule="auto"/>
        <w:ind w:left="540"/>
        <w:jc w:val="both"/>
        <w:rPr>
          <w:szCs w:val="18"/>
        </w:rPr>
      </w:pPr>
    </w:p>
    <w:p w:rsidR="002465DD" w:rsidRDefault="002465DD" w:rsidP="00E62976">
      <w:pPr>
        <w:pStyle w:val="Paragraphedeliste"/>
        <w:numPr>
          <w:ilvl w:val="0"/>
          <w:numId w:val="58"/>
        </w:numPr>
        <w:spacing w:line="360" w:lineRule="auto"/>
        <w:jc w:val="both"/>
        <w:rPr>
          <w:szCs w:val="18"/>
        </w:rPr>
      </w:pPr>
      <w:r w:rsidRPr="001B7918">
        <w:rPr>
          <w:rFonts w:ascii="Trebuchet MS" w:hAnsi="Trebuchet MS"/>
          <w:sz w:val="18"/>
          <w:szCs w:val="18"/>
        </w:rPr>
        <w:t xml:space="preserve">Identification of the possible hazards </w:t>
      </w:r>
      <w:r w:rsidR="006016A2">
        <w:rPr>
          <w:rFonts w:ascii="Trebuchet MS" w:hAnsi="Trebuchet MS"/>
          <w:sz w:val="18"/>
          <w:szCs w:val="18"/>
        </w:rPr>
        <w:t xml:space="preserve">(hazard scenarios) </w:t>
      </w:r>
      <w:r w:rsidRPr="001B7918">
        <w:rPr>
          <w:rFonts w:ascii="Trebuchet MS" w:hAnsi="Trebuchet MS"/>
          <w:sz w:val="18"/>
          <w:szCs w:val="18"/>
        </w:rPr>
        <w:t>/ internal events combinations,</w:t>
      </w:r>
    </w:p>
    <w:p w:rsidR="006016A2" w:rsidRDefault="00E673DE" w:rsidP="00E62976">
      <w:pPr>
        <w:pStyle w:val="Paragraphedeliste"/>
        <w:numPr>
          <w:ilvl w:val="0"/>
          <w:numId w:val="58"/>
        </w:numPr>
        <w:spacing w:line="360" w:lineRule="auto"/>
        <w:jc w:val="both"/>
        <w:rPr>
          <w:szCs w:val="18"/>
        </w:rPr>
      </w:pPr>
      <w:r>
        <w:rPr>
          <w:rFonts w:ascii="Trebuchet MS" w:hAnsi="Trebuchet MS"/>
          <w:sz w:val="18"/>
          <w:szCs w:val="18"/>
        </w:rPr>
        <w:t xml:space="preserve">For each </w:t>
      </w:r>
      <w:r w:rsidR="00AB1042">
        <w:rPr>
          <w:rFonts w:ascii="Trebuchet MS" w:hAnsi="Trebuchet MS"/>
          <w:sz w:val="18"/>
          <w:szCs w:val="18"/>
        </w:rPr>
        <w:t xml:space="preserve">plant operating </w:t>
      </w:r>
      <w:r>
        <w:rPr>
          <w:rFonts w:ascii="Trebuchet MS" w:hAnsi="Trebuchet MS"/>
          <w:sz w:val="18"/>
          <w:szCs w:val="18"/>
        </w:rPr>
        <w:t>state, p</w:t>
      </w:r>
      <w:r w:rsidR="006016A2" w:rsidRPr="003D1D43">
        <w:rPr>
          <w:rFonts w:ascii="Trebuchet MS" w:hAnsi="Trebuchet MS"/>
          <w:sz w:val="18"/>
          <w:szCs w:val="18"/>
        </w:rPr>
        <w:t>lant response analysis</w:t>
      </w:r>
      <w:r w:rsidR="006016A2">
        <w:rPr>
          <w:rFonts w:ascii="Trebuchet MS" w:hAnsi="Trebuchet MS"/>
          <w:sz w:val="18"/>
          <w:szCs w:val="18"/>
        </w:rPr>
        <w:t xml:space="preserve"> </w:t>
      </w:r>
      <w:r w:rsidR="00A262B4">
        <w:rPr>
          <w:rFonts w:ascii="Trebuchet MS" w:hAnsi="Trebuchet MS"/>
          <w:sz w:val="18"/>
          <w:szCs w:val="18"/>
        </w:rPr>
        <w:t xml:space="preserve">after </w:t>
      </w:r>
      <w:r w:rsidR="006016A2" w:rsidRPr="003D1D43">
        <w:rPr>
          <w:rFonts w:ascii="Trebuchet MS" w:hAnsi="Trebuchet MS"/>
          <w:sz w:val="18"/>
          <w:szCs w:val="18"/>
        </w:rPr>
        <w:t xml:space="preserve">grouping of </w:t>
      </w:r>
      <w:r w:rsidR="006016A2">
        <w:rPr>
          <w:rFonts w:ascii="Trebuchet MS" w:hAnsi="Trebuchet MS"/>
          <w:sz w:val="18"/>
          <w:szCs w:val="18"/>
        </w:rPr>
        <w:t xml:space="preserve">combinations </w:t>
      </w:r>
      <w:r w:rsidR="006016A2" w:rsidRPr="003D1D43">
        <w:rPr>
          <w:rFonts w:ascii="Trebuchet MS" w:hAnsi="Trebuchet MS"/>
          <w:sz w:val="18"/>
          <w:szCs w:val="18"/>
        </w:rPr>
        <w:t>that have a similar impact on the NPP</w:t>
      </w:r>
      <w:r w:rsidR="006016A2">
        <w:rPr>
          <w:rFonts w:ascii="Trebuchet MS" w:hAnsi="Trebuchet MS"/>
          <w:sz w:val="18"/>
          <w:szCs w:val="18"/>
        </w:rPr>
        <w:t>,</w:t>
      </w:r>
    </w:p>
    <w:p w:rsidR="006016A2" w:rsidRPr="004E52A0" w:rsidRDefault="006016A2" w:rsidP="00E62976">
      <w:pPr>
        <w:pStyle w:val="Paragraphedeliste"/>
        <w:numPr>
          <w:ilvl w:val="0"/>
          <w:numId w:val="58"/>
        </w:numPr>
        <w:spacing w:line="360" w:lineRule="auto"/>
        <w:jc w:val="both"/>
        <w:rPr>
          <w:szCs w:val="18"/>
        </w:rPr>
      </w:pPr>
      <w:r w:rsidRPr="003D1D43">
        <w:rPr>
          <w:rFonts w:ascii="Trebuchet MS" w:hAnsi="Trebuchet MS"/>
          <w:sz w:val="18"/>
          <w:szCs w:val="18"/>
        </w:rPr>
        <w:t xml:space="preserve">Bounding probabilistic analysis in order to select the </w:t>
      </w:r>
      <w:r>
        <w:rPr>
          <w:rFonts w:ascii="Trebuchet MS" w:hAnsi="Trebuchet MS"/>
          <w:sz w:val="18"/>
          <w:szCs w:val="18"/>
        </w:rPr>
        <w:t>combinations</w:t>
      </w:r>
      <w:r w:rsidRPr="003D1D43">
        <w:rPr>
          <w:rFonts w:ascii="Trebuchet MS" w:hAnsi="Trebuchet MS"/>
          <w:sz w:val="18"/>
          <w:szCs w:val="18"/>
        </w:rPr>
        <w:t xml:space="preserve"> to be considered in </w:t>
      </w:r>
      <w:r>
        <w:rPr>
          <w:rFonts w:ascii="Trebuchet MS" w:hAnsi="Trebuchet MS"/>
          <w:sz w:val="18"/>
          <w:szCs w:val="18"/>
        </w:rPr>
        <w:t>the extended PSA</w:t>
      </w:r>
      <w:r w:rsidRPr="003D1D43">
        <w:rPr>
          <w:rFonts w:ascii="Trebuchet MS" w:hAnsi="Trebuchet MS"/>
          <w:sz w:val="18"/>
          <w:szCs w:val="18"/>
        </w:rPr>
        <w:t xml:space="preserve"> (</w:t>
      </w:r>
      <w:r w:rsidR="00622ACF">
        <w:rPr>
          <w:rFonts w:ascii="Trebuchet MS" w:hAnsi="Trebuchet MS"/>
          <w:sz w:val="18"/>
          <w:szCs w:val="18"/>
        </w:rPr>
        <w:t>using qualitative or quantitative screening criteria</w:t>
      </w:r>
      <w:r w:rsidRPr="003D1D43">
        <w:rPr>
          <w:rFonts w:ascii="Trebuchet MS" w:hAnsi="Trebuchet MS"/>
          <w:sz w:val="18"/>
          <w:szCs w:val="18"/>
        </w:rPr>
        <w:t>)</w:t>
      </w:r>
      <w:r w:rsidR="0041600F">
        <w:rPr>
          <w:rFonts w:ascii="Trebuchet MS" w:hAnsi="Trebuchet MS"/>
          <w:sz w:val="18"/>
          <w:szCs w:val="18"/>
        </w:rPr>
        <w:t>.</w:t>
      </w:r>
      <w:r w:rsidR="00273113">
        <w:rPr>
          <w:rFonts w:ascii="Trebuchet MS" w:hAnsi="Trebuchet MS"/>
          <w:sz w:val="18"/>
          <w:szCs w:val="18"/>
        </w:rPr>
        <w:tab/>
      </w:r>
      <w:r w:rsidR="00273113">
        <w:rPr>
          <w:rFonts w:ascii="Trebuchet MS" w:hAnsi="Trebuchet MS"/>
          <w:sz w:val="18"/>
          <w:szCs w:val="18"/>
        </w:rPr>
        <w:br/>
      </w:r>
    </w:p>
    <w:p w:rsidR="00E673DE" w:rsidRPr="001B7918" w:rsidRDefault="004E52A0" w:rsidP="001B7918">
      <w:pPr>
        <w:spacing w:line="360" w:lineRule="auto"/>
        <w:rPr>
          <w:b/>
          <w:szCs w:val="18"/>
          <w:u w:val="single"/>
          <w:lang w:val="en-US"/>
        </w:rPr>
      </w:pPr>
      <w:r w:rsidRPr="008D24F3">
        <w:rPr>
          <w:b/>
          <w:szCs w:val="18"/>
          <w:u w:val="single"/>
          <w:lang w:val="en-US"/>
        </w:rPr>
        <w:t xml:space="preserve">Selection of combinations of hazards </w:t>
      </w:r>
      <w:r>
        <w:rPr>
          <w:b/>
          <w:szCs w:val="18"/>
          <w:u w:val="single"/>
          <w:lang w:val="en-US"/>
        </w:rPr>
        <w:t xml:space="preserve">for a </w:t>
      </w:r>
      <w:r w:rsidRPr="001B7918">
        <w:rPr>
          <w:b/>
          <w:szCs w:val="18"/>
          <w:u w:val="single"/>
          <w:lang w:val="en-US"/>
        </w:rPr>
        <w:t>s</w:t>
      </w:r>
      <w:r w:rsidR="00E673DE" w:rsidRPr="001B7918">
        <w:rPr>
          <w:b/>
          <w:szCs w:val="18"/>
          <w:u w:val="single"/>
          <w:lang w:val="en-US"/>
        </w:rPr>
        <w:t>ite extended PSA (with all correlations between internal / external hazards / initiating event, all NPPs on a site, all reactor states)</w:t>
      </w:r>
    </w:p>
    <w:p w:rsidR="00E673DE" w:rsidRPr="003D1D43" w:rsidRDefault="00E673DE" w:rsidP="001B7918">
      <w:pPr>
        <w:pStyle w:val="Paragraphedeliste"/>
        <w:spacing w:line="360" w:lineRule="auto"/>
        <w:ind w:left="540"/>
        <w:jc w:val="both"/>
        <w:rPr>
          <w:rFonts w:ascii="Trebuchet MS" w:hAnsi="Trebuchet MS"/>
          <w:sz w:val="18"/>
          <w:szCs w:val="18"/>
        </w:rPr>
      </w:pPr>
    </w:p>
    <w:p w:rsidR="00E673DE" w:rsidRDefault="00E673DE" w:rsidP="00E62976">
      <w:pPr>
        <w:pStyle w:val="Paragraphedeliste"/>
        <w:numPr>
          <w:ilvl w:val="0"/>
          <w:numId w:val="58"/>
        </w:numPr>
        <w:spacing w:line="360" w:lineRule="auto"/>
        <w:jc w:val="both"/>
        <w:rPr>
          <w:rFonts w:ascii="Trebuchet MS" w:hAnsi="Trebuchet MS"/>
          <w:sz w:val="18"/>
          <w:szCs w:val="18"/>
        </w:rPr>
      </w:pPr>
      <w:r>
        <w:rPr>
          <w:rFonts w:ascii="Trebuchet MS" w:hAnsi="Trebuchet MS"/>
          <w:sz w:val="18"/>
          <w:szCs w:val="18"/>
        </w:rPr>
        <w:t>Definition of a list of site initial states (combination of the status of each NPP operation state)</w:t>
      </w:r>
      <w:r w:rsidR="00597B4B">
        <w:rPr>
          <w:rFonts w:ascii="Trebuchet MS" w:hAnsi="Trebuchet MS"/>
          <w:sz w:val="18"/>
          <w:szCs w:val="18"/>
        </w:rPr>
        <w:t>,</w:t>
      </w:r>
    </w:p>
    <w:p w:rsidR="00E673DE" w:rsidRDefault="00E673DE" w:rsidP="00E62976">
      <w:pPr>
        <w:pStyle w:val="Paragraphedeliste"/>
        <w:numPr>
          <w:ilvl w:val="0"/>
          <w:numId w:val="58"/>
        </w:numPr>
        <w:spacing w:line="360" w:lineRule="auto"/>
        <w:jc w:val="both"/>
        <w:rPr>
          <w:rFonts w:ascii="Trebuchet MS" w:hAnsi="Trebuchet MS"/>
          <w:sz w:val="18"/>
          <w:szCs w:val="18"/>
        </w:rPr>
      </w:pPr>
      <w:r w:rsidRPr="003D1D43">
        <w:rPr>
          <w:rFonts w:ascii="Trebuchet MS" w:hAnsi="Trebuchet MS"/>
          <w:sz w:val="18"/>
          <w:szCs w:val="18"/>
        </w:rPr>
        <w:t xml:space="preserve">Identification of the possible hazards </w:t>
      </w:r>
      <w:r>
        <w:rPr>
          <w:rFonts w:ascii="Trebuchet MS" w:hAnsi="Trebuchet MS"/>
          <w:sz w:val="18"/>
          <w:szCs w:val="18"/>
        </w:rPr>
        <w:t xml:space="preserve">(hazards scenarios) </w:t>
      </w:r>
      <w:r w:rsidRPr="003D1D43">
        <w:rPr>
          <w:rFonts w:ascii="Trebuchet MS" w:hAnsi="Trebuchet MS"/>
          <w:sz w:val="18"/>
          <w:szCs w:val="18"/>
        </w:rPr>
        <w:t>/ internal events combinations,</w:t>
      </w:r>
    </w:p>
    <w:p w:rsidR="00E673DE" w:rsidRDefault="004E52A0" w:rsidP="00E62976">
      <w:pPr>
        <w:pStyle w:val="Paragraphedeliste"/>
        <w:numPr>
          <w:ilvl w:val="0"/>
          <w:numId w:val="58"/>
        </w:numPr>
        <w:spacing w:line="360" w:lineRule="auto"/>
        <w:jc w:val="both"/>
        <w:rPr>
          <w:rFonts w:ascii="Trebuchet MS" w:hAnsi="Trebuchet MS"/>
          <w:sz w:val="18"/>
          <w:szCs w:val="18"/>
        </w:rPr>
      </w:pPr>
      <w:r>
        <w:rPr>
          <w:rFonts w:ascii="Trebuchet MS" w:hAnsi="Trebuchet MS"/>
          <w:sz w:val="18"/>
          <w:szCs w:val="18"/>
        </w:rPr>
        <w:t>For each site initial state of the</w:t>
      </w:r>
      <w:r w:rsidR="00E673DE">
        <w:rPr>
          <w:rFonts w:ascii="Trebuchet MS" w:hAnsi="Trebuchet MS"/>
          <w:sz w:val="18"/>
          <w:szCs w:val="18"/>
        </w:rPr>
        <w:t xml:space="preserve"> site</w:t>
      </w:r>
      <w:r w:rsidR="00E673DE" w:rsidRPr="003D1D43">
        <w:rPr>
          <w:rFonts w:ascii="Trebuchet MS" w:hAnsi="Trebuchet MS"/>
          <w:sz w:val="18"/>
          <w:szCs w:val="18"/>
        </w:rPr>
        <w:t xml:space="preserve"> </w:t>
      </w:r>
      <w:r w:rsidR="00E673DE">
        <w:rPr>
          <w:rFonts w:ascii="Trebuchet MS" w:hAnsi="Trebuchet MS"/>
          <w:sz w:val="18"/>
          <w:szCs w:val="18"/>
        </w:rPr>
        <w:t xml:space="preserve">(NPPs) </w:t>
      </w:r>
      <w:r w:rsidR="00E673DE" w:rsidRPr="003D1D43">
        <w:rPr>
          <w:rFonts w:ascii="Trebuchet MS" w:hAnsi="Trebuchet MS"/>
          <w:sz w:val="18"/>
          <w:szCs w:val="18"/>
        </w:rPr>
        <w:t>response analysis</w:t>
      </w:r>
      <w:r w:rsidR="00E673DE">
        <w:rPr>
          <w:rFonts w:ascii="Trebuchet MS" w:hAnsi="Trebuchet MS"/>
          <w:sz w:val="18"/>
          <w:szCs w:val="18"/>
        </w:rPr>
        <w:t xml:space="preserve"> </w:t>
      </w:r>
      <w:r w:rsidR="00E673DE" w:rsidRPr="003D1D43">
        <w:rPr>
          <w:rFonts w:ascii="Trebuchet MS" w:hAnsi="Trebuchet MS"/>
          <w:sz w:val="18"/>
          <w:szCs w:val="18"/>
        </w:rPr>
        <w:t xml:space="preserve">grouping of </w:t>
      </w:r>
      <w:r w:rsidR="00E673DE">
        <w:rPr>
          <w:rFonts w:ascii="Trebuchet MS" w:hAnsi="Trebuchet MS"/>
          <w:sz w:val="18"/>
          <w:szCs w:val="18"/>
        </w:rPr>
        <w:t xml:space="preserve">combinations </w:t>
      </w:r>
      <w:r w:rsidR="00E673DE" w:rsidRPr="003D1D43">
        <w:rPr>
          <w:rFonts w:ascii="Trebuchet MS" w:hAnsi="Trebuchet MS"/>
          <w:sz w:val="18"/>
          <w:szCs w:val="18"/>
        </w:rPr>
        <w:t>that have a similar impact on the NPP</w:t>
      </w:r>
      <w:r w:rsidR="00E673DE">
        <w:rPr>
          <w:rFonts w:ascii="Trebuchet MS" w:hAnsi="Trebuchet MS"/>
          <w:sz w:val="18"/>
          <w:szCs w:val="18"/>
        </w:rPr>
        <w:t>s,</w:t>
      </w:r>
    </w:p>
    <w:p w:rsidR="00E673DE" w:rsidRPr="003D1D43" w:rsidRDefault="00E673DE" w:rsidP="00E62976">
      <w:pPr>
        <w:pStyle w:val="Paragraphedeliste"/>
        <w:numPr>
          <w:ilvl w:val="0"/>
          <w:numId w:val="58"/>
        </w:numPr>
        <w:spacing w:line="360" w:lineRule="auto"/>
        <w:jc w:val="both"/>
        <w:rPr>
          <w:rFonts w:ascii="Trebuchet MS" w:hAnsi="Trebuchet MS"/>
          <w:sz w:val="18"/>
          <w:szCs w:val="18"/>
        </w:rPr>
      </w:pPr>
      <w:r w:rsidRPr="003D1D43">
        <w:rPr>
          <w:rFonts w:ascii="Trebuchet MS" w:hAnsi="Trebuchet MS"/>
          <w:sz w:val="18"/>
          <w:szCs w:val="18"/>
        </w:rPr>
        <w:t xml:space="preserve">Bounding probabilistic analysis in order to select the </w:t>
      </w:r>
      <w:r>
        <w:rPr>
          <w:rFonts w:ascii="Trebuchet MS" w:hAnsi="Trebuchet MS"/>
          <w:sz w:val="18"/>
          <w:szCs w:val="18"/>
        </w:rPr>
        <w:t>combinations</w:t>
      </w:r>
      <w:r w:rsidRPr="003D1D43">
        <w:rPr>
          <w:rFonts w:ascii="Trebuchet MS" w:hAnsi="Trebuchet MS"/>
          <w:sz w:val="18"/>
          <w:szCs w:val="18"/>
        </w:rPr>
        <w:t xml:space="preserve"> to be considered in </w:t>
      </w:r>
      <w:r>
        <w:rPr>
          <w:rFonts w:ascii="Trebuchet MS" w:hAnsi="Trebuchet MS"/>
          <w:sz w:val="18"/>
          <w:szCs w:val="18"/>
        </w:rPr>
        <w:t>the extended PSA</w:t>
      </w:r>
      <w:r w:rsidRPr="003D1D43">
        <w:rPr>
          <w:rFonts w:ascii="Trebuchet MS" w:hAnsi="Trebuchet MS"/>
          <w:sz w:val="18"/>
          <w:szCs w:val="18"/>
        </w:rPr>
        <w:t xml:space="preserve"> (</w:t>
      </w:r>
      <w:r w:rsidR="00622ACF">
        <w:rPr>
          <w:rFonts w:ascii="Trebuchet MS" w:hAnsi="Trebuchet MS"/>
          <w:sz w:val="18"/>
          <w:szCs w:val="18"/>
        </w:rPr>
        <w:t>using qualitative or quantitative screening criteria</w:t>
      </w:r>
      <w:r w:rsidRPr="003D1D43">
        <w:rPr>
          <w:rFonts w:ascii="Trebuchet MS" w:hAnsi="Trebuchet MS"/>
          <w:sz w:val="18"/>
          <w:szCs w:val="18"/>
        </w:rPr>
        <w:t>)</w:t>
      </w:r>
      <w:r w:rsidR="0041600F">
        <w:rPr>
          <w:rFonts w:ascii="Trebuchet MS" w:hAnsi="Trebuchet MS"/>
          <w:sz w:val="18"/>
          <w:szCs w:val="18"/>
        </w:rPr>
        <w:t>.</w:t>
      </w:r>
    </w:p>
    <w:p w:rsidR="00360790" w:rsidRDefault="00360790" w:rsidP="00114273">
      <w:pPr>
        <w:rPr>
          <w:lang w:val="en-GB"/>
        </w:rPr>
      </w:pPr>
    </w:p>
    <w:p w:rsidR="00FA5394" w:rsidRDefault="005650B4" w:rsidP="00114273">
      <w:pPr>
        <w:rPr>
          <w:lang w:val="en-GB"/>
        </w:rPr>
      </w:pPr>
      <w:r>
        <w:rPr>
          <w:lang w:val="en-GB"/>
        </w:rPr>
        <w:t>These steps may appear beyond the existing state-of-the-art. To identify the gaps that may exist, t</w:t>
      </w:r>
      <w:r w:rsidR="002448C5">
        <w:rPr>
          <w:lang w:val="en-GB"/>
        </w:rPr>
        <w:t>he following chapter</w:t>
      </w:r>
      <w:r w:rsidR="00FA5394">
        <w:rPr>
          <w:lang w:val="en-GB"/>
        </w:rPr>
        <w:t xml:space="preserve"> provide</w:t>
      </w:r>
      <w:r w:rsidR="002448C5">
        <w:rPr>
          <w:lang w:val="en-GB"/>
        </w:rPr>
        <w:t>s</w:t>
      </w:r>
      <w:r w:rsidR="00FA5394">
        <w:rPr>
          <w:lang w:val="en-GB"/>
        </w:rPr>
        <w:t xml:space="preserve"> </w:t>
      </w:r>
      <w:r w:rsidR="00360790">
        <w:rPr>
          <w:lang w:val="en-GB"/>
        </w:rPr>
        <w:t>some summaries of</w:t>
      </w:r>
      <w:r w:rsidR="00FA5394">
        <w:rPr>
          <w:lang w:val="en-GB"/>
        </w:rPr>
        <w:t xml:space="preserve"> existing national practice and international </w:t>
      </w:r>
      <w:r>
        <w:rPr>
          <w:lang w:val="en-GB"/>
        </w:rPr>
        <w:t>standards in this area.</w:t>
      </w:r>
      <w:r w:rsidR="00360790">
        <w:rPr>
          <w:lang w:val="en-GB"/>
        </w:rPr>
        <w:t xml:space="preserve"> It was suggested to the authors of each summary to consider the following issues: </w:t>
      </w:r>
    </w:p>
    <w:p w:rsidR="00E23584" w:rsidRDefault="00E23584" w:rsidP="00114273">
      <w:pPr>
        <w:rPr>
          <w:lang w:val="en-GB"/>
        </w:rPr>
      </w:pPr>
    </w:p>
    <w:p w:rsidR="00360790" w:rsidRPr="00360790" w:rsidRDefault="00597B4B" w:rsidP="00E62976">
      <w:pPr>
        <w:numPr>
          <w:ilvl w:val="0"/>
          <w:numId w:val="18"/>
        </w:numPr>
        <w:rPr>
          <w:lang w:val="en-GB"/>
        </w:rPr>
      </w:pPr>
      <w:r>
        <w:rPr>
          <w:lang w:val="en-GB"/>
        </w:rPr>
        <w:t>H</w:t>
      </w:r>
      <w:r w:rsidR="00360790" w:rsidRPr="00360790">
        <w:rPr>
          <w:lang w:val="en-GB"/>
        </w:rPr>
        <w:t xml:space="preserve">ow to identify and quantify dependencies and correlations between different hazard or event scenarios. </w:t>
      </w:r>
    </w:p>
    <w:p w:rsidR="00360790" w:rsidRPr="00360790" w:rsidRDefault="00597B4B" w:rsidP="00E62976">
      <w:pPr>
        <w:numPr>
          <w:ilvl w:val="0"/>
          <w:numId w:val="18"/>
        </w:numPr>
        <w:rPr>
          <w:lang w:val="en-GB"/>
        </w:rPr>
      </w:pPr>
      <w:r>
        <w:rPr>
          <w:lang w:val="en-GB"/>
        </w:rPr>
        <w:t>W</w:t>
      </w:r>
      <w:r w:rsidR="00360790" w:rsidRPr="00360790">
        <w:rPr>
          <w:lang w:val="en-GB"/>
        </w:rPr>
        <w:t xml:space="preserve">hich (quantitative) screening criteria should be applied, which risk metrics would be suitable. </w:t>
      </w:r>
    </w:p>
    <w:p w:rsidR="00360790" w:rsidRPr="00360790" w:rsidRDefault="00597B4B" w:rsidP="00E62976">
      <w:pPr>
        <w:numPr>
          <w:ilvl w:val="0"/>
          <w:numId w:val="18"/>
        </w:numPr>
        <w:rPr>
          <w:lang w:val="en-GB"/>
        </w:rPr>
      </w:pPr>
      <w:r>
        <w:rPr>
          <w:lang w:val="en-GB"/>
        </w:rPr>
        <w:t>W</w:t>
      </w:r>
      <w:r w:rsidR="00360790" w:rsidRPr="00360790">
        <w:rPr>
          <w:lang w:val="en-GB"/>
        </w:rPr>
        <w:t>hat constitutes and how to identify a high impact/low probability event.</w:t>
      </w:r>
    </w:p>
    <w:p w:rsidR="00360790" w:rsidRPr="00360790" w:rsidRDefault="00597B4B" w:rsidP="00E62976">
      <w:pPr>
        <w:numPr>
          <w:ilvl w:val="0"/>
          <w:numId w:val="18"/>
        </w:numPr>
        <w:rPr>
          <w:lang w:val="en-GB"/>
        </w:rPr>
      </w:pPr>
      <w:r>
        <w:rPr>
          <w:lang w:val="en-GB"/>
        </w:rPr>
        <w:t>W</w:t>
      </w:r>
      <w:r w:rsidR="00360790" w:rsidRPr="00360790">
        <w:rPr>
          <w:lang w:val="en-GB"/>
        </w:rPr>
        <w:t>hat constitutes a maximum impact?</w:t>
      </w:r>
    </w:p>
    <w:p w:rsidR="00360790" w:rsidRPr="00360790" w:rsidRDefault="00360790" w:rsidP="00E62976">
      <w:pPr>
        <w:numPr>
          <w:ilvl w:val="0"/>
          <w:numId w:val="18"/>
        </w:numPr>
        <w:rPr>
          <w:lang w:val="en-GB"/>
        </w:rPr>
      </w:pPr>
      <w:r w:rsidRPr="00360790">
        <w:rPr>
          <w:lang w:val="en-GB"/>
        </w:rPr>
        <w:t>Need to utilize the levels of Defen</w:t>
      </w:r>
      <w:r w:rsidR="00597B4B">
        <w:rPr>
          <w:lang w:val="en-GB"/>
        </w:rPr>
        <w:t>c</w:t>
      </w:r>
      <w:r w:rsidRPr="00360790">
        <w:rPr>
          <w:lang w:val="en-GB"/>
        </w:rPr>
        <w:t>e in Depth (AOO, DBA, and DEC)?</w:t>
      </w:r>
    </w:p>
    <w:p w:rsidR="00360790" w:rsidRPr="00360790" w:rsidRDefault="00597B4B" w:rsidP="00E62976">
      <w:pPr>
        <w:numPr>
          <w:ilvl w:val="0"/>
          <w:numId w:val="18"/>
        </w:numPr>
        <w:rPr>
          <w:lang w:val="en-GB"/>
        </w:rPr>
      </w:pPr>
      <w:r>
        <w:rPr>
          <w:lang w:val="en-GB"/>
        </w:rPr>
        <w:t>W</w:t>
      </w:r>
      <w:r w:rsidR="00360790" w:rsidRPr="00360790">
        <w:rPr>
          <w:lang w:val="en-GB"/>
        </w:rPr>
        <w:t>hich approaches to bounding analysis are suitable for an extended PSA and upon which criteria a detailed probabilistic investigation and modelling can be omitted</w:t>
      </w:r>
      <w:r w:rsidR="003C7901">
        <w:rPr>
          <w:lang w:val="en-GB"/>
        </w:rPr>
        <w:t>.</w:t>
      </w:r>
    </w:p>
    <w:p w:rsidR="00360790" w:rsidRPr="001B7918" w:rsidRDefault="00360790" w:rsidP="00114273">
      <w:pPr>
        <w:rPr>
          <w:lang w:val="en-GB"/>
        </w:rPr>
      </w:pPr>
    </w:p>
    <w:p w:rsidR="00801BDF" w:rsidRPr="00E20701" w:rsidRDefault="00583E98" w:rsidP="00C70893">
      <w:pPr>
        <w:pStyle w:val="Titre1"/>
        <w:pageBreakBefore/>
        <w:ind w:left="431" w:hanging="431"/>
        <w:rPr>
          <w:lang w:val="en-GB"/>
        </w:rPr>
      </w:pPr>
      <w:bookmarkStart w:id="80" w:name="_Toc443584204"/>
      <w:bookmarkStart w:id="81" w:name="_Toc443584356"/>
      <w:bookmarkStart w:id="82" w:name="_Toc443584474"/>
      <w:bookmarkStart w:id="83" w:name="_Toc443584592"/>
      <w:bookmarkStart w:id="84" w:name="_Toc443584710"/>
      <w:bookmarkStart w:id="85" w:name="_Toc443584823"/>
      <w:bookmarkStart w:id="86" w:name="_Toc443584940"/>
      <w:bookmarkStart w:id="87" w:name="_Toc443585057"/>
      <w:bookmarkStart w:id="88" w:name="_Toc443585174"/>
      <w:bookmarkStart w:id="89" w:name="_Toc443585291"/>
      <w:bookmarkStart w:id="90" w:name="_Toc443585408"/>
      <w:bookmarkStart w:id="91" w:name="_Toc443585521"/>
      <w:bookmarkStart w:id="92" w:name="_Toc443586982"/>
      <w:bookmarkStart w:id="93" w:name="_Toc443587096"/>
      <w:bookmarkStart w:id="94" w:name="_Toc443587297"/>
      <w:bookmarkStart w:id="95" w:name="_Toc443587412"/>
      <w:bookmarkStart w:id="96" w:name="_Toc443584205"/>
      <w:bookmarkStart w:id="97" w:name="_Toc443584357"/>
      <w:bookmarkStart w:id="98" w:name="_Toc443584475"/>
      <w:bookmarkStart w:id="99" w:name="_Toc443584593"/>
      <w:bookmarkStart w:id="100" w:name="_Toc443584711"/>
      <w:bookmarkStart w:id="101" w:name="_Toc443584824"/>
      <w:bookmarkStart w:id="102" w:name="_Toc443584941"/>
      <w:bookmarkStart w:id="103" w:name="_Toc443585058"/>
      <w:bookmarkStart w:id="104" w:name="_Toc443585175"/>
      <w:bookmarkStart w:id="105" w:name="_Toc443585292"/>
      <w:bookmarkStart w:id="106" w:name="_Toc443585409"/>
      <w:bookmarkStart w:id="107" w:name="_Toc443585522"/>
      <w:bookmarkStart w:id="108" w:name="_Toc443586983"/>
      <w:bookmarkStart w:id="109" w:name="_Toc443587097"/>
      <w:bookmarkStart w:id="110" w:name="_Toc443587298"/>
      <w:bookmarkStart w:id="111" w:name="_Toc443587413"/>
      <w:bookmarkStart w:id="112" w:name="_Toc443584206"/>
      <w:bookmarkStart w:id="113" w:name="_Toc443584358"/>
      <w:bookmarkStart w:id="114" w:name="_Toc443584476"/>
      <w:bookmarkStart w:id="115" w:name="_Toc443584594"/>
      <w:bookmarkStart w:id="116" w:name="_Toc443584712"/>
      <w:bookmarkStart w:id="117" w:name="_Toc443584825"/>
      <w:bookmarkStart w:id="118" w:name="_Toc443584942"/>
      <w:bookmarkStart w:id="119" w:name="_Toc443585059"/>
      <w:bookmarkStart w:id="120" w:name="_Toc443585176"/>
      <w:bookmarkStart w:id="121" w:name="_Toc443585293"/>
      <w:bookmarkStart w:id="122" w:name="_Toc443585410"/>
      <w:bookmarkStart w:id="123" w:name="_Toc443585523"/>
      <w:bookmarkStart w:id="124" w:name="_Toc443586984"/>
      <w:bookmarkStart w:id="125" w:name="_Toc443587098"/>
      <w:bookmarkStart w:id="126" w:name="_Toc443587299"/>
      <w:bookmarkStart w:id="127" w:name="_Toc443587414"/>
      <w:bookmarkStart w:id="128" w:name="_Toc443584207"/>
      <w:bookmarkStart w:id="129" w:name="_Toc443584359"/>
      <w:bookmarkStart w:id="130" w:name="_Toc443584477"/>
      <w:bookmarkStart w:id="131" w:name="_Toc443584595"/>
      <w:bookmarkStart w:id="132" w:name="_Toc443584713"/>
      <w:bookmarkStart w:id="133" w:name="_Toc443584826"/>
      <w:bookmarkStart w:id="134" w:name="_Toc443584943"/>
      <w:bookmarkStart w:id="135" w:name="_Toc443585060"/>
      <w:bookmarkStart w:id="136" w:name="_Toc443585177"/>
      <w:bookmarkStart w:id="137" w:name="_Toc443585294"/>
      <w:bookmarkStart w:id="138" w:name="_Toc443585411"/>
      <w:bookmarkStart w:id="139" w:name="_Toc443585524"/>
      <w:bookmarkStart w:id="140" w:name="_Toc443586985"/>
      <w:bookmarkStart w:id="141" w:name="_Toc443587099"/>
      <w:bookmarkStart w:id="142" w:name="_Toc443587300"/>
      <w:bookmarkStart w:id="143" w:name="_Toc443587415"/>
      <w:bookmarkStart w:id="144" w:name="_Toc443584208"/>
      <w:bookmarkStart w:id="145" w:name="_Toc443584360"/>
      <w:bookmarkStart w:id="146" w:name="_Toc443584478"/>
      <w:bookmarkStart w:id="147" w:name="_Toc443584596"/>
      <w:bookmarkStart w:id="148" w:name="_Toc443584714"/>
      <w:bookmarkStart w:id="149" w:name="_Toc443584827"/>
      <w:bookmarkStart w:id="150" w:name="_Toc443584944"/>
      <w:bookmarkStart w:id="151" w:name="_Toc443585061"/>
      <w:bookmarkStart w:id="152" w:name="_Toc443585178"/>
      <w:bookmarkStart w:id="153" w:name="_Toc443585295"/>
      <w:bookmarkStart w:id="154" w:name="_Toc443585412"/>
      <w:bookmarkStart w:id="155" w:name="_Toc443585525"/>
      <w:bookmarkStart w:id="156" w:name="_Toc443586986"/>
      <w:bookmarkStart w:id="157" w:name="_Toc443587100"/>
      <w:bookmarkStart w:id="158" w:name="_Toc443587301"/>
      <w:bookmarkStart w:id="159" w:name="_Toc443587416"/>
      <w:bookmarkStart w:id="160" w:name="_Toc443584215"/>
      <w:bookmarkStart w:id="161" w:name="_Toc443584367"/>
      <w:bookmarkStart w:id="162" w:name="_Toc443584485"/>
      <w:bookmarkStart w:id="163" w:name="_Toc443584603"/>
      <w:bookmarkStart w:id="164" w:name="_Toc443584721"/>
      <w:bookmarkStart w:id="165" w:name="_Toc443584834"/>
      <w:bookmarkStart w:id="166" w:name="_Toc443584951"/>
      <w:bookmarkStart w:id="167" w:name="_Toc443585068"/>
      <w:bookmarkStart w:id="168" w:name="_Toc443585185"/>
      <w:bookmarkStart w:id="169" w:name="_Toc443585302"/>
      <w:bookmarkStart w:id="170" w:name="_Toc443585419"/>
      <w:bookmarkStart w:id="171" w:name="_Toc443585532"/>
      <w:bookmarkStart w:id="172" w:name="_Toc443586993"/>
      <w:bookmarkStart w:id="173" w:name="_Toc443587107"/>
      <w:bookmarkStart w:id="174" w:name="_Toc443587308"/>
      <w:bookmarkStart w:id="175" w:name="_Toc443587423"/>
      <w:bookmarkStart w:id="176" w:name="_Toc443584216"/>
      <w:bookmarkStart w:id="177" w:name="_Toc443584368"/>
      <w:bookmarkStart w:id="178" w:name="_Toc443584486"/>
      <w:bookmarkStart w:id="179" w:name="_Toc443584604"/>
      <w:bookmarkStart w:id="180" w:name="_Toc443584722"/>
      <w:bookmarkStart w:id="181" w:name="_Toc443584835"/>
      <w:bookmarkStart w:id="182" w:name="_Toc443584952"/>
      <w:bookmarkStart w:id="183" w:name="_Toc443585069"/>
      <w:bookmarkStart w:id="184" w:name="_Toc443585186"/>
      <w:bookmarkStart w:id="185" w:name="_Toc443585303"/>
      <w:bookmarkStart w:id="186" w:name="_Toc443585420"/>
      <w:bookmarkStart w:id="187" w:name="_Toc443585533"/>
      <w:bookmarkStart w:id="188" w:name="_Toc443586994"/>
      <w:bookmarkStart w:id="189" w:name="_Toc443587108"/>
      <w:bookmarkStart w:id="190" w:name="_Toc443587309"/>
      <w:bookmarkStart w:id="191" w:name="_Toc443587424"/>
      <w:bookmarkStart w:id="192" w:name="_Toc443584217"/>
      <w:bookmarkStart w:id="193" w:name="_Toc443584369"/>
      <w:bookmarkStart w:id="194" w:name="_Toc443584487"/>
      <w:bookmarkStart w:id="195" w:name="_Toc443584605"/>
      <w:bookmarkStart w:id="196" w:name="_Toc443584723"/>
      <w:bookmarkStart w:id="197" w:name="_Toc443584836"/>
      <w:bookmarkStart w:id="198" w:name="_Toc443584953"/>
      <w:bookmarkStart w:id="199" w:name="_Toc443585070"/>
      <w:bookmarkStart w:id="200" w:name="_Toc443585187"/>
      <w:bookmarkStart w:id="201" w:name="_Toc443585304"/>
      <w:bookmarkStart w:id="202" w:name="_Toc443585421"/>
      <w:bookmarkStart w:id="203" w:name="_Toc443585534"/>
      <w:bookmarkStart w:id="204" w:name="_Toc443586995"/>
      <w:bookmarkStart w:id="205" w:name="_Toc443587109"/>
      <w:bookmarkStart w:id="206" w:name="_Toc443587310"/>
      <w:bookmarkStart w:id="207" w:name="_Toc443587425"/>
      <w:bookmarkStart w:id="208" w:name="_Toc443584218"/>
      <w:bookmarkStart w:id="209" w:name="_Toc443584370"/>
      <w:bookmarkStart w:id="210" w:name="_Toc443584488"/>
      <w:bookmarkStart w:id="211" w:name="_Toc443584606"/>
      <w:bookmarkStart w:id="212" w:name="_Toc443584724"/>
      <w:bookmarkStart w:id="213" w:name="_Toc443584837"/>
      <w:bookmarkStart w:id="214" w:name="_Toc443584954"/>
      <w:bookmarkStart w:id="215" w:name="_Toc443585071"/>
      <w:bookmarkStart w:id="216" w:name="_Toc443585188"/>
      <w:bookmarkStart w:id="217" w:name="_Toc443585305"/>
      <w:bookmarkStart w:id="218" w:name="_Toc443585422"/>
      <w:bookmarkStart w:id="219" w:name="_Toc443585535"/>
      <w:bookmarkStart w:id="220" w:name="_Toc443586996"/>
      <w:bookmarkStart w:id="221" w:name="_Toc443587110"/>
      <w:bookmarkStart w:id="222" w:name="_Toc443587311"/>
      <w:bookmarkStart w:id="223" w:name="_Toc443587426"/>
      <w:bookmarkStart w:id="224" w:name="_Toc443584219"/>
      <w:bookmarkStart w:id="225" w:name="_Toc443584371"/>
      <w:bookmarkStart w:id="226" w:name="_Toc443584489"/>
      <w:bookmarkStart w:id="227" w:name="_Toc443584607"/>
      <w:bookmarkStart w:id="228" w:name="_Toc443584725"/>
      <w:bookmarkStart w:id="229" w:name="_Toc443584838"/>
      <w:bookmarkStart w:id="230" w:name="_Toc443584955"/>
      <w:bookmarkStart w:id="231" w:name="_Toc443585072"/>
      <w:bookmarkStart w:id="232" w:name="_Toc443585189"/>
      <w:bookmarkStart w:id="233" w:name="_Toc443585306"/>
      <w:bookmarkStart w:id="234" w:name="_Toc443585423"/>
      <w:bookmarkStart w:id="235" w:name="_Toc443585536"/>
      <w:bookmarkStart w:id="236" w:name="_Toc443586997"/>
      <w:bookmarkStart w:id="237" w:name="_Toc443587111"/>
      <w:bookmarkStart w:id="238" w:name="_Toc443587312"/>
      <w:bookmarkStart w:id="239" w:name="_Toc443587427"/>
      <w:bookmarkStart w:id="240" w:name="_Toc443584220"/>
      <w:bookmarkStart w:id="241" w:name="_Toc443584372"/>
      <w:bookmarkStart w:id="242" w:name="_Toc443584490"/>
      <w:bookmarkStart w:id="243" w:name="_Toc443584608"/>
      <w:bookmarkStart w:id="244" w:name="_Toc443584726"/>
      <w:bookmarkStart w:id="245" w:name="_Toc443584839"/>
      <w:bookmarkStart w:id="246" w:name="_Toc443584956"/>
      <w:bookmarkStart w:id="247" w:name="_Toc443585073"/>
      <w:bookmarkStart w:id="248" w:name="_Toc443585190"/>
      <w:bookmarkStart w:id="249" w:name="_Toc443585307"/>
      <w:bookmarkStart w:id="250" w:name="_Toc443585424"/>
      <w:bookmarkStart w:id="251" w:name="_Toc443585537"/>
      <w:bookmarkStart w:id="252" w:name="_Toc443586998"/>
      <w:bookmarkStart w:id="253" w:name="_Toc443587112"/>
      <w:bookmarkStart w:id="254" w:name="_Toc443587313"/>
      <w:bookmarkStart w:id="255" w:name="_Toc443587428"/>
      <w:bookmarkStart w:id="256" w:name="_Toc443584221"/>
      <w:bookmarkStart w:id="257" w:name="_Toc443584373"/>
      <w:bookmarkStart w:id="258" w:name="_Toc443584491"/>
      <w:bookmarkStart w:id="259" w:name="_Toc443584609"/>
      <w:bookmarkStart w:id="260" w:name="_Toc443584727"/>
      <w:bookmarkStart w:id="261" w:name="_Toc443584840"/>
      <w:bookmarkStart w:id="262" w:name="_Toc443584957"/>
      <w:bookmarkStart w:id="263" w:name="_Toc443585074"/>
      <w:bookmarkStart w:id="264" w:name="_Toc443585191"/>
      <w:bookmarkStart w:id="265" w:name="_Toc443585308"/>
      <w:bookmarkStart w:id="266" w:name="_Toc443585425"/>
      <w:bookmarkStart w:id="267" w:name="_Toc443585538"/>
      <w:bookmarkStart w:id="268" w:name="_Toc443586999"/>
      <w:bookmarkStart w:id="269" w:name="_Toc443587113"/>
      <w:bookmarkStart w:id="270" w:name="_Toc443587314"/>
      <w:bookmarkStart w:id="271" w:name="_Toc443587429"/>
      <w:bookmarkStart w:id="272" w:name="_Toc443584222"/>
      <w:bookmarkStart w:id="273" w:name="_Toc443584374"/>
      <w:bookmarkStart w:id="274" w:name="_Toc443584492"/>
      <w:bookmarkStart w:id="275" w:name="_Toc443584610"/>
      <w:bookmarkStart w:id="276" w:name="_Toc443584728"/>
      <w:bookmarkStart w:id="277" w:name="_Toc443584841"/>
      <w:bookmarkStart w:id="278" w:name="_Toc443584958"/>
      <w:bookmarkStart w:id="279" w:name="_Toc443585075"/>
      <w:bookmarkStart w:id="280" w:name="_Toc443585192"/>
      <w:bookmarkStart w:id="281" w:name="_Toc443585309"/>
      <w:bookmarkStart w:id="282" w:name="_Toc443585426"/>
      <w:bookmarkStart w:id="283" w:name="_Toc443585539"/>
      <w:bookmarkStart w:id="284" w:name="_Toc443587000"/>
      <w:bookmarkStart w:id="285" w:name="_Toc443587114"/>
      <w:bookmarkStart w:id="286" w:name="_Toc443587315"/>
      <w:bookmarkStart w:id="287" w:name="_Toc443587430"/>
      <w:bookmarkStart w:id="288" w:name="_Toc443584223"/>
      <w:bookmarkStart w:id="289" w:name="_Toc443584375"/>
      <w:bookmarkStart w:id="290" w:name="_Toc443584493"/>
      <w:bookmarkStart w:id="291" w:name="_Toc443584611"/>
      <w:bookmarkStart w:id="292" w:name="_Toc443584729"/>
      <w:bookmarkStart w:id="293" w:name="_Toc443584842"/>
      <w:bookmarkStart w:id="294" w:name="_Toc443584959"/>
      <w:bookmarkStart w:id="295" w:name="_Toc443585076"/>
      <w:bookmarkStart w:id="296" w:name="_Toc443585193"/>
      <w:bookmarkStart w:id="297" w:name="_Toc443585310"/>
      <w:bookmarkStart w:id="298" w:name="_Toc443585427"/>
      <w:bookmarkStart w:id="299" w:name="_Toc443585540"/>
      <w:bookmarkStart w:id="300" w:name="_Toc443587001"/>
      <w:bookmarkStart w:id="301" w:name="_Toc443587115"/>
      <w:bookmarkStart w:id="302" w:name="_Toc443587316"/>
      <w:bookmarkStart w:id="303" w:name="_Toc443587431"/>
      <w:bookmarkStart w:id="304" w:name="_Toc443584224"/>
      <w:bookmarkStart w:id="305" w:name="_Toc443584376"/>
      <w:bookmarkStart w:id="306" w:name="_Toc443584494"/>
      <w:bookmarkStart w:id="307" w:name="_Toc443584612"/>
      <w:bookmarkStart w:id="308" w:name="_Toc443584730"/>
      <w:bookmarkStart w:id="309" w:name="_Toc443584843"/>
      <w:bookmarkStart w:id="310" w:name="_Toc443584960"/>
      <w:bookmarkStart w:id="311" w:name="_Toc443585077"/>
      <w:bookmarkStart w:id="312" w:name="_Toc443585194"/>
      <w:bookmarkStart w:id="313" w:name="_Toc443585311"/>
      <w:bookmarkStart w:id="314" w:name="_Toc443585428"/>
      <w:bookmarkStart w:id="315" w:name="_Toc443585541"/>
      <w:bookmarkStart w:id="316" w:name="_Toc443587002"/>
      <w:bookmarkStart w:id="317" w:name="_Toc443587116"/>
      <w:bookmarkStart w:id="318" w:name="_Toc443587317"/>
      <w:bookmarkStart w:id="319" w:name="_Toc443587432"/>
      <w:bookmarkStart w:id="320" w:name="_Toc443584225"/>
      <w:bookmarkStart w:id="321" w:name="_Toc443584377"/>
      <w:bookmarkStart w:id="322" w:name="_Toc443584495"/>
      <w:bookmarkStart w:id="323" w:name="_Toc443584613"/>
      <w:bookmarkStart w:id="324" w:name="_Toc443584731"/>
      <w:bookmarkStart w:id="325" w:name="_Toc443584844"/>
      <w:bookmarkStart w:id="326" w:name="_Toc443584961"/>
      <w:bookmarkStart w:id="327" w:name="_Toc443585078"/>
      <w:bookmarkStart w:id="328" w:name="_Toc443585195"/>
      <w:bookmarkStart w:id="329" w:name="_Toc443585312"/>
      <w:bookmarkStart w:id="330" w:name="_Toc443585429"/>
      <w:bookmarkStart w:id="331" w:name="_Toc443585542"/>
      <w:bookmarkStart w:id="332" w:name="_Toc443587003"/>
      <w:bookmarkStart w:id="333" w:name="_Toc443587117"/>
      <w:bookmarkStart w:id="334" w:name="_Toc443587318"/>
      <w:bookmarkStart w:id="335" w:name="_Toc443587433"/>
      <w:bookmarkStart w:id="336" w:name="_Toc443584227"/>
      <w:bookmarkStart w:id="337" w:name="_Toc443584379"/>
      <w:bookmarkStart w:id="338" w:name="_Toc443584497"/>
      <w:bookmarkStart w:id="339" w:name="_Toc443584615"/>
      <w:bookmarkStart w:id="340" w:name="_Toc443584733"/>
      <w:bookmarkStart w:id="341" w:name="_Toc443584846"/>
      <w:bookmarkStart w:id="342" w:name="_Toc443584963"/>
      <w:bookmarkStart w:id="343" w:name="_Toc443585080"/>
      <w:bookmarkStart w:id="344" w:name="_Toc443585197"/>
      <w:bookmarkStart w:id="345" w:name="_Toc443585314"/>
      <w:bookmarkStart w:id="346" w:name="_Toc443585431"/>
      <w:bookmarkStart w:id="347" w:name="_Toc443585544"/>
      <w:bookmarkStart w:id="348" w:name="_Toc443587005"/>
      <w:bookmarkStart w:id="349" w:name="_Toc443587119"/>
      <w:bookmarkStart w:id="350" w:name="_Toc443587320"/>
      <w:bookmarkStart w:id="351" w:name="_Toc443587435"/>
      <w:bookmarkStart w:id="352" w:name="_Toc443584229"/>
      <w:bookmarkStart w:id="353" w:name="_Toc443584381"/>
      <w:bookmarkStart w:id="354" w:name="_Toc443584499"/>
      <w:bookmarkStart w:id="355" w:name="_Toc443584617"/>
      <w:bookmarkStart w:id="356" w:name="_Toc443584735"/>
      <w:bookmarkStart w:id="357" w:name="_Toc443584848"/>
      <w:bookmarkStart w:id="358" w:name="_Toc443584965"/>
      <w:bookmarkStart w:id="359" w:name="_Toc443585082"/>
      <w:bookmarkStart w:id="360" w:name="_Toc443585199"/>
      <w:bookmarkStart w:id="361" w:name="_Toc443585316"/>
      <w:bookmarkStart w:id="362" w:name="_Toc443585433"/>
      <w:bookmarkStart w:id="363" w:name="_Toc443585546"/>
      <w:bookmarkStart w:id="364" w:name="_Toc443587007"/>
      <w:bookmarkStart w:id="365" w:name="_Toc443587121"/>
      <w:bookmarkStart w:id="366" w:name="_Toc443587322"/>
      <w:bookmarkStart w:id="367" w:name="_Toc443587437"/>
      <w:bookmarkStart w:id="368" w:name="_Toc443584232"/>
      <w:bookmarkStart w:id="369" w:name="_Toc443584384"/>
      <w:bookmarkStart w:id="370" w:name="_Toc443584502"/>
      <w:bookmarkStart w:id="371" w:name="_Toc443584620"/>
      <w:bookmarkStart w:id="372" w:name="_Toc443584738"/>
      <w:bookmarkStart w:id="373" w:name="_Toc443584851"/>
      <w:bookmarkStart w:id="374" w:name="_Toc443584968"/>
      <w:bookmarkStart w:id="375" w:name="_Toc443585085"/>
      <w:bookmarkStart w:id="376" w:name="_Toc443585202"/>
      <w:bookmarkStart w:id="377" w:name="_Toc443585319"/>
      <w:bookmarkStart w:id="378" w:name="_Toc443585436"/>
      <w:bookmarkStart w:id="379" w:name="_Toc443585549"/>
      <w:bookmarkStart w:id="380" w:name="_Toc443587010"/>
      <w:bookmarkStart w:id="381" w:name="_Toc443587124"/>
      <w:bookmarkStart w:id="382" w:name="_Toc443587325"/>
      <w:bookmarkStart w:id="383" w:name="_Toc443587440"/>
      <w:bookmarkStart w:id="384" w:name="_Ref387153591"/>
      <w:bookmarkStart w:id="385" w:name="_Ref444952926"/>
      <w:bookmarkStart w:id="386" w:name="_Toc473303545"/>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r>
        <w:rPr>
          <w:lang w:val="en-GB"/>
        </w:rPr>
        <w:t xml:space="preserve">REVIEW OF </w:t>
      </w:r>
      <w:bookmarkEnd w:id="384"/>
      <w:r>
        <w:rPr>
          <w:lang w:val="en-GB"/>
        </w:rPr>
        <w:t>EXISTING APPROACHES</w:t>
      </w:r>
      <w:bookmarkEnd w:id="385"/>
      <w:bookmarkEnd w:id="386"/>
    </w:p>
    <w:p w:rsidR="00B14F70" w:rsidRPr="00E20701" w:rsidRDefault="00583E98" w:rsidP="00B14F70">
      <w:pPr>
        <w:pStyle w:val="Titre2"/>
        <w:rPr>
          <w:lang w:val="en-GB"/>
        </w:rPr>
      </w:pPr>
      <w:bookmarkStart w:id="387" w:name="_Toc473303546"/>
      <w:r>
        <w:rPr>
          <w:lang w:val="en-GB"/>
        </w:rPr>
        <w:t>INTERNATIONAL ORGANIZATIONS</w:t>
      </w:r>
      <w:bookmarkEnd w:id="387"/>
    </w:p>
    <w:p w:rsidR="00C45AD0" w:rsidRDefault="00E25616" w:rsidP="00E673DE">
      <w:pPr>
        <w:pStyle w:val="Titre3"/>
        <w:rPr>
          <w:lang w:val="en-GB"/>
        </w:rPr>
      </w:pPr>
      <w:bookmarkStart w:id="388" w:name="_Ref384898859"/>
      <w:bookmarkStart w:id="389" w:name="_Ref445059482"/>
      <w:bookmarkStart w:id="390" w:name="_Toc473303547"/>
      <w:r w:rsidRPr="00E20701">
        <w:rPr>
          <w:lang w:val="en-GB"/>
        </w:rPr>
        <w:t>International Atomic Energy Agency (</w:t>
      </w:r>
      <w:r w:rsidR="001A0D3A" w:rsidRPr="00E20701">
        <w:rPr>
          <w:lang w:val="en-GB"/>
        </w:rPr>
        <w:t>IAEA</w:t>
      </w:r>
      <w:r w:rsidRPr="00E20701">
        <w:rPr>
          <w:lang w:val="en-GB"/>
        </w:rPr>
        <w:t>)</w:t>
      </w:r>
      <w:bookmarkEnd w:id="388"/>
      <w:bookmarkEnd w:id="389"/>
      <w:bookmarkEnd w:id="390"/>
    </w:p>
    <w:p w:rsidR="00CC78BA" w:rsidRDefault="00CC78BA" w:rsidP="001B7918">
      <w:pPr>
        <w:rPr>
          <w:lang w:val="en-GB"/>
        </w:rPr>
      </w:pPr>
      <w:r>
        <w:rPr>
          <w:lang w:val="en-GB"/>
        </w:rPr>
        <w:t xml:space="preserve">The following </w:t>
      </w:r>
      <w:r w:rsidR="00102F44">
        <w:rPr>
          <w:lang w:val="en-GB"/>
        </w:rPr>
        <w:t>subchapter proposes</w:t>
      </w:r>
      <w:r>
        <w:rPr>
          <w:lang w:val="en-GB"/>
        </w:rPr>
        <w:t xml:space="preserve"> an analysis of existing IAEA publications. Many IAEA publications are important in the context of the ASAMPSA_E project.</w:t>
      </w:r>
    </w:p>
    <w:p w:rsidR="00C45AD0" w:rsidRPr="00C45AD0" w:rsidRDefault="00C45AD0" w:rsidP="001B7918">
      <w:pPr>
        <w:pStyle w:val="Titre4"/>
        <w:rPr>
          <w:lang w:val="en-GB"/>
        </w:rPr>
      </w:pPr>
      <w:r>
        <w:rPr>
          <w:lang w:val="en-GB"/>
        </w:rPr>
        <w:t>PIE for deterministic approach</w:t>
      </w:r>
    </w:p>
    <w:p w:rsidR="00A33C9F" w:rsidRPr="00E20701" w:rsidRDefault="00A33C9F" w:rsidP="00A33C9F">
      <w:pPr>
        <w:rPr>
          <w:lang w:val="en-GB"/>
        </w:rPr>
      </w:pPr>
      <w:r w:rsidRPr="00E20701">
        <w:rPr>
          <w:lang w:val="en-GB"/>
        </w:rPr>
        <w:t xml:space="preserve">The approach for identifying initiating events and hazards as endorsed by the IAEA is described in the IAEA safety requirements, e.g. SSR-2/1 for the design of NPP </w:t>
      </w:r>
      <w:r w:rsidR="005634D6">
        <w:rPr>
          <w:lang w:val="en-GB"/>
        </w:rPr>
        <w:fldChar w:fldCharType="begin"/>
      </w:r>
      <w:r w:rsidR="005634D6">
        <w:rPr>
          <w:lang w:val="en-GB"/>
        </w:rPr>
        <w:instrText xml:space="preserve"> REF _Ref443294889 \w \h </w:instrText>
      </w:r>
      <w:r w:rsidR="005634D6">
        <w:rPr>
          <w:lang w:val="en-GB"/>
        </w:rPr>
      </w:r>
      <w:r w:rsidR="005634D6">
        <w:rPr>
          <w:lang w:val="en-GB"/>
        </w:rPr>
        <w:fldChar w:fldCharType="separate"/>
      </w:r>
      <w:r w:rsidR="00E62976">
        <w:rPr>
          <w:lang w:val="en-GB"/>
        </w:rPr>
        <w:t>[2]</w:t>
      </w:r>
      <w:r w:rsidR="005634D6">
        <w:rPr>
          <w:lang w:val="en-GB"/>
        </w:rPr>
        <w:fldChar w:fldCharType="end"/>
      </w:r>
      <w:r w:rsidRPr="00E20701">
        <w:rPr>
          <w:lang w:val="en-GB"/>
        </w:rPr>
        <w:t xml:space="preserve">, and specific safety guides, e.g. SSG-2 on deterministic safety analysis </w:t>
      </w:r>
      <w:r w:rsidR="00125AF4" w:rsidRPr="00FA7763">
        <w:rPr>
          <w:lang w:val="en-GB"/>
        </w:rPr>
        <w:fldChar w:fldCharType="begin"/>
      </w:r>
      <w:r w:rsidRPr="00E20701">
        <w:rPr>
          <w:lang w:val="en-GB"/>
        </w:rPr>
        <w:instrText xml:space="preserve"> REF _Ref384387949 \r \h </w:instrText>
      </w:r>
      <w:r w:rsidR="00125AF4" w:rsidRPr="00FA7763">
        <w:rPr>
          <w:lang w:val="en-GB"/>
        </w:rPr>
      </w:r>
      <w:r w:rsidR="00125AF4" w:rsidRPr="00FA7763">
        <w:rPr>
          <w:lang w:val="en-GB"/>
        </w:rPr>
        <w:fldChar w:fldCharType="separate"/>
      </w:r>
      <w:r w:rsidR="00E62976">
        <w:rPr>
          <w:lang w:val="en-GB"/>
        </w:rPr>
        <w:t>[3]</w:t>
      </w:r>
      <w:r w:rsidR="00125AF4" w:rsidRPr="00FA7763">
        <w:rPr>
          <w:lang w:val="en-GB"/>
        </w:rPr>
        <w:fldChar w:fldCharType="end"/>
      </w:r>
      <w:r w:rsidRPr="00E20701">
        <w:rPr>
          <w:lang w:val="en-GB"/>
        </w:rPr>
        <w:t xml:space="preserve"> and SSG-3 on PSA level 1 </w:t>
      </w:r>
      <w:r w:rsidR="00125AF4" w:rsidRPr="00FA7763">
        <w:rPr>
          <w:lang w:val="en-GB"/>
        </w:rPr>
        <w:fldChar w:fldCharType="begin"/>
      </w:r>
      <w:r w:rsidRPr="00E20701">
        <w:rPr>
          <w:lang w:val="en-GB"/>
        </w:rPr>
        <w:instrText xml:space="preserve"> REF _Ref384386913 \r \h </w:instrText>
      </w:r>
      <w:r w:rsidR="00125AF4" w:rsidRPr="00FA7763">
        <w:rPr>
          <w:lang w:val="en-GB"/>
        </w:rPr>
      </w:r>
      <w:r w:rsidR="00125AF4" w:rsidRPr="00FA7763">
        <w:rPr>
          <w:lang w:val="en-GB"/>
        </w:rPr>
        <w:fldChar w:fldCharType="separate"/>
      </w:r>
      <w:r w:rsidR="00E62976">
        <w:rPr>
          <w:lang w:val="en-GB"/>
        </w:rPr>
        <w:t>[4]</w:t>
      </w:r>
      <w:r w:rsidR="00125AF4" w:rsidRPr="00FA7763">
        <w:rPr>
          <w:lang w:val="en-GB"/>
        </w:rPr>
        <w:fldChar w:fldCharType="end"/>
      </w:r>
      <w:r w:rsidRPr="00E20701">
        <w:rPr>
          <w:lang w:val="en-GB"/>
        </w:rPr>
        <w:t xml:space="preserve"> (cf. section </w:t>
      </w:r>
      <w:r w:rsidR="00125AF4" w:rsidRPr="00FA7763">
        <w:rPr>
          <w:lang w:val="en-GB"/>
        </w:rPr>
        <w:fldChar w:fldCharType="begin"/>
      </w:r>
      <w:r w:rsidRPr="00E20701">
        <w:rPr>
          <w:lang w:val="en-GB"/>
        </w:rPr>
        <w:instrText xml:space="preserve"> REF _Ref384898859 \r \h </w:instrText>
      </w:r>
      <w:r w:rsidR="00125AF4" w:rsidRPr="00FA7763">
        <w:rPr>
          <w:lang w:val="en-GB"/>
        </w:rPr>
      </w:r>
      <w:r w:rsidR="00125AF4" w:rsidRPr="00FA7763">
        <w:rPr>
          <w:lang w:val="en-GB"/>
        </w:rPr>
        <w:fldChar w:fldCharType="separate"/>
      </w:r>
      <w:r w:rsidR="00E62976">
        <w:rPr>
          <w:lang w:val="en-GB"/>
        </w:rPr>
        <w:t>5.1.1</w:t>
      </w:r>
      <w:r w:rsidR="00125AF4" w:rsidRPr="00FA7763">
        <w:rPr>
          <w:lang w:val="en-GB"/>
        </w:rPr>
        <w:fldChar w:fldCharType="end"/>
      </w:r>
      <w:r w:rsidRPr="00E20701">
        <w:rPr>
          <w:lang w:val="en-GB"/>
        </w:rPr>
        <w:t xml:space="preserve">). It should be noted that hazards are included in the identification process for initiating events by their adverse effects on the safety of the plant. </w:t>
      </w:r>
    </w:p>
    <w:p w:rsidR="00A33C9F" w:rsidRPr="00E20701" w:rsidRDefault="00A33C9F" w:rsidP="00A33C9F">
      <w:pPr>
        <w:rPr>
          <w:lang w:val="en-GB"/>
        </w:rPr>
      </w:pPr>
      <w:r w:rsidRPr="00E20701">
        <w:rPr>
          <w:lang w:val="en-GB"/>
        </w:rPr>
        <w:t>SSR-2/1 states in requirements 16 and 17 on the identification of initiating events:</w:t>
      </w:r>
    </w:p>
    <w:p w:rsidR="00A33C9F" w:rsidRPr="00E20701" w:rsidRDefault="00A33C9F" w:rsidP="00E62976">
      <w:pPr>
        <w:numPr>
          <w:ilvl w:val="0"/>
          <w:numId w:val="11"/>
        </w:numPr>
        <w:rPr>
          <w:lang w:val="en-GB"/>
        </w:rPr>
      </w:pPr>
      <w:r w:rsidRPr="00E20701">
        <w:rPr>
          <w:lang w:val="en-GB"/>
        </w:rPr>
        <w:t xml:space="preserve">“The design for the nuclear power plant shall apply a systematic approach to identifying a comprehensive set of postulated initiating events such that all foreseeable events with the potential for serious consequences and all foreseeable events with a significant frequency of occurrence are anticipated and are considered in the design.” </w:t>
      </w:r>
      <w:r w:rsidR="005634D6">
        <w:rPr>
          <w:lang w:val="en-GB"/>
        </w:rPr>
        <w:fldChar w:fldCharType="begin"/>
      </w:r>
      <w:r w:rsidR="005634D6">
        <w:rPr>
          <w:lang w:val="en-GB"/>
        </w:rPr>
        <w:instrText xml:space="preserve"> REF _Ref443294889 \w \h </w:instrText>
      </w:r>
      <w:r w:rsidR="005634D6">
        <w:rPr>
          <w:lang w:val="en-GB"/>
        </w:rPr>
      </w:r>
      <w:r w:rsidR="005634D6">
        <w:rPr>
          <w:lang w:val="en-GB"/>
        </w:rPr>
        <w:fldChar w:fldCharType="separate"/>
      </w:r>
      <w:r w:rsidR="00E62976">
        <w:rPr>
          <w:lang w:val="en-GB"/>
        </w:rPr>
        <w:t>[2]</w:t>
      </w:r>
      <w:r w:rsidR="005634D6">
        <w:rPr>
          <w:lang w:val="en-GB"/>
        </w:rPr>
        <w:fldChar w:fldCharType="end"/>
      </w:r>
      <w:r w:rsidRPr="00E20701">
        <w:rPr>
          <w:lang w:val="en-GB"/>
        </w:rPr>
        <w:t>, p. 18f</w:t>
      </w:r>
    </w:p>
    <w:p w:rsidR="00A33C9F" w:rsidRPr="00E20701" w:rsidRDefault="00A33C9F" w:rsidP="00E62976">
      <w:pPr>
        <w:numPr>
          <w:ilvl w:val="0"/>
          <w:numId w:val="11"/>
        </w:numPr>
        <w:rPr>
          <w:lang w:val="en-GB"/>
        </w:rPr>
      </w:pPr>
      <w:r w:rsidRPr="00E20701">
        <w:rPr>
          <w:lang w:val="en-GB"/>
        </w:rPr>
        <w:t xml:space="preserve">“All foreseeable internal hazards and external hazards, including the potential for human induced events directly or indirectly to affect the safety of the nuclear power plant, shall be evaluated. Hazards shall be considered for the determination of the postulated initiating events and generated loadings for use in the design of relevant items important to safety for the plant.” </w:t>
      </w:r>
      <w:r w:rsidR="00D00940">
        <w:rPr>
          <w:lang w:val="en-GB"/>
        </w:rPr>
        <w:fldChar w:fldCharType="begin"/>
      </w:r>
      <w:r w:rsidR="00D00940">
        <w:rPr>
          <w:lang w:val="en-GB"/>
        </w:rPr>
        <w:instrText xml:space="preserve"> REF _Ref443294889 \w \h </w:instrText>
      </w:r>
      <w:r w:rsidR="00D00940">
        <w:rPr>
          <w:lang w:val="en-GB"/>
        </w:rPr>
      </w:r>
      <w:r w:rsidR="00D00940">
        <w:rPr>
          <w:lang w:val="en-GB"/>
        </w:rPr>
        <w:fldChar w:fldCharType="separate"/>
      </w:r>
      <w:r w:rsidR="00E62976">
        <w:rPr>
          <w:lang w:val="en-GB"/>
        </w:rPr>
        <w:t>[2]</w:t>
      </w:r>
      <w:r w:rsidR="00D00940">
        <w:rPr>
          <w:lang w:val="en-GB"/>
        </w:rPr>
        <w:fldChar w:fldCharType="end"/>
      </w:r>
      <w:r w:rsidRPr="00E20701">
        <w:rPr>
          <w:lang w:val="en-GB"/>
        </w:rPr>
        <w:t>, p. 20f</w:t>
      </w:r>
    </w:p>
    <w:p w:rsidR="00A33C9F" w:rsidRPr="00E20701" w:rsidRDefault="00A33C9F" w:rsidP="00A33C9F">
      <w:pPr>
        <w:rPr>
          <w:lang w:val="en-GB"/>
        </w:rPr>
      </w:pPr>
      <w:r w:rsidRPr="00E20701">
        <w:rPr>
          <w:lang w:val="en-GB"/>
        </w:rPr>
        <w:t xml:space="preserve">In particular, SSR-2/1 calls for using engineering judgement and deterministic as well as probabilistic safety analysis for identifying initiating events, taking into account failures of SSCs, human error, and hazard impacts for all operating states. With respect to hazards identification, NS-R-3 defines general requirements on the scope of external events analysis </w:t>
      </w:r>
      <w:r w:rsidR="005634D6">
        <w:rPr>
          <w:lang w:val="en-GB"/>
        </w:rPr>
        <w:fldChar w:fldCharType="begin"/>
      </w:r>
      <w:r w:rsidR="005634D6">
        <w:rPr>
          <w:lang w:val="en-GB"/>
        </w:rPr>
        <w:instrText xml:space="preserve"> REF _Ref384898641 \w \h </w:instrText>
      </w:r>
      <w:r w:rsidR="005634D6">
        <w:rPr>
          <w:lang w:val="en-GB"/>
        </w:rPr>
      </w:r>
      <w:r w:rsidR="005634D6">
        <w:rPr>
          <w:lang w:val="en-GB"/>
        </w:rPr>
        <w:fldChar w:fldCharType="separate"/>
      </w:r>
      <w:r w:rsidR="00E62976">
        <w:rPr>
          <w:lang w:val="en-GB"/>
        </w:rPr>
        <w:t>[20]</w:t>
      </w:r>
      <w:r w:rsidR="005634D6">
        <w:rPr>
          <w:lang w:val="en-GB"/>
        </w:rPr>
        <w:fldChar w:fldCharType="end"/>
      </w:r>
      <w:r w:rsidRPr="00E20701">
        <w:rPr>
          <w:lang w:val="en-GB"/>
        </w:rPr>
        <w:t xml:space="preserve">, p. 10ff, which shall extend at least to earthquake and surface faulting, meteorological events, flooding, geotechnical hazards, and external human-induced events. For other potential events, historical data shall be investigated and applicability assessments shall be performed. </w:t>
      </w:r>
    </w:p>
    <w:p w:rsidR="00A33C9F" w:rsidRPr="00E20701" w:rsidRDefault="00A33C9F" w:rsidP="00A33C9F">
      <w:pPr>
        <w:rPr>
          <w:lang w:val="en-GB"/>
        </w:rPr>
      </w:pPr>
    </w:p>
    <w:p w:rsidR="00A33C9F" w:rsidRPr="00E20701" w:rsidRDefault="00A33C9F" w:rsidP="00A33C9F">
      <w:pPr>
        <w:rPr>
          <w:lang w:val="en-GB"/>
        </w:rPr>
      </w:pPr>
      <w:r w:rsidRPr="00E20701">
        <w:rPr>
          <w:lang w:val="en-GB"/>
        </w:rPr>
        <w:t xml:space="preserve">IAEA SSG-2 </w:t>
      </w:r>
      <w:r w:rsidR="00125AF4" w:rsidRPr="00FA7763">
        <w:rPr>
          <w:lang w:val="en-GB"/>
        </w:rPr>
        <w:fldChar w:fldCharType="begin"/>
      </w:r>
      <w:r w:rsidRPr="00E20701">
        <w:rPr>
          <w:lang w:val="en-GB"/>
        </w:rPr>
        <w:instrText xml:space="preserve"> REF _Ref384387949 \r \h </w:instrText>
      </w:r>
      <w:r w:rsidR="00125AF4" w:rsidRPr="00FA7763">
        <w:rPr>
          <w:lang w:val="en-GB"/>
        </w:rPr>
      </w:r>
      <w:r w:rsidR="00125AF4" w:rsidRPr="00FA7763">
        <w:rPr>
          <w:lang w:val="en-GB"/>
        </w:rPr>
        <w:fldChar w:fldCharType="separate"/>
      </w:r>
      <w:r w:rsidR="00E62976">
        <w:rPr>
          <w:lang w:val="en-GB"/>
        </w:rPr>
        <w:t>[3]</w:t>
      </w:r>
      <w:r w:rsidR="00125AF4" w:rsidRPr="00FA7763">
        <w:rPr>
          <w:lang w:val="en-GB"/>
        </w:rPr>
        <w:fldChar w:fldCharType="end"/>
      </w:r>
      <w:r w:rsidRPr="00E20701">
        <w:rPr>
          <w:lang w:val="en-GB"/>
        </w:rPr>
        <w:t xml:space="preserve"> gives more guidance on the identification of postulated initiating events. In particular, SSG-2 explains that postulated initiating events should be assigned to the categories of anticipated operational occurrences, design basis accident conditions or beyond design basis accident conditions. The assignment to these different categories should be done based on deterministic (fulfilment of safety criteria) as well as probabilistic (expected frequency of occurrence) considerations. A </w:t>
      </w:r>
      <w:r w:rsidRPr="00875488">
        <w:rPr>
          <w:lang w:val="en-GB"/>
        </w:rPr>
        <w:t xml:space="preserve">summary is shown in </w:t>
      </w:r>
      <w:r w:rsidR="00D00940">
        <w:rPr>
          <w:lang w:val="en-GB"/>
        </w:rPr>
        <w:fldChar w:fldCharType="begin"/>
      </w:r>
      <w:r w:rsidR="00D00940">
        <w:rPr>
          <w:lang w:val="en-GB"/>
        </w:rPr>
        <w:instrText xml:space="preserve"> REF _Ref444884295 \h </w:instrText>
      </w:r>
      <w:r w:rsidR="00D00940">
        <w:rPr>
          <w:lang w:val="en-GB"/>
        </w:rPr>
      </w:r>
      <w:r w:rsidR="00D00940">
        <w:rPr>
          <w:lang w:val="en-GB"/>
        </w:rPr>
        <w:fldChar w:fldCharType="separate"/>
      </w:r>
      <w:r w:rsidR="00E62976" w:rsidRPr="00E20701">
        <w:rPr>
          <w:lang w:val="en-GB"/>
        </w:rPr>
        <w:t xml:space="preserve">Table </w:t>
      </w:r>
      <w:r w:rsidR="00E62976">
        <w:rPr>
          <w:noProof/>
          <w:lang w:val="en-GB"/>
        </w:rPr>
        <w:t>5</w:t>
      </w:r>
      <w:r w:rsidR="00E62976">
        <w:rPr>
          <w:lang w:val="en-GB"/>
        </w:rPr>
        <w:noBreakHyphen/>
      </w:r>
      <w:r w:rsidR="00E62976">
        <w:rPr>
          <w:noProof/>
          <w:lang w:val="en-GB"/>
        </w:rPr>
        <w:t>1</w:t>
      </w:r>
      <w:r w:rsidR="00D00940">
        <w:rPr>
          <w:lang w:val="en-GB"/>
        </w:rPr>
        <w:fldChar w:fldCharType="end"/>
      </w:r>
      <w:r w:rsidR="0086164C" w:rsidRPr="009803F6">
        <w:rPr>
          <w:noProof/>
          <w:lang w:val="en-GB"/>
        </w:rPr>
        <w:t xml:space="preserve">. </w:t>
      </w:r>
      <w:r w:rsidRPr="00875488">
        <w:rPr>
          <w:lang w:val="en-GB"/>
        </w:rPr>
        <w:t>In addition, SSG-2 recommends a categorization of postulated initiating events by their effects with relation to</w:t>
      </w:r>
      <w:r w:rsidRPr="00E20701">
        <w:rPr>
          <w:lang w:val="en-GB"/>
        </w:rPr>
        <w:t xml:space="preserve"> </w:t>
      </w:r>
      <w:r w:rsidR="008F2494" w:rsidRPr="00E20701">
        <w:rPr>
          <w:lang w:val="en-GB"/>
        </w:rPr>
        <w:t xml:space="preserve">the </w:t>
      </w:r>
      <w:r w:rsidRPr="00E20701">
        <w:rPr>
          <w:lang w:val="en-GB"/>
        </w:rPr>
        <w:t>fundamental safety functions of control of reactivity, heat removal from the fuel, and confinement of radioactive material and limitation of releases. This results in a grouping of postulated initiating events into the following categories:</w:t>
      </w:r>
    </w:p>
    <w:p w:rsidR="00A33C9F" w:rsidRPr="00E20701" w:rsidRDefault="00A33C9F" w:rsidP="00E62976">
      <w:pPr>
        <w:numPr>
          <w:ilvl w:val="0"/>
          <w:numId w:val="12"/>
        </w:numPr>
        <w:rPr>
          <w:lang w:val="en-GB"/>
        </w:rPr>
      </w:pPr>
      <w:r w:rsidRPr="00E20701">
        <w:rPr>
          <w:lang w:val="en-GB"/>
        </w:rPr>
        <w:t>“Increase or decrease of the removal of heat from the reactor coolant system;</w:t>
      </w:r>
    </w:p>
    <w:p w:rsidR="00A33C9F" w:rsidRPr="00E20701" w:rsidRDefault="00A33C9F" w:rsidP="00E62976">
      <w:pPr>
        <w:numPr>
          <w:ilvl w:val="0"/>
          <w:numId w:val="12"/>
        </w:numPr>
        <w:rPr>
          <w:lang w:val="en-GB"/>
        </w:rPr>
      </w:pPr>
      <w:r w:rsidRPr="00E20701">
        <w:rPr>
          <w:lang w:val="en-GB"/>
        </w:rPr>
        <w:t>Increase or decrease of the flow rate for the reactor coolant system;</w:t>
      </w:r>
    </w:p>
    <w:p w:rsidR="00A33C9F" w:rsidRPr="00E20701" w:rsidRDefault="00A33C9F" w:rsidP="00E62976">
      <w:pPr>
        <w:numPr>
          <w:ilvl w:val="0"/>
          <w:numId w:val="12"/>
        </w:numPr>
        <w:rPr>
          <w:lang w:val="en-GB"/>
        </w:rPr>
      </w:pPr>
      <w:r w:rsidRPr="00E20701">
        <w:rPr>
          <w:lang w:val="en-GB"/>
        </w:rPr>
        <w:t>Anomalies in reactivity and power distribution;</w:t>
      </w:r>
    </w:p>
    <w:p w:rsidR="00A33C9F" w:rsidRPr="00E20701" w:rsidRDefault="00A33C9F" w:rsidP="00E62976">
      <w:pPr>
        <w:numPr>
          <w:ilvl w:val="0"/>
          <w:numId w:val="12"/>
        </w:numPr>
        <w:rPr>
          <w:lang w:val="en-GB"/>
        </w:rPr>
      </w:pPr>
      <w:r w:rsidRPr="00E20701">
        <w:rPr>
          <w:lang w:val="en-GB"/>
        </w:rPr>
        <w:t>Increase or decrease of the reactor coolant inventory;</w:t>
      </w:r>
    </w:p>
    <w:p w:rsidR="00A33C9F" w:rsidRPr="00E20701" w:rsidRDefault="00A33C9F" w:rsidP="00E62976">
      <w:pPr>
        <w:numPr>
          <w:ilvl w:val="0"/>
          <w:numId w:val="12"/>
        </w:numPr>
        <w:rPr>
          <w:lang w:val="en-GB"/>
        </w:rPr>
      </w:pPr>
      <w:r w:rsidRPr="00E20701">
        <w:rPr>
          <w:lang w:val="en-GB"/>
        </w:rPr>
        <w:t xml:space="preserve">Release of radioactive material from a subsystem or component.” </w:t>
      </w:r>
      <w:r w:rsidR="00125AF4" w:rsidRPr="00FA7763">
        <w:rPr>
          <w:lang w:val="en-GB"/>
        </w:rPr>
        <w:fldChar w:fldCharType="begin"/>
      </w:r>
      <w:r w:rsidRPr="00E20701">
        <w:rPr>
          <w:lang w:val="en-GB"/>
        </w:rPr>
        <w:instrText xml:space="preserve"> REF _Ref384387949 \r \h </w:instrText>
      </w:r>
      <w:r w:rsidR="00125AF4" w:rsidRPr="00FA7763">
        <w:rPr>
          <w:lang w:val="en-GB"/>
        </w:rPr>
      </w:r>
      <w:r w:rsidR="00125AF4" w:rsidRPr="00FA7763">
        <w:rPr>
          <w:lang w:val="en-GB"/>
        </w:rPr>
        <w:fldChar w:fldCharType="separate"/>
      </w:r>
      <w:r w:rsidR="00E62976">
        <w:rPr>
          <w:lang w:val="en-GB"/>
        </w:rPr>
        <w:t>[3]</w:t>
      </w:r>
      <w:r w:rsidR="00125AF4" w:rsidRPr="00FA7763">
        <w:rPr>
          <w:lang w:val="en-GB"/>
        </w:rPr>
        <w:fldChar w:fldCharType="end"/>
      </w:r>
      <w:r w:rsidRPr="00E20701">
        <w:rPr>
          <w:lang w:val="en-GB"/>
        </w:rPr>
        <w:t>, p. 6</w:t>
      </w:r>
    </w:p>
    <w:p w:rsidR="00A33C9F" w:rsidRPr="00E20701" w:rsidRDefault="00A33C9F" w:rsidP="00A33C9F">
      <w:pPr>
        <w:rPr>
          <w:lang w:val="en-GB"/>
        </w:rPr>
      </w:pPr>
      <w:r w:rsidRPr="00E20701">
        <w:rPr>
          <w:lang w:val="en-GB"/>
        </w:rPr>
        <w:t xml:space="preserve">This classification should be used as a starting point of a top-down analysis for determining potential initiating events by systematically searching for events which could lead to the respective events. </w:t>
      </w:r>
    </w:p>
    <w:p w:rsidR="00A33C9F" w:rsidRPr="00E20701" w:rsidRDefault="00A33C9F" w:rsidP="00A33C9F">
      <w:pPr>
        <w:rPr>
          <w:lang w:val="en-GB"/>
        </w:rPr>
      </w:pPr>
    </w:p>
    <w:p w:rsidR="00A33C9F" w:rsidRPr="00E20701" w:rsidRDefault="00A33C9F" w:rsidP="00A33C9F">
      <w:pPr>
        <w:pStyle w:val="Lgende"/>
        <w:keepNext/>
        <w:rPr>
          <w:lang w:val="en-GB"/>
        </w:rPr>
      </w:pPr>
      <w:bookmarkStart w:id="391" w:name="_Ref444884295"/>
      <w:r w:rsidRPr="00E20701">
        <w:rPr>
          <w:lang w:val="en-GB"/>
        </w:rPr>
        <w:t xml:space="preserve">Table </w:t>
      </w:r>
      <w:r w:rsidR="00125AF4">
        <w:rPr>
          <w:lang w:val="en-GB"/>
        </w:rPr>
        <w:fldChar w:fldCharType="begin"/>
      </w:r>
      <w:r w:rsidR="00B855BA">
        <w:rPr>
          <w:lang w:val="en-GB"/>
        </w:rPr>
        <w:instrText xml:space="preserve"> STYLEREF 1 \s </w:instrText>
      </w:r>
      <w:r w:rsidR="00125AF4">
        <w:rPr>
          <w:lang w:val="en-GB"/>
        </w:rPr>
        <w:fldChar w:fldCharType="separate"/>
      </w:r>
      <w:r w:rsidR="00E62976">
        <w:rPr>
          <w:noProof/>
          <w:lang w:val="en-GB"/>
        </w:rPr>
        <w:t>5</w:t>
      </w:r>
      <w:r w:rsidR="00125AF4">
        <w:rPr>
          <w:lang w:val="en-GB"/>
        </w:rPr>
        <w:fldChar w:fldCharType="end"/>
      </w:r>
      <w:r w:rsidR="00B855BA">
        <w:rPr>
          <w:lang w:val="en-GB"/>
        </w:rPr>
        <w:noBreakHyphen/>
      </w:r>
      <w:r w:rsidR="00125AF4">
        <w:rPr>
          <w:lang w:val="en-GB"/>
        </w:rPr>
        <w:fldChar w:fldCharType="begin"/>
      </w:r>
      <w:r w:rsidR="00B855BA">
        <w:rPr>
          <w:lang w:val="en-GB"/>
        </w:rPr>
        <w:instrText xml:space="preserve"> SEQ Table \* ARABIC \s 1 </w:instrText>
      </w:r>
      <w:r w:rsidR="00125AF4">
        <w:rPr>
          <w:lang w:val="en-GB"/>
        </w:rPr>
        <w:fldChar w:fldCharType="separate"/>
      </w:r>
      <w:r w:rsidR="00E62976">
        <w:rPr>
          <w:noProof/>
          <w:lang w:val="en-GB"/>
        </w:rPr>
        <w:t>1</w:t>
      </w:r>
      <w:r w:rsidR="00125AF4">
        <w:rPr>
          <w:lang w:val="en-GB"/>
        </w:rPr>
        <w:fldChar w:fldCharType="end"/>
      </w:r>
      <w:bookmarkEnd w:id="391"/>
      <w:r w:rsidRPr="00E20701">
        <w:rPr>
          <w:lang w:val="en-GB"/>
        </w:rPr>
        <w:t xml:space="preserve"> </w:t>
      </w:r>
      <w:r w:rsidRPr="00E20701">
        <w:rPr>
          <w:lang w:val="en-GB"/>
        </w:rPr>
        <w:tab/>
        <w:t xml:space="preserve">Subdivision of postulated initiating events according to SSG-2, </w:t>
      </w:r>
      <w:r w:rsidR="00125AF4" w:rsidRPr="00FA7763">
        <w:rPr>
          <w:lang w:val="en-GB"/>
        </w:rPr>
        <w:fldChar w:fldCharType="begin"/>
      </w:r>
      <w:r w:rsidRPr="00E20701">
        <w:rPr>
          <w:lang w:val="en-GB"/>
        </w:rPr>
        <w:instrText xml:space="preserve"> REF _Ref384387949 \r \h </w:instrText>
      </w:r>
      <w:r w:rsidR="00125AF4" w:rsidRPr="00FA7763">
        <w:rPr>
          <w:lang w:val="en-GB"/>
        </w:rPr>
      </w:r>
      <w:r w:rsidR="00125AF4" w:rsidRPr="00FA7763">
        <w:rPr>
          <w:lang w:val="en-GB"/>
        </w:rPr>
        <w:fldChar w:fldCharType="separate"/>
      </w:r>
      <w:r w:rsidR="00E62976">
        <w:rPr>
          <w:lang w:val="en-GB"/>
        </w:rPr>
        <w:t>[3]</w:t>
      </w:r>
      <w:r w:rsidR="00125AF4" w:rsidRPr="00FA7763">
        <w:rPr>
          <w:lang w:val="en-GB"/>
        </w:rPr>
        <w:fldChar w:fldCharType="end"/>
      </w:r>
      <w:r w:rsidRPr="00E20701">
        <w:rPr>
          <w:lang w:val="en-GB"/>
        </w:rPr>
        <w:t>, p. 8</w:t>
      </w:r>
    </w:p>
    <w:p w:rsidR="00A33C9F" w:rsidRPr="00E20701" w:rsidRDefault="00D6282B" w:rsidP="001B7918">
      <w:pPr>
        <w:jc w:val="center"/>
        <w:rPr>
          <w:lang w:val="en-GB"/>
        </w:rPr>
      </w:pPr>
      <w:r w:rsidRPr="00FA7763">
        <w:rPr>
          <w:noProof/>
        </w:rPr>
        <w:drawing>
          <wp:inline distT="0" distB="0" distL="0" distR="0" wp14:anchorId="6D1D0731" wp14:editId="0DA9D957">
            <wp:extent cx="4285615" cy="3514725"/>
            <wp:effectExtent l="0" t="0" r="635" b="9525"/>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1" cstate="print">
                      <a:extLst>
                        <a:ext uri="{28A0092B-C50C-407E-A947-70E740481C1C}">
                          <a14:useLocalDpi xmlns:a14="http://schemas.microsoft.com/office/drawing/2010/main" val="0"/>
                        </a:ext>
                      </a:extLst>
                    </a:blip>
                    <a:srcRect l="36940" t="17775" r="9247" b="8757"/>
                    <a:stretch>
                      <a:fillRect/>
                    </a:stretch>
                  </pic:blipFill>
                  <pic:spPr bwMode="auto">
                    <a:xfrm>
                      <a:off x="0" y="0"/>
                      <a:ext cx="4285615" cy="3514725"/>
                    </a:xfrm>
                    <a:prstGeom prst="rect">
                      <a:avLst/>
                    </a:prstGeom>
                    <a:noFill/>
                    <a:ln>
                      <a:noFill/>
                    </a:ln>
                  </pic:spPr>
                </pic:pic>
              </a:graphicData>
            </a:graphic>
          </wp:inline>
        </w:drawing>
      </w:r>
    </w:p>
    <w:p w:rsidR="00A33C9F" w:rsidRPr="00E20701" w:rsidRDefault="00A33C9F" w:rsidP="00A33C9F">
      <w:pPr>
        <w:rPr>
          <w:lang w:val="en-GB"/>
        </w:rPr>
      </w:pPr>
    </w:p>
    <w:p w:rsidR="00C45AD0" w:rsidRPr="00C45AD0" w:rsidRDefault="00C45AD0" w:rsidP="00C45AD0">
      <w:pPr>
        <w:pStyle w:val="Titre4"/>
        <w:rPr>
          <w:lang w:val="en-GB"/>
        </w:rPr>
      </w:pPr>
      <w:bookmarkStart w:id="392" w:name="_Ref445057825"/>
      <w:r>
        <w:rPr>
          <w:lang w:val="en-GB"/>
        </w:rPr>
        <w:t>IE for PSA</w:t>
      </w:r>
      <w:bookmarkEnd w:id="392"/>
    </w:p>
    <w:p w:rsidR="00C45AD0" w:rsidRDefault="00C45AD0" w:rsidP="00A33C9F">
      <w:pPr>
        <w:rPr>
          <w:lang w:val="en-GB"/>
        </w:rPr>
      </w:pPr>
    </w:p>
    <w:p w:rsidR="00A33C9F" w:rsidRPr="00E20701" w:rsidRDefault="00A33C9F" w:rsidP="00A33C9F">
      <w:pPr>
        <w:rPr>
          <w:lang w:val="en-GB"/>
        </w:rPr>
      </w:pPr>
      <w:r w:rsidRPr="00E20701">
        <w:rPr>
          <w:lang w:val="en-GB"/>
        </w:rPr>
        <w:t xml:space="preserve">SSG-3 gives recommendations for the determination of initiating events for the purpose of PSA (level 1) </w:t>
      </w:r>
      <w:r w:rsidR="00125AF4" w:rsidRPr="00FA7763">
        <w:rPr>
          <w:lang w:val="en-GB"/>
        </w:rPr>
        <w:fldChar w:fldCharType="begin"/>
      </w:r>
      <w:r w:rsidRPr="00E20701">
        <w:rPr>
          <w:lang w:val="en-GB"/>
        </w:rPr>
        <w:instrText xml:space="preserve"> REF _Ref384386913 \r \h </w:instrText>
      </w:r>
      <w:r w:rsidR="00125AF4" w:rsidRPr="00FA7763">
        <w:rPr>
          <w:lang w:val="en-GB"/>
        </w:rPr>
      </w:r>
      <w:r w:rsidR="00125AF4" w:rsidRPr="00FA7763">
        <w:rPr>
          <w:lang w:val="en-GB"/>
        </w:rPr>
        <w:fldChar w:fldCharType="separate"/>
      </w:r>
      <w:r w:rsidR="00E62976">
        <w:rPr>
          <w:lang w:val="en-GB"/>
        </w:rPr>
        <w:t>[4]</w:t>
      </w:r>
      <w:r w:rsidR="00125AF4" w:rsidRPr="00FA7763">
        <w:rPr>
          <w:lang w:val="en-GB"/>
        </w:rPr>
        <w:fldChar w:fldCharType="end"/>
      </w:r>
      <w:r w:rsidRPr="00E20701">
        <w:rPr>
          <w:lang w:val="en-GB"/>
        </w:rPr>
        <w:t xml:space="preserve">. In particular, SSG-3 points out that different tools and approaches should be used for the identification of initiating events. SSG-3 specifically mentions </w:t>
      </w:r>
      <w:r w:rsidR="00125AF4" w:rsidRPr="00FA7763">
        <w:rPr>
          <w:lang w:val="en-GB"/>
        </w:rPr>
        <w:fldChar w:fldCharType="begin"/>
      </w:r>
      <w:r w:rsidRPr="00E20701">
        <w:rPr>
          <w:lang w:val="en-GB"/>
        </w:rPr>
        <w:instrText xml:space="preserve"> REF _Ref384386913 \r \h </w:instrText>
      </w:r>
      <w:r w:rsidR="00125AF4" w:rsidRPr="00FA7763">
        <w:rPr>
          <w:lang w:val="en-GB"/>
        </w:rPr>
      </w:r>
      <w:r w:rsidR="00125AF4" w:rsidRPr="00FA7763">
        <w:rPr>
          <w:lang w:val="en-GB"/>
        </w:rPr>
        <w:fldChar w:fldCharType="separate"/>
      </w:r>
      <w:r w:rsidR="00E62976">
        <w:rPr>
          <w:lang w:val="en-GB"/>
        </w:rPr>
        <w:t>[4]</w:t>
      </w:r>
      <w:r w:rsidR="00125AF4" w:rsidRPr="00FA7763">
        <w:rPr>
          <w:lang w:val="en-GB"/>
        </w:rPr>
        <w:fldChar w:fldCharType="end"/>
      </w:r>
      <w:r w:rsidRPr="00E20701">
        <w:rPr>
          <w:lang w:val="en-GB"/>
        </w:rPr>
        <w:t>, p. 26,</w:t>
      </w:r>
    </w:p>
    <w:p w:rsidR="00A33C9F" w:rsidRPr="00E20701" w:rsidRDefault="00A33C9F" w:rsidP="00E62976">
      <w:pPr>
        <w:numPr>
          <w:ilvl w:val="0"/>
          <w:numId w:val="13"/>
        </w:numPr>
        <w:rPr>
          <w:lang w:val="en-GB"/>
        </w:rPr>
      </w:pPr>
      <w:r w:rsidRPr="00E20701">
        <w:rPr>
          <w:lang w:val="en-GB"/>
        </w:rPr>
        <w:t xml:space="preserve">Bottom-up analysis approaches like hazard and operability (HAZOP) studies (cf. e.g. </w:t>
      </w:r>
      <w:r w:rsidR="00A119E4">
        <w:rPr>
          <w:lang w:val="en-GB"/>
        </w:rPr>
        <w:fldChar w:fldCharType="begin"/>
      </w:r>
      <w:r w:rsidR="00A119E4">
        <w:rPr>
          <w:lang w:val="en-GB"/>
        </w:rPr>
        <w:instrText xml:space="preserve"> REF _Ref384823509 \w \h </w:instrText>
      </w:r>
      <w:r w:rsidR="00A119E4">
        <w:rPr>
          <w:lang w:val="en-GB"/>
        </w:rPr>
      </w:r>
      <w:r w:rsidR="00A119E4">
        <w:rPr>
          <w:lang w:val="en-GB"/>
        </w:rPr>
        <w:fldChar w:fldCharType="separate"/>
      </w:r>
      <w:r w:rsidR="00E62976">
        <w:rPr>
          <w:lang w:val="en-GB"/>
        </w:rPr>
        <w:t>[17]</w:t>
      </w:r>
      <w:r w:rsidR="00A119E4">
        <w:rPr>
          <w:lang w:val="en-GB"/>
        </w:rPr>
        <w:fldChar w:fldCharType="end"/>
      </w:r>
      <w:r w:rsidRPr="00E20701">
        <w:rPr>
          <w:lang w:val="en-GB"/>
        </w:rPr>
        <w:t xml:space="preserve">) or failure mode and effects analysis (FMEA – cf. e.g. </w:t>
      </w:r>
      <w:r w:rsidR="00A119E4">
        <w:rPr>
          <w:lang w:val="en-GB"/>
        </w:rPr>
        <w:fldChar w:fldCharType="begin"/>
      </w:r>
      <w:r w:rsidR="00A119E4">
        <w:rPr>
          <w:lang w:val="en-GB"/>
        </w:rPr>
        <w:instrText xml:space="preserve"> REF _Ref384823545 \w \h </w:instrText>
      </w:r>
      <w:r w:rsidR="00A119E4">
        <w:rPr>
          <w:lang w:val="en-GB"/>
        </w:rPr>
      </w:r>
      <w:r w:rsidR="00A119E4">
        <w:rPr>
          <w:lang w:val="en-GB"/>
        </w:rPr>
        <w:fldChar w:fldCharType="separate"/>
      </w:r>
      <w:r w:rsidR="00E62976">
        <w:rPr>
          <w:lang w:val="en-GB"/>
        </w:rPr>
        <w:t>[18]</w:t>
      </w:r>
      <w:r w:rsidR="00A119E4">
        <w:rPr>
          <w:lang w:val="en-GB"/>
        </w:rPr>
        <w:fldChar w:fldCharType="end"/>
      </w:r>
      <w:r w:rsidRPr="00E20701">
        <w:rPr>
          <w:lang w:val="en-GB"/>
        </w:rPr>
        <w:t>), which should be systematically employed for all front line operating and stand-by systems as well as support systems;</w:t>
      </w:r>
    </w:p>
    <w:p w:rsidR="00A33C9F" w:rsidRPr="00E20701" w:rsidRDefault="00A33C9F" w:rsidP="00E62976">
      <w:pPr>
        <w:numPr>
          <w:ilvl w:val="0"/>
          <w:numId w:val="13"/>
        </w:numPr>
        <w:rPr>
          <w:lang w:val="en-GB"/>
        </w:rPr>
      </w:pPr>
      <w:r w:rsidRPr="00E20701">
        <w:rPr>
          <w:lang w:val="en-GB"/>
        </w:rPr>
        <w:t xml:space="preserve">Top-down analysis, e.g. master logic diagrams (cf. e.g. </w:t>
      </w:r>
      <w:r w:rsidR="00A72107">
        <w:fldChar w:fldCharType="begin"/>
      </w:r>
      <w:r w:rsidR="00A72107" w:rsidRPr="005634D6">
        <w:rPr>
          <w:lang w:val="en-US"/>
        </w:rPr>
        <w:instrText xml:space="preserve"> REF _Ref384826455 \r \h  \* MERGEFORMAT </w:instrText>
      </w:r>
      <w:r w:rsidR="00A72107">
        <w:fldChar w:fldCharType="separate"/>
      </w:r>
      <w:r w:rsidR="00E62976" w:rsidRPr="00E62976">
        <w:rPr>
          <w:lang w:val="en-GB"/>
        </w:rPr>
        <w:t>[7]</w:t>
      </w:r>
      <w:r w:rsidR="00A72107">
        <w:fldChar w:fldCharType="end"/>
      </w:r>
      <w:r w:rsidRPr="00E20701">
        <w:rPr>
          <w:lang w:val="en-GB"/>
        </w:rPr>
        <w:t>) , for identifying failures leading to challenges of normal operation;</w:t>
      </w:r>
    </w:p>
    <w:p w:rsidR="00A33C9F" w:rsidRPr="00E20701" w:rsidRDefault="00A33C9F" w:rsidP="00E62976">
      <w:pPr>
        <w:numPr>
          <w:ilvl w:val="0"/>
          <w:numId w:val="13"/>
        </w:numPr>
        <w:rPr>
          <w:lang w:val="en-GB"/>
        </w:rPr>
      </w:pPr>
      <w:r w:rsidRPr="00E20701">
        <w:rPr>
          <w:lang w:val="en-GB"/>
        </w:rPr>
        <w:t>List of initiating events, either from other existing PSA or in standards and guides (including regulation on deterministic safety assessment);</w:t>
      </w:r>
    </w:p>
    <w:p w:rsidR="00A33C9F" w:rsidRPr="00E20701" w:rsidRDefault="00A33C9F" w:rsidP="00E62976">
      <w:pPr>
        <w:numPr>
          <w:ilvl w:val="0"/>
          <w:numId w:val="13"/>
        </w:numPr>
        <w:rPr>
          <w:lang w:val="en-GB"/>
        </w:rPr>
      </w:pPr>
      <w:r w:rsidRPr="00E20701">
        <w:rPr>
          <w:lang w:val="en-GB"/>
        </w:rPr>
        <w:t>Evaluation of operating experience events that have challenged normal operation;</w:t>
      </w:r>
    </w:p>
    <w:p w:rsidR="00A33C9F" w:rsidRPr="00E20701" w:rsidRDefault="00A33C9F" w:rsidP="00E62976">
      <w:pPr>
        <w:numPr>
          <w:ilvl w:val="0"/>
          <w:numId w:val="13"/>
        </w:numPr>
        <w:rPr>
          <w:lang w:val="en-GB"/>
        </w:rPr>
      </w:pPr>
      <w:r w:rsidRPr="00E20701">
        <w:rPr>
          <w:lang w:val="en-GB"/>
        </w:rPr>
        <w:t>Evaluation of the plant safety analysis report and other deterministic analyses on design and beyond design basis accidents.</w:t>
      </w:r>
    </w:p>
    <w:p w:rsidR="00A33C9F" w:rsidRPr="00E20701" w:rsidRDefault="00A33C9F" w:rsidP="00A33C9F">
      <w:pPr>
        <w:rPr>
          <w:lang w:val="en-GB"/>
        </w:rPr>
      </w:pPr>
    </w:p>
    <w:p w:rsidR="00A33C9F" w:rsidRPr="00E20701" w:rsidRDefault="00A33C9F" w:rsidP="00A33C9F">
      <w:pPr>
        <w:rPr>
          <w:lang w:val="en-GB"/>
        </w:rPr>
      </w:pPr>
      <w:r w:rsidRPr="00E20701">
        <w:rPr>
          <w:lang w:val="en-GB"/>
        </w:rPr>
        <w:t>By using different, proven methodological approaches, the identification process for initiating events should be as comprehensive as possible. Notably, SSG-3 does not explicitly recommend investigating potential combinations</w:t>
      </w:r>
      <w:r w:rsidR="00273113">
        <w:rPr>
          <w:lang w:val="en-GB"/>
        </w:rPr>
        <w:t xml:space="preserve"> of different initiating events</w:t>
      </w:r>
      <w:r w:rsidRPr="00E20701">
        <w:rPr>
          <w:lang w:val="en-GB"/>
        </w:rPr>
        <w:t xml:space="preserve"> in light of potential dependencies between these events. This is, however, mentioned for new reactor designs </w:t>
      </w:r>
      <w:r w:rsidR="00125AF4" w:rsidRPr="00FA7763">
        <w:rPr>
          <w:lang w:val="en-GB"/>
        </w:rPr>
        <w:fldChar w:fldCharType="begin"/>
      </w:r>
      <w:r w:rsidRPr="00E20701">
        <w:rPr>
          <w:lang w:val="en-GB"/>
        </w:rPr>
        <w:instrText xml:space="preserve"> REF _Ref384386913 \r \h </w:instrText>
      </w:r>
      <w:r w:rsidR="00125AF4" w:rsidRPr="00FA7763">
        <w:rPr>
          <w:lang w:val="en-GB"/>
        </w:rPr>
      </w:r>
      <w:r w:rsidR="00125AF4" w:rsidRPr="00FA7763">
        <w:rPr>
          <w:lang w:val="en-GB"/>
        </w:rPr>
        <w:fldChar w:fldCharType="separate"/>
      </w:r>
      <w:r w:rsidR="00E62976">
        <w:rPr>
          <w:lang w:val="en-GB"/>
        </w:rPr>
        <w:t>[4]</w:t>
      </w:r>
      <w:r w:rsidR="00125AF4" w:rsidRPr="00FA7763">
        <w:rPr>
          <w:lang w:val="en-GB"/>
        </w:rPr>
        <w:fldChar w:fldCharType="end"/>
      </w:r>
      <w:r w:rsidRPr="00E20701">
        <w:rPr>
          <w:lang w:val="en-GB"/>
        </w:rPr>
        <w:t>, p. 26. In addition, consequential failures or secondary effects of an initiating event s</w:t>
      </w:r>
      <w:r w:rsidR="00770BC1">
        <w:rPr>
          <w:lang w:val="en-GB"/>
        </w:rPr>
        <w:t>hould be taken into account (see</w:t>
      </w:r>
      <w:r w:rsidRPr="00E20701">
        <w:rPr>
          <w:lang w:val="en-GB"/>
        </w:rPr>
        <w:t xml:space="preserve"> e.g. </w:t>
      </w:r>
      <w:r w:rsidR="009F51EF">
        <w:rPr>
          <w:lang w:val="en-GB"/>
        </w:rPr>
        <w:fldChar w:fldCharType="begin"/>
      </w:r>
      <w:r w:rsidR="009F51EF">
        <w:rPr>
          <w:lang w:val="en-GB"/>
        </w:rPr>
        <w:instrText xml:space="preserve"> REF _Ref384902149 \w \h </w:instrText>
      </w:r>
      <w:r w:rsidR="009F51EF">
        <w:rPr>
          <w:lang w:val="en-GB"/>
        </w:rPr>
      </w:r>
      <w:r w:rsidR="009F51EF">
        <w:rPr>
          <w:lang w:val="en-GB"/>
        </w:rPr>
        <w:fldChar w:fldCharType="separate"/>
      </w:r>
      <w:r w:rsidR="00E62976">
        <w:rPr>
          <w:lang w:val="en-GB"/>
        </w:rPr>
        <w:t>[24]</w:t>
      </w:r>
      <w:r w:rsidR="009F51EF">
        <w:rPr>
          <w:lang w:val="en-GB"/>
        </w:rPr>
        <w:fldChar w:fldCharType="end"/>
      </w:r>
      <w:r w:rsidRPr="00E20701">
        <w:rPr>
          <w:lang w:val="en-GB"/>
        </w:rPr>
        <w:t xml:space="preserve">, p. 7, in light of internal hazards). For multi-unit sites, attention should be paid to event scenarios that affect more than one of the units, and to initiating events triggered by events or accident sequences in another unit </w:t>
      </w:r>
      <w:r w:rsidR="00125AF4" w:rsidRPr="00FA7763">
        <w:rPr>
          <w:lang w:val="en-GB"/>
        </w:rPr>
        <w:fldChar w:fldCharType="begin"/>
      </w:r>
      <w:r w:rsidRPr="00E20701">
        <w:rPr>
          <w:lang w:val="en-GB"/>
        </w:rPr>
        <w:instrText xml:space="preserve"> REF _Ref384386913 \r \h </w:instrText>
      </w:r>
      <w:r w:rsidR="00125AF4" w:rsidRPr="00FA7763">
        <w:rPr>
          <w:lang w:val="en-GB"/>
        </w:rPr>
      </w:r>
      <w:r w:rsidR="00125AF4" w:rsidRPr="00FA7763">
        <w:rPr>
          <w:lang w:val="en-GB"/>
        </w:rPr>
        <w:fldChar w:fldCharType="separate"/>
      </w:r>
      <w:r w:rsidR="00E62976">
        <w:rPr>
          <w:lang w:val="en-GB"/>
        </w:rPr>
        <w:t>[4]</w:t>
      </w:r>
      <w:r w:rsidR="00125AF4" w:rsidRPr="00FA7763">
        <w:rPr>
          <w:lang w:val="en-GB"/>
        </w:rPr>
        <w:fldChar w:fldCharType="end"/>
      </w:r>
      <w:r w:rsidRPr="00E20701">
        <w:rPr>
          <w:lang w:val="en-GB"/>
        </w:rPr>
        <w:t>, p. 27.</w:t>
      </w:r>
    </w:p>
    <w:p w:rsidR="00A33C9F" w:rsidRPr="00E20701" w:rsidRDefault="00A33C9F" w:rsidP="00A33C9F">
      <w:pPr>
        <w:rPr>
          <w:lang w:val="en-GB"/>
        </w:rPr>
      </w:pPr>
      <w:r w:rsidRPr="00E20701">
        <w:rPr>
          <w:lang w:val="en-GB"/>
        </w:rPr>
        <w:t xml:space="preserve">Conceptually, hazard events should be introduced into the safety analysis by their impact on plant systems, i.e. them triggering (postulated) initiating events. According to SSR-2/1 </w:t>
      </w:r>
      <w:r w:rsidR="003C5A37">
        <w:rPr>
          <w:lang w:val="en-GB"/>
        </w:rPr>
        <w:fldChar w:fldCharType="begin"/>
      </w:r>
      <w:r w:rsidR="003C5A37">
        <w:rPr>
          <w:lang w:val="en-GB"/>
        </w:rPr>
        <w:instrText xml:space="preserve"> REF _Ref443294889 \w \h </w:instrText>
      </w:r>
      <w:r w:rsidR="003C5A37">
        <w:rPr>
          <w:lang w:val="en-GB"/>
        </w:rPr>
      </w:r>
      <w:r w:rsidR="003C5A37">
        <w:rPr>
          <w:lang w:val="en-GB"/>
        </w:rPr>
        <w:fldChar w:fldCharType="separate"/>
      </w:r>
      <w:r w:rsidR="00E62976">
        <w:rPr>
          <w:lang w:val="en-GB"/>
        </w:rPr>
        <w:t>[2]</w:t>
      </w:r>
      <w:r w:rsidR="003C5A37">
        <w:rPr>
          <w:lang w:val="en-GB"/>
        </w:rPr>
        <w:fldChar w:fldCharType="end"/>
      </w:r>
      <w:r w:rsidRPr="00E20701">
        <w:rPr>
          <w:lang w:val="en-GB"/>
        </w:rPr>
        <w:t>, the list of initiating events should be complemented by hazard specific events, if the existing list of internal initiating events is not representative for the respective hazard scenarios</w:t>
      </w:r>
      <w:r w:rsidR="001942DF" w:rsidRPr="00E20701">
        <w:rPr>
          <w:rStyle w:val="Appelnotedebasdep"/>
          <w:lang w:val="en-GB"/>
        </w:rPr>
        <w:footnoteReference w:id="1"/>
      </w:r>
      <w:r w:rsidRPr="00E20701">
        <w:rPr>
          <w:lang w:val="en-GB"/>
        </w:rPr>
        <w:t xml:space="preserve"> (e.g. multiple failure scenarios). </w:t>
      </w:r>
    </w:p>
    <w:p w:rsidR="00A33C9F" w:rsidRPr="00E20701" w:rsidRDefault="00A33C9F" w:rsidP="00A33C9F">
      <w:pPr>
        <w:rPr>
          <w:lang w:val="en-GB"/>
        </w:rPr>
      </w:pPr>
      <w:r w:rsidRPr="00E20701">
        <w:rPr>
          <w:lang w:val="en-GB"/>
        </w:rPr>
        <w:t xml:space="preserve">With respect to the identification of hazards for PSA, SSG-3 </w:t>
      </w:r>
      <w:r w:rsidR="00125AF4" w:rsidRPr="00FA7763">
        <w:rPr>
          <w:lang w:val="en-GB"/>
        </w:rPr>
        <w:fldChar w:fldCharType="begin"/>
      </w:r>
      <w:r w:rsidRPr="00E20701">
        <w:rPr>
          <w:lang w:val="en-GB"/>
        </w:rPr>
        <w:instrText xml:space="preserve"> REF _Ref384386913 \r \h </w:instrText>
      </w:r>
      <w:r w:rsidR="00125AF4" w:rsidRPr="00FA7763">
        <w:rPr>
          <w:lang w:val="en-GB"/>
        </w:rPr>
      </w:r>
      <w:r w:rsidR="00125AF4" w:rsidRPr="00FA7763">
        <w:rPr>
          <w:lang w:val="en-GB"/>
        </w:rPr>
        <w:fldChar w:fldCharType="separate"/>
      </w:r>
      <w:r w:rsidR="00E62976">
        <w:rPr>
          <w:lang w:val="en-GB"/>
        </w:rPr>
        <w:t>[4]</w:t>
      </w:r>
      <w:r w:rsidR="00125AF4" w:rsidRPr="00FA7763">
        <w:rPr>
          <w:lang w:val="en-GB"/>
        </w:rPr>
        <w:fldChar w:fldCharType="end"/>
      </w:r>
      <w:r w:rsidRPr="00E20701">
        <w:rPr>
          <w:lang w:val="en-GB"/>
        </w:rPr>
        <w:t xml:space="preserve"> gives further guidance. The general approach to the identification of hazards is quite similar to the approach for internal events. For both internal and external hazards, first the available relevant information on the plant and the site should be collected. Then, a comprehensive list of internal and external hazards should be produced, comprising at least internal hazards, external natural hazards and external human-induced hazards. As a starting point, SSG-3 recommends to use hazard lists in related publications and from previous (PSA) studies. In addition, SSG-3 provides a generic list of potential internal and external hazards (cf. </w:t>
      </w:r>
      <w:r w:rsidR="00125AF4" w:rsidRPr="00FA7763">
        <w:rPr>
          <w:lang w:val="en-GB"/>
        </w:rPr>
        <w:fldChar w:fldCharType="begin"/>
      </w:r>
      <w:r w:rsidRPr="00E20701">
        <w:rPr>
          <w:lang w:val="en-GB"/>
        </w:rPr>
        <w:instrText xml:space="preserve"> REF _Ref384386913 \r \h </w:instrText>
      </w:r>
      <w:r w:rsidR="00125AF4" w:rsidRPr="00FA7763">
        <w:rPr>
          <w:lang w:val="en-GB"/>
        </w:rPr>
      </w:r>
      <w:r w:rsidR="00125AF4" w:rsidRPr="00FA7763">
        <w:rPr>
          <w:lang w:val="en-GB"/>
        </w:rPr>
        <w:fldChar w:fldCharType="separate"/>
      </w:r>
      <w:r w:rsidR="00E62976">
        <w:rPr>
          <w:lang w:val="en-GB"/>
        </w:rPr>
        <w:t>[4]</w:t>
      </w:r>
      <w:r w:rsidR="00125AF4" w:rsidRPr="00FA7763">
        <w:rPr>
          <w:lang w:val="en-GB"/>
        </w:rPr>
        <w:fldChar w:fldCharType="end"/>
      </w:r>
      <w:r w:rsidRPr="00E20701">
        <w:rPr>
          <w:lang w:val="en-GB"/>
        </w:rPr>
        <w:t xml:space="preserve">, p. 155ff). Other IAEA publications on hazard analysis include </w:t>
      </w:r>
      <w:r w:rsidR="00EB39D2">
        <w:rPr>
          <w:lang w:val="en-GB"/>
        </w:rPr>
        <w:fldChar w:fldCharType="begin"/>
      </w:r>
      <w:r w:rsidR="00EB39D2">
        <w:rPr>
          <w:lang w:val="en-GB"/>
        </w:rPr>
        <w:instrText xml:space="preserve"> REF _Ref384902170 \w \h </w:instrText>
      </w:r>
      <w:r w:rsidR="00EB39D2">
        <w:rPr>
          <w:lang w:val="en-GB"/>
        </w:rPr>
      </w:r>
      <w:r w:rsidR="00EB39D2">
        <w:rPr>
          <w:lang w:val="en-GB"/>
        </w:rPr>
        <w:fldChar w:fldCharType="separate"/>
      </w:r>
      <w:r w:rsidR="00E62976">
        <w:rPr>
          <w:lang w:val="en-GB"/>
        </w:rPr>
        <w:t>[19]</w:t>
      </w:r>
      <w:r w:rsidR="00EB39D2">
        <w:rPr>
          <w:lang w:val="en-GB"/>
        </w:rPr>
        <w:fldChar w:fldCharType="end"/>
      </w:r>
      <w:r w:rsidRPr="00E20701">
        <w:rPr>
          <w:lang w:val="en-GB"/>
        </w:rPr>
        <w:t xml:space="preserve">, </w:t>
      </w:r>
      <w:r w:rsidR="00EB39D2">
        <w:rPr>
          <w:lang w:val="en-GB"/>
        </w:rPr>
        <w:fldChar w:fldCharType="begin"/>
      </w:r>
      <w:r w:rsidR="00EB39D2">
        <w:rPr>
          <w:lang w:val="en-GB"/>
        </w:rPr>
        <w:instrText xml:space="preserve"> REF _Ref384902145 \w \h </w:instrText>
      </w:r>
      <w:r w:rsidR="00EB39D2">
        <w:rPr>
          <w:lang w:val="en-GB"/>
        </w:rPr>
      </w:r>
      <w:r w:rsidR="00EB39D2">
        <w:rPr>
          <w:lang w:val="en-GB"/>
        </w:rPr>
        <w:fldChar w:fldCharType="separate"/>
      </w:r>
      <w:r w:rsidR="00E62976">
        <w:rPr>
          <w:lang w:val="en-GB"/>
        </w:rPr>
        <w:t>[22]</w:t>
      </w:r>
      <w:r w:rsidR="00EB39D2">
        <w:rPr>
          <w:lang w:val="en-GB"/>
        </w:rPr>
        <w:fldChar w:fldCharType="end"/>
      </w:r>
      <w:r w:rsidRPr="00E20701">
        <w:rPr>
          <w:lang w:val="en-GB"/>
        </w:rPr>
        <w:t xml:space="preserve">, </w:t>
      </w:r>
      <w:r w:rsidR="00EB39D2">
        <w:rPr>
          <w:lang w:val="en-GB"/>
        </w:rPr>
        <w:fldChar w:fldCharType="begin"/>
      </w:r>
      <w:r w:rsidR="00EB39D2">
        <w:rPr>
          <w:lang w:val="en-GB"/>
        </w:rPr>
        <w:instrText xml:space="preserve"> REF _Ref384902147 \w \h </w:instrText>
      </w:r>
      <w:r w:rsidR="00EB39D2">
        <w:rPr>
          <w:lang w:val="en-GB"/>
        </w:rPr>
      </w:r>
      <w:r w:rsidR="00EB39D2">
        <w:rPr>
          <w:lang w:val="en-GB"/>
        </w:rPr>
        <w:fldChar w:fldCharType="separate"/>
      </w:r>
      <w:r w:rsidR="00E62976">
        <w:rPr>
          <w:lang w:val="en-GB"/>
        </w:rPr>
        <w:t>[23]</w:t>
      </w:r>
      <w:r w:rsidR="00EB39D2">
        <w:rPr>
          <w:lang w:val="en-GB"/>
        </w:rPr>
        <w:fldChar w:fldCharType="end"/>
      </w:r>
      <w:r w:rsidRPr="00E20701">
        <w:rPr>
          <w:lang w:val="en-GB"/>
        </w:rPr>
        <w:t xml:space="preserve">, </w:t>
      </w:r>
      <w:r w:rsidR="00EB39D2">
        <w:rPr>
          <w:lang w:val="en-GB"/>
        </w:rPr>
        <w:fldChar w:fldCharType="begin"/>
      </w:r>
      <w:r w:rsidR="00EB39D2">
        <w:rPr>
          <w:lang w:val="en-GB"/>
        </w:rPr>
        <w:instrText xml:space="preserve"> REF _Ref384902149 \w \h </w:instrText>
      </w:r>
      <w:r w:rsidR="00EB39D2">
        <w:rPr>
          <w:lang w:val="en-GB"/>
        </w:rPr>
      </w:r>
      <w:r w:rsidR="00EB39D2">
        <w:rPr>
          <w:lang w:val="en-GB"/>
        </w:rPr>
        <w:fldChar w:fldCharType="separate"/>
      </w:r>
      <w:r w:rsidR="00E62976">
        <w:rPr>
          <w:lang w:val="en-GB"/>
        </w:rPr>
        <w:t>[24]</w:t>
      </w:r>
      <w:r w:rsidR="00EB39D2">
        <w:rPr>
          <w:lang w:val="en-GB"/>
        </w:rPr>
        <w:fldChar w:fldCharType="end"/>
      </w:r>
      <w:r w:rsidRPr="00E20701">
        <w:rPr>
          <w:lang w:val="en-GB"/>
        </w:rPr>
        <w:t xml:space="preserve">, </w:t>
      </w:r>
      <w:r w:rsidR="00EB39D2">
        <w:rPr>
          <w:lang w:val="en-GB"/>
        </w:rPr>
        <w:fldChar w:fldCharType="begin"/>
      </w:r>
      <w:r w:rsidR="00EB39D2">
        <w:rPr>
          <w:lang w:val="en-GB"/>
        </w:rPr>
        <w:instrText xml:space="preserve"> REF _Ref384902153 \w \h </w:instrText>
      </w:r>
      <w:r w:rsidR="00EB39D2">
        <w:rPr>
          <w:lang w:val="en-GB"/>
        </w:rPr>
      </w:r>
      <w:r w:rsidR="00EB39D2">
        <w:rPr>
          <w:lang w:val="en-GB"/>
        </w:rPr>
        <w:fldChar w:fldCharType="separate"/>
      </w:r>
      <w:r w:rsidR="00E62976">
        <w:rPr>
          <w:lang w:val="en-GB"/>
        </w:rPr>
        <w:t>[26]</w:t>
      </w:r>
      <w:r w:rsidR="00EB39D2">
        <w:rPr>
          <w:lang w:val="en-GB"/>
        </w:rPr>
        <w:fldChar w:fldCharType="end"/>
      </w:r>
      <w:r w:rsidRPr="00E20701">
        <w:rPr>
          <w:lang w:val="en-GB"/>
        </w:rPr>
        <w:t xml:space="preserve">, and </w:t>
      </w:r>
      <w:r w:rsidR="00EB39D2">
        <w:rPr>
          <w:lang w:val="en-GB"/>
        </w:rPr>
        <w:fldChar w:fldCharType="begin"/>
      </w:r>
      <w:r w:rsidR="00EB39D2">
        <w:rPr>
          <w:lang w:val="en-GB"/>
        </w:rPr>
        <w:instrText xml:space="preserve"> REF _Ref384902155 \w \h </w:instrText>
      </w:r>
      <w:r w:rsidR="00EB39D2">
        <w:rPr>
          <w:lang w:val="en-GB"/>
        </w:rPr>
      </w:r>
      <w:r w:rsidR="00EB39D2">
        <w:rPr>
          <w:lang w:val="en-GB"/>
        </w:rPr>
        <w:fldChar w:fldCharType="separate"/>
      </w:r>
      <w:r w:rsidR="00E62976">
        <w:rPr>
          <w:lang w:val="en-GB"/>
        </w:rPr>
        <w:t>[27]</w:t>
      </w:r>
      <w:r w:rsidR="00EB39D2">
        <w:rPr>
          <w:lang w:val="en-GB"/>
        </w:rPr>
        <w:fldChar w:fldCharType="end"/>
      </w:r>
      <w:r w:rsidRPr="00E20701">
        <w:rPr>
          <w:lang w:val="en-GB"/>
        </w:rPr>
        <w:t xml:space="preserve">, which give additional guidance on the scope of hazard analysis. These generic lists of hazards have to be assessed regarding applicability, relevance, and site-specific frequency of occurrence. To this end, the hazards identification has to be complemented by site and plant specific analyses </w:t>
      </w:r>
      <w:r w:rsidR="00125AF4" w:rsidRPr="00FA7763">
        <w:rPr>
          <w:lang w:val="en-GB"/>
        </w:rPr>
        <w:fldChar w:fldCharType="begin"/>
      </w:r>
      <w:r w:rsidRPr="00E20701">
        <w:rPr>
          <w:lang w:val="en-GB"/>
        </w:rPr>
        <w:instrText xml:space="preserve"> REF _Ref384386913 \r \h </w:instrText>
      </w:r>
      <w:r w:rsidR="00125AF4" w:rsidRPr="00FA7763">
        <w:rPr>
          <w:lang w:val="en-GB"/>
        </w:rPr>
      </w:r>
      <w:r w:rsidR="00125AF4" w:rsidRPr="00FA7763">
        <w:rPr>
          <w:lang w:val="en-GB"/>
        </w:rPr>
        <w:fldChar w:fldCharType="separate"/>
      </w:r>
      <w:r w:rsidR="00E62976">
        <w:rPr>
          <w:lang w:val="en-GB"/>
        </w:rPr>
        <w:t>[4]</w:t>
      </w:r>
      <w:r w:rsidR="00125AF4" w:rsidRPr="00FA7763">
        <w:rPr>
          <w:lang w:val="en-GB"/>
        </w:rPr>
        <w:fldChar w:fldCharType="end"/>
      </w:r>
      <w:r w:rsidRPr="00E20701">
        <w:rPr>
          <w:lang w:val="en-GB"/>
        </w:rPr>
        <w:t xml:space="preserve">, p. 60. </w:t>
      </w:r>
    </w:p>
    <w:p w:rsidR="00A33C9F" w:rsidRPr="00E20701" w:rsidRDefault="00A33C9F" w:rsidP="00A33C9F">
      <w:pPr>
        <w:rPr>
          <w:lang w:val="en-GB"/>
        </w:rPr>
      </w:pPr>
      <w:r w:rsidRPr="00E20701">
        <w:rPr>
          <w:lang w:val="en-GB"/>
        </w:rPr>
        <w:t xml:space="preserve">The next step in the hazard identification process consists of the analysis of combinations of hazards. First, a comprehensive list of applicable hazard combinations should be drawn up, taking into account potential dependencies between hazards. SSG-3 specifically mentions the following causes for dependence between hazards </w:t>
      </w:r>
      <w:r w:rsidR="00125AF4" w:rsidRPr="00FA7763">
        <w:rPr>
          <w:lang w:val="en-GB"/>
        </w:rPr>
        <w:fldChar w:fldCharType="begin"/>
      </w:r>
      <w:r w:rsidRPr="00E20701">
        <w:rPr>
          <w:lang w:val="en-GB"/>
        </w:rPr>
        <w:instrText xml:space="preserve"> REF _Ref384386913 \r \h </w:instrText>
      </w:r>
      <w:r w:rsidR="00125AF4" w:rsidRPr="00FA7763">
        <w:rPr>
          <w:lang w:val="en-GB"/>
        </w:rPr>
      </w:r>
      <w:r w:rsidR="00125AF4" w:rsidRPr="00FA7763">
        <w:rPr>
          <w:lang w:val="en-GB"/>
        </w:rPr>
        <w:fldChar w:fldCharType="separate"/>
      </w:r>
      <w:r w:rsidR="00E62976">
        <w:rPr>
          <w:lang w:val="en-GB"/>
        </w:rPr>
        <w:t>[4]</w:t>
      </w:r>
      <w:r w:rsidR="00125AF4" w:rsidRPr="00FA7763">
        <w:rPr>
          <w:lang w:val="en-GB"/>
        </w:rPr>
        <w:fldChar w:fldCharType="end"/>
      </w:r>
      <w:r w:rsidRPr="00E20701">
        <w:rPr>
          <w:lang w:val="en-GB"/>
        </w:rPr>
        <w:t>, p. 60f:</w:t>
      </w:r>
    </w:p>
    <w:p w:rsidR="00A33C9F" w:rsidRPr="00E20701" w:rsidRDefault="00A33C9F" w:rsidP="00E62976">
      <w:pPr>
        <w:numPr>
          <w:ilvl w:val="0"/>
          <w:numId w:val="16"/>
        </w:numPr>
        <w:rPr>
          <w:lang w:val="en-GB"/>
        </w:rPr>
      </w:pPr>
      <w:r w:rsidRPr="00E20701">
        <w:rPr>
          <w:lang w:val="en-GB"/>
        </w:rPr>
        <w:t>Common contributing factor leading to (external or internal) hazards occurring during a short time period (especially for natural hazards, e.g. weather conditions leading to high winds and strong precipitation),</w:t>
      </w:r>
    </w:p>
    <w:p w:rsidR="00A33C9F" w:rsidRPr="00E20701" w:rsidRDefault="00A33C9F" w:rsidP="00E62976">
      <w:pPr>
        <w:numPr>
          <w:ilvl w:val="0"/>
          <w:numId w:val="16"/>
        </w:numPr>
        <w:rPr>
          <w:lang w:val="en-GB"/>
        </w:rPr>
      </w:pPr>
      <w:r w:rsidRPr="00E20701">
        <w:rPr>
          <w:lang w:val="en-GB"/>
        </w:rPr>
        <w:t>Hazard events (whether external or internal) that are induced/triggered by a prior hazard event (e.g. tsunamis are often induced by strong earthquakes)</w:t>
      </w:r>
      <w:r w:rsidR="0047232A">
        <w:rPr>
          <w:lang w:val="en-GB"/>
        </w:rPr>
        <w:t>.</w:t>
      </w:r>
    </w:p>
    <w:p w:rsidR="00A33C9F" w:rsidRPr="00E20701" w:rsidRDefault="00A33C9F" w:rsidP="00A33C9F">
      <w:pPr>
        <w:rPr>
          <w:lang w:val="en-GB"/>
        </w:rPr>
      </w:pPr>
      <w:r w:rsidRPr="00E20701">
        <w:rPr>
          <w:lang w:val="en-GB"/>
        </w:rPr>
        <w:t xml:space="preserve">It should be noted that SSG-3 only discusses specific combinations of hazard events and does not specifically mention human-induced hazards. Nonetheless, there might be dependencies between human-induced hazards and specific external as well as internal hazards. Moreover, there might also be dependencies between hazard events and internal events, the most obvious example being “loss of preferred power” and a number of hazard events. </w:t>
      </w:r>
    </w:p>
    <w:p w:rsidR="00A33C9F" w:rsidRPr="00E20701" w:rsidRDefault="00A33C9F" w:rsidP="00A33C9F">
      <w:pPr>
        <w:rPr>
          <w:lang w:val="en-GB"/>
        </w:rPr>
      </w:pPr>
      <w:r w:rsidRPr="00E20701">
        <w:rPr>
          <w:lang w:val="en-GB"/>
        </w:rPr>
        <w:t xml:space="preserve">Both for internal initiating events and for hazards and the combinations thereof, the next steps are conceptually similar. First, the events have to be grouped into a number of classes. The criteria for the grouping </w:t>
      </w:r>
      <w:r w:rsidR="00125AF4" w:rsidRPr="00FA7763">
        <w:rPr>
          <w:lang w:val="en-GB"/>
        </w:rPr>
        <w:fldChar w:fldCharType="begin"/>
      </w:r>
      <w:r w:rsidRPr="00E20701">
        <w:rPr>
          <w:lang w:val="en-GB"/>
        </w:rPr>
        <w:instrText xml:space="preserve"> REF _Ref384386913 \r \h </w:instrText>
      </w:r>
      <w:r w:rsidR="00125AF4" w:rsidRPr="00FA7763">
        <w:rPr>
          <w:lang w:val="en-GB"/>
        </w:rPr>
      </w:r>
      <w:r w:rsidR="00125AF4" w:rsidRPr="00FA7763">
        <w:rPr>
          <w:lang w:val="en-GB"/>
        </w:rPr>
        <w:fldChar w:fldCharType="separate"/>
      </w:r>
      <w:r w:rsidR="00E62976">
        <w:rPr>
          <w:lang w:val="en-GB"/>
        </w:rPr>
        <w:t>[4]</w:t>
      </w:r>
      <w:r w:rsidR="00125AF4" w:rsidRPr="00FA7763">
        <w:rPr>
          <w:lang w:val="en-GB"/>
        </w:rPr>
        <w:fldChar w:fldCharType="end"/>
      </w:r>
      <w:r w:rsidRPr="00E20701">
        <w:rPr>
          <w:lang w:val="en-GB"/>
        </w:rPr>
        <w:t>, p. 30 include</w:t>
      </w:r>
      <w:r w:rsidR="00BD7E9B">
        <w:rPr>
          <w:lang w:val="en-GB"/>
        </w:rPr>
        <w:t>s</w:t>
      </w:r>
      <w:r w:rsidRPr="00E20701">
        <w:rPr>
          <w:lang w:val="en-GB"/>
        </w:rPr>
        <w:t>:</w:t>
      </w:r>
    </w:p>
    <w:p w:rsidR="00A33C9F" w:rsidRPr="00E20701" w:rsidRDefault="00A33C9F" w:rsidP="00E62976">
      <w:pPr>
        <w:numPr>
          <w:ilvl w:val="0"/>
          <w:numId w:val="14"/>
        </w:numPr>
        <w:rPr>
          <w:lang w:val="en-GB"/>
        </w:rPr>
      </w:pPr>
      <w:r w:rsidRPr="00E20701">
        <w:rPr>
          <w:lang w:val="en-GB"/>
        </w:rPr>
        <w:t>The transient response of the plant following the event,</w:t>
      </w:r>
    </w:p>
    <w:p w:rsidR="00A33C9F" w:rsidRPr="00E20701" w:rsidRDefault="00A33C9F" w:rsidP="00E62976">
      <w:pPr>
        <w:numPr>
          <w:ilvl w:val="0"/>
          <w:numId w:val="14"/>
        </w:numPr>
        <w:rPr>
          <w:lang w:val="en-GB"/>
        </w:rPr>
      </w:pPr>
      <w:r w:rsidRPr="00E20701">
        <w:rPr>
          <w:lang w:val="en-GB"/>
        </w:rPr>
        <w:t>The safety systems required for the containment of the event and the respective success criteria,</w:t>
      </w:r>
    </w:p>
    <w:p w:rsidR="00A33C9F" w:rsidRPr="00E20701" w:rsidRDefault="00A33C9F" w:rsidP="00E62976">
      <w:pPr>
        <w:numPr>
          <w:ilvl w:val="0"/>
          <w:numId w:val="14"/>
        </w:numPr>
        <w:rPr>
          <w:lang w:val="en-GB"/>
        </w:rPr>
      </w:pPr>
      <w:r w:rsidRPr="00E20701">
        <w:rPr>
          <w:lang w:val="en-GB"/>
        </w:rPr>
        <w:t>The availability and failure of safety and support systems including I&amp;C,</w:t>
      </w:r>
    </w:p>
    <w:p w:rsidR="00A33C9F" w:rsidRPr="00E20701" w:rsidRDefault="00A33C9F" w:rsidP="00E62976">
      <w:pPr>
        <w:numPr>
          <w:ilvl w:val="0"/>
          <w:numId w:val="14"/>
        </w:numPr>
        <w:rPr>
          <w:lang w:val="en-GB"/>
        </w:rPr>
      </w:pPr>
      <w:r w:rsidRPr="00E20701">
        <w:rPr>
          <w:lang w:val="en-GB"/>
        </w:rPr>
        <w:t>The secondary effects and consequential failures of the event,</w:t>
      </w:r>
    </w:p>
    <w:p w:rsidR="00A33C9F" w:rsidRPr="00E20701" w:rsidRDefault="00A33C9F" w:rsidP="00E62976">
      <w:pPr>
        <w:numPr>
          <w:ilvl w:val="0"/>
          <w:numId w:val="14"/>
        </w:numPr>
        <w:rPr>
          <w:lang w:val="en-GB"/>
        </w:rPr>
      </w:pPr>
      <w:r w:rsidRPr="00E20701">
        <w:rPr>
          <w:lang w:val="en-GB"/>
        </w:rPr>
        <w:t>The response by plant operators.</w:t>
      </w:r>
    </w:p>
    <w:p w:rsidR="00A33C9F" w:rsidRPr="00E20701" w:rsidRDefault="00A33C9F" w:rsidP="00A33C9F">
      <w:pPr>
        <w:rPr>
          <w:lang w:val="en-GB"/>
        </w:rPr>
      </w:pPr>
      <w:r w:rsidRPr="00E20701">
        <w:rPr>
          <w:lang w:val="en-GB"/>
        </w:rPr>
        <w:t>Initiating events can be assigned to a group, if they exhibit the same properties with respect to the grouping criteria</w:t>
      </w:r>
      <w:r w:rsidRPr="00E20701">
        <w:rPr>
          <w:rStyle w:val="Appelnotedebasdep"/>
          <w:lang w:val="en-GB"/>
        </w:rPr>
        <w:footnoteReference w:id="2"/>
      </w:r>
      <w:r w:rsidRPr="00E20701">
        <w:rPr>
          <w:lang w:val="en-GB"/>
        </w:rPr>
        <w:t xml:space="preserve">. The implications of plant operating states should be considered. For each group, a representative scenario with enveloping boundary conditions and characteristics, i.e. conservative with regard to safety analysis, has to be defined </w:t>
      </w:r>
      <w:r w:rsidR="00125AF4" w:rsidRPr="00FA7763">
        <w:rPr>
          <w:lang w:val="en-GB"/>
        </w:rPr>
        <w:fldChar w:fldCharType="begin"/>
      </w:r>
      <w:r w:rsidRPr="00E20701">
        <w:rPr>
          <w:lang w:val="en-GB"/>
        </w:rPr>
        <w:instrText xml:space="preserve"> REF _Ref384386913 \r \h </w:instrText>
      </w:r>
      <w:r w:rsidR="00125AF4" w:rsidRPr="00FA7763">
        <w:rPr>
          <w:lang w:val="en-GB"/>
        </w:rPr>
      </w:r>
      <w:r w:rsidR="00125AF4" w:rsidRPr="00FA7763">
        <w:rPr>
          <w:lang w:val="en-GB"/>
        </w:rPr>
        <w:fldChar w:fldCharType="separate"/>
      </w:r>
      <w:r w:rsidR="00E62976">
        <w:rPr>
          <w:lang w:val="en-GB"/>
        </w:rPr>
        <w:t>[4]</w:t>
      </w:r>
      <w:r w:rsidR="00125AF4" w:rsidRPr="00FA7763">
        <w:rPr>
          <w:lang w:val="en-GB"/>
        </w:rPr>
        <w:fldChar w:fldCharType="end"/>
      </w:r>
      <w:r w:rsidRPr="00E20701">
        <w:rPr>
          <w:lang w:val="en-GB"/>
        </w:rPr>
        <w:t xml:space="preserve">, p. 30. Simultaneously, the grouping should not be overly conservative, which limits the different scenarios that can be assigned to one group. It should be noted that SSG-3 does not reference the classification of event scenarios by levels of </w:t>
      </w:r>
      <w:r w:rsidR="00564B27" w:rsidRPr="00E20701">
        <w:rPr>
          <w:lang w:val="en-GB"/>
        </w:rPr>
        <w:t>Defence</w:t>
      </w:r>
      <w:r w:rsidRPr="00E20701">
        <w:rPr>
          <w:lang w:val="en-GB"/>
        </w:rPr>
        <w:t xml:space="preserve"> in Depth for this grouping.</w:t>
      </w:r>
    </w:p>
    <w:p w:rsidR="00A33C9F" w:rsidRPr="00E20701" w:rsidRDefault="00A33C9F" w:rsidP="00A33C9F">
      <w:pPr>
        <w:rPr>
          <w:lang w:val="en-GB"/>
        </w:rPr>
      </w:pPr>
      <w:r w:rsidRPr="00E20701">
        <w:rPr>
          <w:lang w:val="en-GB"/>
        </w:rPr>
        <w:t>With respect to hazards, SSG-3 assumes that the grouping is an element of the screening process. Nonetheless, the principles described for internal events should be transferred. Thereby, hazards should be grouped with regard to the triggered initiating events (including the effects of the hazards scenario on the availability of safety and support systems), if such grouping is needed to reduce the number of analysis cases. For some hazards or combinations of hazards, the introduction of subdivisions</w:t>
      </w:r>
      <w:r w:rsidRPr="00E20701">
        <w:rPr>
          <w:rStyle w:val="Appelnotedebasdep"/>
          <w:lang w:val="en-GB"/>
        </w:rPr>
        <w:footnoteReference w:id="3"/>
      </w:r>
      <w:r w:rsidRPr="00E20701">
        <w:rPr>
          <w:lang w:val="en-GB"/>
        </w:rPr>
        <w:t xml:space="preserve"> </w:t>
      </w:r>
      <w:r w:rsidR="000D53A3">
        <w:rPr>
          <w:lang w:val="en-GB"/>
        </w:rPr>
        <w:t xml:space="preserve">(amplitude / frequency) </w:t>
      </w:r>
      <w:r w:rsidRPr="00E20701">
        <w:rPr>
          <w:lang w:val="en-GB"/>
        </w:rPr>
        <w:t xml:space="preserve">might be necessary </w:t>
      </w:r>
      <w:r w:rsidR="00125AF4" w:rsidRPr="00FA7763">
        <w:rPr>
          <w:lang w:val="en-GB"/>
        </w:rPr>
        <w:fldChar w:fldCharType="begin"/>
      </w:r>
      <w:r w:rsidRPr="00E20701">
        <w:rPr>
          <w:lang w:val="en-GB"/>
        </w:rPr>
        <w:instrText xml:space="preserve"> REF _Ref384386913 \r \h </w:instrText>
      </w:r>
      <w:r w:rsidR="00125AF4" w:rsidRPr="00FA7763">
        <w:rPr>
          <w:lang w:val="en-GB"/>
        </w:rPr>
      </w:r>
      <w:r w:rsidR="00125AF4" w:rsidRPr="00FA7763">
        <w:rPr>
          <w:lang w:val="en-GB"/>
        </w:rPr>
        <w:fldChar w:fldCharType="separate"/>
      </w:r>
      <w:r w:rsidR="00E62976">
        <w:rPr>
          <w:lang w:val="en-GB"/>
        </w:rPr>
        <w:t>[4]</w:t>
      </w:r>
      <w:r w:rsidR="00125AF4" w:rsidRPr="00FA7763">
        <w:rPr>
          <w:lang w:val="en-GB"/>
        </w:rPr>
        <w:fldChar w:fldCharType="end"/>
      </w:r>
      <w:r w:rsidRPr="00E20701">
        <w:rPr>
          <w:lang w:val="en-GB"/>
        </w:rPr>
        <w:t xml:space="preserve">, p. 63. Again, </w:t>
      </w:r>
      <w:r w:rsidR="008F2494" w:rsidRPr="00E20701">
        <w:rPr>
          <w:lang w:val="en-GB"/>
        </w:rPr>
        <w:t>a hazard scenario consisting of enveloping boundary conditions has</w:t>
      </w:r>
      <w:r w:rsidRPr="00E20701">
        <w:rPr>
          <w:lang w:val="en-GB"/>
        </w:rPr>
        <w:t xml:space="preserve"> to be defined for each hazard group or subdivision </w:t>
      </w:r>
      <w:r w:rsidR="00125AF4" w:rsidRPr="00FA7763">
        <w:rPr>
          <w:lang w:val="en-GB"/>
        </w:rPr>
        <w:fldChar w:fldCharType="begin"/>
      </w:r>
      <w:r w:rsidRPr="00E20701">
        <w:rPr>
          <w:lang w:val="en-GB"/>
        </w:rPr>
        <w:instrText xml:space="preserve"> REF _Ref384386913 \r \h </w:instrText>
      </w:r>
      <w:r w:rsidR="00125AF4" w:rsidRPr="00FA7763">
        <w:rPr>
          <w:lang w:val="en-GB"/>
        </w:rPr>
      </w:r>
      <w:r w:rsidR="00125AF4" w:rsidRPr="00FA7763">
        <w:rPr>
          <w:lang w:val="en-GB"/>
        </w:rPr>
        <w:fldChar w:fldCharType="separate"/>
      </w:r>
      <w:r w:rsidR="00E62976">
        <w:rPr>
          <w:lang w:val="en-GB"/>
        </w:rPr>
        <w:t>[4]</w:t>
      </w:r>
      <w:r w:rsidR="00125AF4" w:rsidRPr="00FA7763">
        <w:rPr>
          <w:lang w:val="en-GB"/>
        </w:rPr>
        <w:fldChar w:fldCharType="end"/>
      </w:r>
      <w:r w:rsidRPr="00E20701">
        <w:rPr>
          <w:lang w:val="en-GB"/>
        </w:rPr>
        <w:t>, p.63. It should be noted that at this stage only (hazard) events and/or combinations thereof that are deemed “not applicable”</w:t>
      </w:r>
      <w:r w:rsidRPr="00E20701">
        <w:rPr>
          <w:rStyle w:val="Appelnotedebasdep"/>
          <w:lang w:val="en-GB"/>
        </w:rPr>
        <w:footnoteReference w:id="4"/>
      </w:r>
      <w:r w:rsidRPr="00E20701">
        <w:rPr>
          <w:lang w:val="en-GB"/>
        </w:rPr>
        <w:t xml:space="preserve"> are removed from further consideration.</w:t>
      </w:r>
    </w:p>
    <w:p w:rsidR="00A33C9F" w:rsidRPr="00E20701" w:rsidRDefault="00A33C9F" w:rsidP="00A33C9F">
      <w:pPr>
        <w:rPr>
          <w:lang w:val="en-GB"/>
        </w:rPr>
      </w:pPr>
      <w:r w:rsidRPr="00E20701">
        <w:rPr>
          <w:lang w:val="en-GB"/>
        </w:rPr>
        <w:t>For deterministic analysis purposes, it is usually sufficient to define suitable limiting cases, taking into account the general applicability of the events and/or their combinations for anticipated operational occurrences, design basis accidents, and beyond design basis accidents</w:t>
      </w:r>
      <w:r w:rsidR="008F2494" w:rsidRPr="00E20701">
        <w:rPr>
          <w:lang w:val="en-GB"/>
        </w:rPr>
        <w:t>/design extension conditions</w:t>
      </w:r>
      <w:r w:rsidRPr="00E20701">
        <w:rPr>
          <w:lang w:val="en-GB"/>
        </w:rPr>
        <w:t xml:space="preserve"> </w:t>
      </w:r>
      <w:r w:rsidR="00125AF4" w:rsidRPr="00FA7763">
        <w:rPr>
          <w:lang w:val="en-GB"/>
        </w:rPr>
        <w:fldChar w:fldCharType="begin"/>
      </w:r>
      <w:r w:rsidRPr="00E20701">
        <w:rPr>
          <w:lang w:val="en-GB"/>
        </w:rPr>
        <w:instrText xml:space="preserve"> REF _Ref384387949 \r \h </w:instrText>
      </w:r>
      <w:r w:rsidR="00125AF4" w:rsidRPr="00FA7763">
        <w:rPr>
          <w:lang w:val="en-GB"/>
        </w:rPr>
      </w:r>
      <w:r w:rsidR="00125AF4" w:rsidRPr="00FA7763">
        <w:rPr>
          <w:lang w:val="en-GB"/>
        </w:rPr>
        <w:fldChar w:fldCharType="separate"/>
      </w:r>
      <w:r w:rsidR="00E62976">
        <w:rPr>
          <w:lang w:val="en-GB"/>
        </w:rPr>
        <w:t>[3]</w:t>
      </w:r>
      <w:r w:rsidR="00125AF4" w:rsidRPr="00FA7763">
        <w:rPr>
          <w:lang w:val="en-GB"/>
        </w:rPr>
        <w:fldChar w:fldCharType="end"/>
      </w:r>
      <w:r w:rsidRPr="00E20701">
        <w:rPr>
          <w:lang w:val="en-GB"/>
        </w:rPr>
        <w:t xml:space="preserve">, p. 6. To this end, the frequency of occurrence of the relevant scenario has to be determined at least qualitatively, if the criteria in </w:t>
      </w:r>
      <w:r w:rsidR="00125AF4">
        <w:rPr>
          <w:lang w:val="en-GB"/>
        </w:rPr>
        <w:fldChar w:fldCharType="begin"/>
      </w:r>
      <w:r w:rsidR="001D54F7">
        <w:rPr>
          <w:lang w:val="en-GB"/>
        </w:rPr>
        <w:instrText xml:space="preserve"> REF _Ref444884295 \h </w:instrText>
      </w:r>
      <w:r w:rsidR="00125AF4">
        <w:rPr>
          <w:lang w:val="en-GB"/>
        </w:rPr>
      </w:r>
      <w:r w:rsidR="00125AF4">
        <w:rPr>
          <w:lang w:val="en-GB"/>
        </w:rPr>
        <w:fldChar w:fldCharType="separate"/>
      </w:r>
      <w:r w:rsidR="00E62976" w:rsidRPr="00E20701">
        <w:rPr>
          <w:lang w:val="en-GB"/>
        </w:rPr>
        <w:t xml:space="preserve">Table </w:t>
      </w:r>
      <w:r w:rsidR="00E62976">
        <w:rPr>
          <w:noProof/>
          <w:lang w:val="en-GB"/>
        </w:rPr>
        <w:t>5</w:t>
      </w:r>
      <w:r w:rsidR="00E62976">
        <w:rPr>
          <w:lang w:val="en-GB"/>
        </w:rPr>
        <w:noBreakHyphen/>
      </w:r>
      <w:r w:rsidR="00E62976">
        <w:rPr>
          <w:noProof/>
          <w:lang w:val="en-GB"/>
        </w:rPr>
        <w:t>1</w:t>
      </w:r>
      <w:r w:rsidR="00125AF4">
        <w:rPr>
          <w:lang w:val="en-GB"/>
        </w:rPr>
        <w:fldChar w:fldCharType="end"/>
      </w:r>
      <w:r w:rsidRPr="00E20701">
        <w:rPr>
          <w:lang w:val="en-GB"/>
        </w:rPr>
        <w:t xml:space="preserve"> are applied. </w:t>
      </w:r>
    </w:p>
    <w:p w:rsidR="00A33C9F" w:rsidRPr="00E20701" w:rsidRDefault="00A33C9F" w:rsidP="00A33C9F">
      <w:pPr>
        <w:rPr>
          <w:lang w:val="en-GB"/>
        </w:rPr>
      </w:pPr>
      <w:r w:rsidRPr="00E20701">
        <w:rPr>
          <w:lang w:val="en-GB"/>
        </w:rPr>
        <w:t xml:space="preserve">For the purposes of PSA, a more elaborate screening process might be needed. Following SSG-3, if initiating events/event groups are removed from further analysis, this has to be based on screening criteria, which ensure scenarios potentially important to the risk of the plant are not excluded </w:t>
      </w:r>
      <w:r w:rsidR="00125AF4" w:rsidRPr="00FA7763">
        <w:rPr>
          <w:lang w:val="en-GB"/>
        </w:rPr>
        <w:fldChar w:fldCharType="begin"/>
      </w:r>
      <w:r w:rsidRPr="00E20701">
        <w:rPr>
          <w:lang w:val="en-GB"/>
        </w:rPr>
        <w:instrText xml:space="preserve"> REF _Ref384386913 \r \h </w:instrText>
      </w:r>
      <w:r w:rsidR="00125AF4" w:rsidRPr="00FA7763">
        <w:rPr>
          <w:lang w:val="en-GB"/>
        </w:rPr>
      </w:r>
      <w:r w:rsidR="00125AF4" w:rsidRPr="00FA7763">
        <w:rPr>
          <w:lang w:val="en-GB"/>
        </w:rPr>
        <w:fldChar w:fldCharType="separate"/>
      </w:r>
      <w:r w:rsidR="00E62976">
        <w:rPr>
          <w:lang w:val="en-GB"/>
        </w:rPr>
        <w:t>[4]</w:t>
      </w:r>
      <w:r w:rsidR="00125AF4" w:rsidRPr="00FA7763">
        <w:rPr>
          <w:lang w:val="en-GB"/>
        </w:rPr>
        <w:fldChar w:fldCharType="end"/>
      </w:r>
      <w:r w:rsidRPr="00E20701">
        <w:rPr>
          <w:lang w:val="en-GB"/>
        </w:rPr>
        <w:t>, p. 29.</w:t>
      </w:r>
    </w:p>
    <w:p w:rsidR="00A33C9F" w:rsidRPr="00E20701" w:rsidRDefault="00A33C9F" w:rsidP="00A33C9F">
      <w:pPr>
        <w:rPr>
          <w:lang w:val="en-GB"/>
        </w:rPr>
      </w:pPr>
      <w:r w:rsidRPr="00E20701">
        <w:rPr>
          <w:lang w:val="en-GB"/>
        </w:rPr>
        <w:t xml:space="preserve">For hazard events, SSG-3 recommends the following systematic screening approach </w:t>
      </w:r>
      <w:r w:rsidR="00125AF4" w:rsidRPr="00FA7763">
        <w:rPr>
          <w:lang w:val="en-GB"/>
        </w:rPr>
        <w:fldChar w:fldCharType="begin"/>
      </w:r>
      <w:r w:rsidRPr="00E20701">
        <w:rPr>
          <w:lang w:val="en-GB"/>
        </w:rPr>
        <w:instrText xml:space="preserve"> REF _Ref384386913 \r \h </w:instrText>
      </w:r>
      <w:r w:rsidR="00125AF4" w:rsidRPr="00FA7763">
        <w:rPr>
          <w:lang w:val="en-GB"/>
        </w:rPr>
      </w:r>
      <w:r w:rsidR="00125AF4" w:rsidRPr="00FA7763">
        <w:rPr>
          <w:lang w:val="en-GB"/>
        </w:rPr>
        <w:fldChar w:fldCharType="separate"/>
      </w:r>
      <w:r w:rsidR="00E62976">
        <w:rPr>
          <w:lang w:val="en-GB"/>
        </w:rPr>
        <w:t>[4]</w:t>
      </w:r>
      <w:r w:rsidR="00125AF4" w:rsidRPr="00FA7763">
        <w:rPr>
          <w:lang w:val="en-GB"/>
        </w:rPr>
        <w:fldChar w:fldCharType="end"/>
      </w:r>
      <w:r w:rsidRPr="00E20701">
        <w:rPr>
          <w:lang w:val="en-GB"/>
        </w:rPr>
        <w:t xml:space="preserve">, p. 61f. </w:t>
      </w:r>
    </w:p>
    <w:p w:rsidR="00A33C9F" w:rsidRPr="00E20701" w:rsidRDefault="00A33C9F" w:rsidP="00E62976">
      <w:pPr>
        <w:numPr>
          <w:ilvl w:val="0"/>
          <w:numId w:val="15"/>
        </w:numPr>
        <w:rPr>
          <w:lang w:val="en-GB"/>
        </w:rPr>
      </w:pPr>
      <w:r w:rsidRPr="00E20701">
        <w:rPr>
          <w:lang w:val="en-GB"/>
        </w:rPr>
        <w:t>Dependent on the intensity of the hazard, no initiating event will be triggered,</w:t>
      </w:r>
    </w:p>
    <w:p w:rsidR="00A33C9F" w:rsidRPr="00E20701" w:rsidRDefault="00A33C9F" w:rsidP="00E62976">
      <w:pPr>
        <w:numPr>
          <w:ilvl w:val="0"/>
          <w:numId w:val="15"/>
        </w:numPr>
        <w:rPr>
          <w:lang w:val="en-GB"/>
        </w:rPr>
      </w:pPr>
      <w:r w:rsidRPr="00E20701">
        <w:rPr>
          <w:lang w:val="en-GB"/>
        </w:rPr>
        <w:t>The scenario develops slowly, there is sufficient time to control the event, adverse consequences are very unlikely,</w:t>
      </w:r>
    </w:p>
    <w:p w:rsidR="00A33C9F" w:rsidRPr="00E20701" w:rsidRDefault="00A33C9F" w:rsidP="00E62976">
      <w:pPr>
        <w:numPr>
          <w:ilvl w:val="0"/>
          <w:numId w:val="15"/>
        </w:numPr>
        <w:rPr>
          <w:lang w:val="en-GB"/>
        </w:rPr>
      </w:pPr>
      <w:r w:rsidRPr="00E20701">
        <w:rPr>
          <w:lang w:val="en-GB"/>
        </w:rPr>
        <w:t>The hazard scenario can be subsumed into another hazard (group),</w:t>
      </w:r>
    </w:p>
    <w:p w:rsidR="00A33C9F" w:rsidRPr="00E20701" w:rsidRDefault="00A33C9F" w:rsidP="00E62976">
      <w:pPr>
        <w:numPr>
          <w:ilvl w:val="0"/>
          <w:numId w:val="15"/>
        </w:numPr>
        <w:rPr>
          <w:lang w:val="en-GB"/>
        </w:rPr>
      </w:pPr>
      <w:r w:rsidRPr="00E20701">
        <w:rPr>
          <w:lang w:val="en-GB"/>
        </w:rPr>
        <w:t>The hazard scenario has a significantly lower frequency of occurrence than other hazards, which lead to similar or worse consequences; simultaneously, the uncertainty of the frequency estimation is not significant for the risk assessment.</w:t>
      </w:r>
    </w:p>
    <w:p w:rsidR="00A33C9F" w:rsidRPr="00E20701" w:rsidRDefault="00A33C9F" w:rsidP="00A33C9F">
      <w:pPr>
        <w:rPr>
          <w:lang w:val="en-GB"/>
        </w:rPr>
      </w:pPr>
      <w:r w:rsidRPr="00E20701">
        <w:rPr>
          <w:lang w:val="en-GB"/>
        </w:rPr>
        <w:t>There are no statements as to how screened out initiating event and hazard scenarios, especially by items c) and d), should be treated with regard to their potential contribution to PSA results and/or probabilistic safety targets. A consistent approach would be to add their contribution to the enveloping event scenario frequency of occurrence.</w:t>
      </w:r>
    </w:p>
    <w:p w:rsidR="00A33C9F" w:rsidRPr="00E20701" w:rsidRDefault="00A33C9F" w:rsidP="00A33C9F">
      <w:pPr>
        <w:rPr>
          <w:lang w:val="en-GB"/>
        </w:rPr>
      </w:pPr>
      <w:r w:rsidRPr="00E20701">
        <w:rPr>
          <w:lang w:val="en-GB"/>
        </w:rPr>
        <w:t xml:space="preserve">The screening should at least initially be based on maximum impact </w:t>
      </w:r>
      <w:r w:rsidR="00125AF4" w:rsidRPr="00FA7763">
        <w:rPr>
          <w:lang w:val="en-GB"/>
        </w:rPr>
        <w:fldChar w:fldCharType="begin"/>
      </w:r>
      <w:r w:rsidRPr="00E20701">
        <w:rPr>
          <w:lang w:val="en-GB"/>
        </w:rPr>
        <w:instrText xml:space="preserve"> REF _Ref384386913 \r \h </w:instrText>
      </w:r>
      <w:r w:rsidR="00125AF4" w:rsidRPr="00FA7763">
        <w:rPr>
          <w:lang w:val="en-GB"/>
        </w:rPr>
      </w:r>
      <w:r w:rsidR="00125AF4" w:rsidRPr="00FA7763">
        <w:rPr>
          <w:lang w:val="en-GB"/>
        </w:rPr>
        <w:fldChar w:fldCharType="separate"/>
      </w:r>
      <w:r w:rsidR="00E62976">
        <w:rPr>
          <w:lang w:val="en-GB"/>
        </w:rPr>
        <w:t>[4]</w:t>
      </w:r>
      <w:r w:rsidR="00125AF4" w:rsidRPr="00FA7763">
        <w:rPr>
          <w:lang w:val="en-GB"/>
        </w:rPr>
        <w:fldChar w:fldCharType="end"/>
      </w:r>
      <w:r w:rsidRPr="00E20701">
        <w:rPr>
          <w:lang w:val="en-GB"/>
        </w:rPr>
        <w:t xml:space="preserve">, p. 63 (i.e. intensity). If a hazard cannot be screened out based on this maximum impact, </w:t>
      </w:r>
      <w:r w:rsidR="008F2494" w:rsidRPr="00E20701">
        <w:rPr>
          <w:lang w:val="en-GB"/>
        </w:rPr>
        <w:t>sometimes</w:t>
      </w:r>
      <w:r w:rsidRPr="00E20701">
        <w:rPr>
          <w:lang w:val="en-GB"/>
        </w:rPr>
        <w:t xml:space="preserve"> a subdivision of the hazard into different subcategories related to hazard intensity is needed </w:t>
      </w:r>
      <w:r w:rsidR="00125AF4" w:rsidRPr="00FA7763">
        <w:rPr>
          <w:lang w:val="en-GB"/>
        </w:rPr>
        <w:fldChar w:fldCharType="begin"/>
      </w:r>
      <w:r w:rsidRPr="00E20701">
        <w:rPr>
          <w:lang w:val="en-GB"/>
        </w:rPr>
        <w:instrText xml:space="preserve"> REF _Ref384386913 \r \h </w:instrText>
      </w:r>
      <w:r w:rsidR="00125AF4" w:rsidRPr="00FA7763">
        <w:rPr>
          <w:lang w:val="en-GB"/>
        </w:rPr>
      </w:r>
      <w:r w:rsidR="00125AF4" w:rsidRPr="00FA7763">
        <w:rPr>
          <w:lang w:val="en-GB"/>
        </w:rPr>
        <w:fldChar w:fldCharType="separate"/>
      </w:r>
      <w:r w:rsidR="00E62976">
        <w:rPr>
          <w:lang w:val="en-GB"/>
        </w:rPr>
        <w:t>[4]</w:t>
      </w:r>
      <w:r w:rsidR="00125AF4" w:rsidRPr="00FA7763">
        <w:rPr>
          <w:lang w:val="en-GB"/>
        </w:rPr>
        <w:fldChar w:fldCharType="end"/>
      </w:r>
      <w:r w:rsidRPr="00E20701">
        <w:rPr>
          <w:lang w:val="en-GB"/>
        </w:rPr>
        <w:t>, p. 63. SSG-3 explicitly mentions that the removal of a hazard scenario</w:t>
      </w:r>
      <w:r w:rsidRPr="00E20701">
        <w:rPr>
          <w:rStyle w:val="Appelnotedebasdep"/>
          <w:lang w:val="en-GB"/>
        </w:rPr>
        <w:footnoteReference w:id="5"/>
      </w:r>
      <w:r w:rsidRPr="00E20701">
        <w:rPr>
          <w:lang w:val="en-GB"/>
        </w:rPr>
        <w:t xml:space="preserve"> from further consideration does not imply that combinations with other hazards could be summarily removed </w:t>
      </w:r>
      <w:r w:rsidR="00125AF4" w:rsidRPr="00FA7763">
        <w:rPr>
          <w:lang w:val="en-GB"/>
        </w:rPr>
        <w:fldChar w:fldCharType="begin"/>
      </w:r>
      <w:r w:rsidRPr="00E20701">
        <w:rPr>
          <w:lang w:val="en-GB"/>
        </w:rPr>
        <w:instrText xml:space="preserve"> REF _Ref384386913 \r \h </w:instrText>
      </w:r>
      <w:r w:rsidR="00125AF4" w:rsidRPr="00FA7763">
        <w:rPr>
          <w:lang w:val="en-GB"/>
        </w:rPr>
      </w:r>
      <w:r w:rsidR="00125AF4" w:rsidRPr="00FA7763">
        <w:rPr>
          <w:lang w:val="en-GB"/>
        </w:rPr>
        <w:fldChar w:fldCharType="separate"/>
      </w:r>
      <w:r w:rsidR="00E62976">
        <w:rPr>
          <w:lang w:val="en-GB"/>
        </w:rPr>
        <w:t>[4]</w:t>
      </w:r>
      <w:r w:rsidR="00125AF4" w:rsidRPr="00FA7763">
        <w:rPr>
          <w:lang w:val="en-GB"/>
        </w:rPr>
        <w:fldChar w:fldCharType="end"/>
      </w:r>
      <w:r w:rsidRPr="00E20701">
        <w:rPr>
          <w:lang w:val="en-GB"/>
        </w:rPr>
        <w:t>, p. 64.</w:t>
      </w:r>
    </w:p>
    <w:p w:rsidR="00A33C9F" w:rsidRPr="00E20701" w:rsidRDefault="00A33C9F" w:rsidP="00A33C9F">
      <w:pPr>
        <w:rPr>
          <w:lang w:val="en-GB"/>
        </w:rPr>
      </w:pPr>
      <w:r w:rsidRPr="00E20701">
        <w:rPr>
          <w:lang w:val="en-GB"/>
        </w:rPr>
        <w:t xml:space="preserve">While SSG-3 gives no quantitative recommendations on screening criteria thresholds, it emphasizes that screening threshold criteria should be commensurate to the purpose of the PSA </w:t>
      </w:r>
      <w:r w:rsidR="00125AF4" w:rsidRPr="00FA7763">
        <w:rPr>
          <w:lang w:val="en-GB"/>
        </w:rPr>
        <w:fldChar w:fldCharType="begin"/>
      </w:r>
      <w:r w:rsidRPr="00E20701">
        <w:rPr>
          <w:lang w:val="en-GB"/>
        </w:rPr>
        <w:instrText xml:space="preserve"> REF _Ref384386913 \r \h </w:instrText>
      </w:r>
      <w:r w:rsidR="00125AF4" w:rsidRPr="00FA7763">
        <w:rPr>
          <w:lang w:val="en-GB"/>
        </w:rPr>
      </w:r>
      <w:r w:rsidR="00125AF4" w:rsidRPr="00FA7763">
        <w:rPr>
          <w:lang w:val="en-GB"/>
        </w:rPr>
        <w:fldChar w:fldCharType="separate"/>
      </w:r>
      <w:r w:rsidR="00E62976">
        <w:rPr>
          <w:lang w:val="en-GB"/>
        </w:rPr>
        <w:t>[4]</w:t>
      </w:r>
      <w:r w:rsidR="00125AF4" w:rsidRPr="00FA7763">
        <w:rPr>
          <w:lang w:val="en-GB"/>
        </w:rPr>
        <w:fldChar w:fldCharType="end"/>
      </w:r>
      <w:r w:rsidRPr="00E20701">
        <w:rPr>
          <w:lang w:val="en-GB"/>
        </w:rPr>
        <w:t>, p. 29, and the core damage frequency (target) for the plant from hazards</w:t>
      </w:r>
      <w:r w:rsidRPr="00E20701">
        <w:rPr>
          <w:rStyle w:val="Appelnotedebasdep"/>
          <w:lang w:val="en-GB"/>
        </w:rPr>
        <w:footnoteReference w:id="6"/>
      </w:r>
      <w:r w:rsidRPr="00E20701">
        <w:rPr>
          <w:lang w:val="en-GB"/>
        </w:rPr>
        <w:t xml:space="preserve"> </w:t>
      </w:r>
      <w:r w:rsidR="00125AF4" w:rsidRPr="00FA7763">
        <w:rPr>
          <w:lang w:val="en-GB"/>
        </w:rPr>
        <w:fldChar w:fldCharType="begin"/>
      </w:r>
      <w:r w:rsidRPr="00E20701">
        <w:rPr>
          <w:lang w:val="en-GB"/>
        </w:rPr>
        <w:instrText xml:space="preserve"> REF _Ref384386913 \r \h </w:instrText>
      </w:r>
      <w:r w:rsidR="00125AF4" w:rsidRPr="00FA7763">
        <w:rPr>
          <w:lang w:val="en-GB"/>
        </w:rPr>
      </w:r>
      <w:r w:rsidR="00125AF4" w:rsidRPr="00FA7763">
        <w:rPr>
          <w:lang w:val="en-GB"/>
        </w:rPr>
        <w:fldChar w:fldCharType="separate"/>
      </w:r>
      <w:r w:rsidR="00E62976">
        <w:rPr>
          <w:lang w:val="en-GB"/>
        </w:rPr>
        <w:t>[4]</w:t>
      </w:r>
      <w:r w:rsidR="00125AF4" w:rsidRPr="00FA7763">
        <w:rPr>
          <w:lang w:val="en-GB"/>
        </w:rPr>
        <w:fldChar w:fldCharType="end"/>
      </w:r>
      <w:r w:rsidRPr="00E20701">
        <w:rPr>
          <w:lang w:val="en-GB"/>
        </w:rPr>
        <w:t xml:space="preserve">, p. 62. Moreover, SSG-3 highlights that screening criteria should prevent low frequency but high impact events to be screened out </w:t>
      </w:r>
      <w:r w:rsidR="00125AF4" w:rsidRPr="00FA7763">
        <w:rPr>
          <w:lang w:val="en-GB"/>
        </w:rPr>
        <w:fldChar w:fldCharType="begin"/>
      </w:r>
      <w:r w:rsidRPr="00E20701">
        <w:rPr>
          <w:lang w:val="en-GB"/>
        </w:rPr>
        <w:instrText xml:space="preserve"> REF _Ref384386913 \r \h </w:instrText>
      </w:r>
      <w:r w:rsidR="00125AF4" w:rsidRPr="00FA7763">
        <w:rPr>
          <w:lang w:val="en-GB"/>
        </w:rPr>
      </w:r>
      <w:r w:rsidR="00125AF4" w:rsidRPr="00FA7763">
        <w:rPr>
          <w:lang w:val="en-GB"/>
        </w:rPr>
        <w:fldChar w:fldCharType="separate"/>
      </w:r>
      <w:r w:rsidR="00E62976">
        <w:rPr>
          <w:lang w:val="en-GB"/>
        </w:rPr>
        <w:t>[4]</w:t>
      </w:r>
      <w:r w:rsidR="00125AF4" w:rsidRPr="00FA7763">
        <w:rPr>
          <w:lang w:val="en-GB"/>
        </w:rPr>
        <w:fldChar w:fldCharType="end"/>
      </w:r>
      <w:r w:rsidRPr="00E20701">
        <w:rPr>
          <w:lang w:val="en-GB"/>
        </w:rPr>
        <w:t xml:space="preserve">, p. 64. Finally, SSG-3 cautions that the screening process might need to be revisited for specific applications </w:t>
      </w:r>
      <w:r w:rsidR="00125AF4" w:rsidRPr="00FA7763">
        <w:rPr>
          <w:lang w:val="en-GB"/>
        </w:rPr>
        <w:fldChar w:fldCharType="begin"/>
      </w:r>
      <w:r w:rsidRPr="00E20701">
        <w:rPr>
          <w:lang w:val="en-GB"/>
        </w:rPr>
        <w:instrText xml:space="preserve"> REF _Ref384386913 \r \h </w:instrText>
      </w:r>
      <w:r w:rsidR="00125AF4" w:rsidRPr="00FA7763">
        <w:rPr>
          <w:lang w:val="en-GB"/>
        </w:rPr>
      </w:r>
      <w:r w:rsidR="00125AF4" w:rsidRPr="00FA7763">
        <w:rPr>
          <w:lang w:val="en-GB"/>
        </w:rPr>
        <w:fldChar w:fldCharType="separate"/>
      </w:r>
      <w:r w:rsidR="00E62976">
        <w:rPr>
          <w:lang w:val="en-GB"/>
        </w:rPr>
        <w:t>[4]</w:t>
      </w:r>
      <w:r w:rsidR="00125AF4" w:rsidRPr="00FA7763">
        <w:rPr>
          <w:lang w:val="en-GB"/>
        </w:rPr>
        <w:fldChar w:fldCharType="end"/>
      </w:r>
      <w:r w:rsidRPr="00E20701">
        <w:rPr>
          <w:lang w:val="en-GB"/>
        </w:rPr>
        <w:t xml:space="preserve">, p. 30. SSG-4 on PSA level 2 explains that the PSA level 2 requirements will influence and might change the definition of plant damage states and thereby the accident sequence analysis </w:t>
      </w:r>
      <w:r w:rsidR="00CA191E">
        <w:rPr>
          <w:lang w:val="en-GB"/>
        </w:rPr>
        <w:fldChar w:fldCharType="begin"/>
      </w:r>
      <w:r w:rsidR="00CA191E">
        <w:rPr>
          <w:lang w:val="en-GB"/>
        </w:rPr>
        <w:instrText xml:space="preserve"> REF _Ref387077715 \w \h </w:instrText>
      </w:r>
      <w:r w:rsidR="00CA191E">
        <w:rPr>
          <w:lang w:val="en-GB"/>
        </w:rPr>
      </w:r>
      <w:r w:rsidR="00CA191E">
        <w:rPr>
          <w:lang w:val="en-GB"/>
        </w:rPr>
        <w:fldChar w:fldCharType="separate"/>
      </w:r>
      <w:r w:rsidR="00E62976">
        <w:rPr>
          <w:lang w:val="en-GB"/>
        </w:rPr>
        <w:t>[28]</w:t>
      </w:r>
      <w:r w:rsidR="00CA191E">
        <w:rPr>
          <w:lang w:val="en-GB"/>
        </w:rPr>
        <w:fldChar w:fldCharType="end"/>
      </w:r>
      <w:r w:rsidRPr="00E20701">
        <w:rPr>
          <w:lang w:val="en-GB"/>
        </w:rPr>
        <w:t xml:space="preserve">, p. 18. This is underscored again with respect to PSA level 2 for hazards scenarios </w:t>
      </w:r>
      <w:r w:rsidR="00CA191E">
        <w:rPr>
          <w:lang w:val="en-GB"/>
        </w:rPr>
        <w:fldChar w:fldCharType="begin"/>
      </w:r>
      <w:r w:rsidR="00CA191E">
        <w:rPr>
          <w:lang w:val="en-GB"/>
        </w:rPr>
        <w:instrText xml:space="preserve"> REF _Ref387077715 \w \h </w:instrText>
      </w:r>
      <w:r w:rsidR="00CA191E">
        <w:rPr>
          <w:lang w:val="en-GB"/>
        </w:rPr>
      </w:r>
      <w:r w:rsidR="00CA191E">
        <w:rPr>
          <w:lang w:val="en-GB"/>
        </w:rPr>
        <w:fldChar w:fldCharType="separate"/>
      </w:r>
      <w:r w:rsidR="00E62976">
        <w:rPr>
          <w:lang w:val="en-GB"/>
        </w:rPr>
        <w:t>[28]</w:t>
      </w:r>
      <w:r w:rsidR="00CA191E">
        <w:rPr>
          <w:lang w:val="en-GB"/>
        </w:rPr>
        <w:fldChar w:fldCharType="end"/>
      </w:r>
      <w:r w:rsidRPr="00E20701">
        <w:rPr>
          <w:lang w:val="en-GB"/>
        </w:rPr>
        <w:t>, p. 22. Since the end states of the PSA (whether level 1 or level 2) constitute a boundary condition for the screening process, it follows that PSA level 2 requirements might influence the initiating event selection process</w:t>
      </w:r>
      <w:r w:rsidRPr="00E20701">
        <w:rPr>
          <w:rStyle w:val="Appelnotedebasdep"/>
          <w:lang w:val="en-GB"/>
        </w:rPr>
        <w:footnoteReference w:id="7"/>
      </w:r>
      <w:r w:rsidRPr="00E20701">
        <w:rPr>
          <w:lang w:val="en-GB"/>
        </w:rPr>
        <w:t>.</w:t>
      </w:r>
    </w:p>
    <w:p w:rsidR="00A33C9F" w:rsidRPr="00E20701" w:rsidRDefault="00A33C9F" w:rsidP="00A33C9F">
      <w:pPr>
        <w:rPr>
          <w:lang w:val="en-GB"/>
        </w:rPr>
      </w:pPr>
      <w:r w:rsidRPr="00E20701">
        <w:rPr>
          <w:lang w:val="en-GB"/>
        </w:rPr>
        <w:t xml:space="preserve">In order to perform quantitative screening for a specific scenario, the respective frequency of occurrence needs to be determined. For internal events (and hazards), the frequency determination should be based to the extent feasible on operating data according to SSG-3 </w:t>
      </w:r>
      <w:r w:rsidR="00125AF4" w:rsidRPr="00FA7763">
        <w:rPr>
          <w:lang w:val="en-GB"/>
        </w:rPr>
        <w:fldChar w:fldCharType="begin"/>
      </w:r>
      <w:r w:rsidRPr="00E20701">
        <w:rPr>
          <w:lang w:val="en-GB"/>
        </w:rPr>
        <w:instrText xml:space="preserve"> REF _Ref384386913 \r \h </w:instrText>
      </w:r>
      <w:r w:rsidR="00125AF4" w:rsidRPr="00FA7763">
        <w:rPr>
          <w:lang w:val="en-GB"/>
        </w:rPr>
      </w:r>
      <w:r w:rsidR="00125AF4" w:rsidRPr="00FA7763">
        <w:rPr>
          <w:lang w:val="en-GB"/>
        </w:rPr>
        <w:fldChar w:fldCharType="separate"/>
      </w:r>
      <w:r w:rsidR="00E62976">
        <w:rPr>
          <w:lang w:val="en-GB"/>
        </w:rPr>
        <w:t>[4]</w:t>
      </w:r>
      <w:r w:rsidR="00125AF4" w:rsidRPr="00FA7763">
        <w:rPr>
          <w:lang w:val="en-GB"/>
        </w:rPr>
        <w:fldChar w:fldCharType="end"/>
      </w:r>
      <w:r w:rsidRPr="00E20701">
        <w:rPr>
          <w:lang w:val="en-GB"/>
        </w:rPr>
        <w:t xml:space="preserve">, p. 48 and p. 83. Moreover, expert judgement can be used, if justified </w:t>
      </w:r>
      <w:r w:rsidR="00125AF4" w:rsidRPr="00FA7763">
        <w:rPr>
          <w:lang w:val="en-GB"/>
        </w:rPr>
        <w:fldChar w:fldCharType="begin"/>
      </w:r>
      <w:r w:rsidRPr="00E20701">
        <w:rPr>
          <w:lang w:val="en-GB"/>
        </w:rPr>
        <w:instrText xml:space="preserve"> REF _Ref384386913 \r \h </w:instrText>
      </w:r>
      <w:r w:rsidR="00125AF4" w:rsidRPr="00FA7763">
        <w:rPr>
          <w:lang w:val="en-GB"/>
        </w:rPr>
      </w:r>
      <w:r w:rsidR="00125AF4" w:rsidRPr="00FA7763">
        <w:rPr>
          <w:lang w:val="en-GB"/>
        </w:rPr>
        <w:fldChar w:fldCharType="separate"/>
      </w:r>
      <w:r w:rsidR="00E62976">
        <w:rPr>
          <w:lang w:val="en-GB"/>
        </w:rPr>
        <w:t>[4]</w:t>
      </w:r>
      <w:r w:rsidR="00125AF4" w:rsidRPr="00FA7763">
        <w:rPr>
          <w:lang w:val="en-GB"/>
        </w:rPr>
        <w:fldChar w:fldCharType="end"/>
      </w:r>
      <w:r w:rsidRPr="00E20701">
        <w:rPr>
          <w:lang w:val="en-GB"/>
        </w:rPr>
        <w:t xml:space="preserve">, p. 48. For external hazards, frequency determination is by necessity specific to the hazard scenario and to the plant. SSG-3 gives some general guidance on the frequency estimation of hazard events </w:t>
      </w:r>
      <w:r w:rsidR="00125AF4" w:rsidRPr="00FA7763">
        <w:rPr>
          <w:lang w:val="en-GB"/>
        </w:rPr>
        <w:fldChar w:fldCharType="begin"/>
      </w:r>
      <w:r w:rsidRPr="00E20701">
        <w:rPr>
          <w:lang w:val="en-GB"/>
        </w:rPr>
        <w:instrText xml:space="preserve"> REF _Ref384386913 \r \h </w:instrText>
      </w:r>
      <w:r w:rsidR="00125AF4" w:rsidRPr="00FA7763">
        <w:rPr>
          <w:lang w:val="en-GB"/>
        </w:rPr>
      </w:r>
      <w:r w:rsidR="00125AF4" w:rsidRPr="00FA7763">
        <w:rPr>
          <w:lang w:val="en-GB"/>
        </w:rPr>
        <w:fldChar w:fldCharType="separate"/>
      </w:r>
      <w:r w:rsidR="00E62976">
        <w:rPr>
          <w:lang w:val="en-GB"/>
        </w:rPr>
        <w:t>[4]</w:t>
      </w:r>
      <w:r w:rsidR="00125AF4" w:rsidRPr="00FA7763">
        <w:rPr>
          <w:lang w:val="en-GB"/>
        </w:rPr>
        <w:fldChar w:fldCharType="end"/>
      </w:r>
      <w:r w:rsidRPr="00E20701">
        <w:rPr>
          <w:lang w:val="en-GB"/>
        </w:rPr>
        <w:t xml:space="preserve">, p. 98ff. In particular, frequency estimations should take into account “recent available data, site specific information, and as-built and as-operated plant conditions” </w:t>
      </w:r>
      <w:r w:rsidR="00125AF4" w:rsidRPr="00FA7763">
        <w:rPr>
          <w:lang w:val="en-GB"/>
        </w:rPr>
        <w:fldChar w:fldCharType="begin"/>
      </w:r>
      <w:r w:rsidRPr="00E20701">
        <w:rPr>
          <w:lang w:val="en-GB"/>
        </w:rPr>
        <w:instrText xml:space="preserve"> REF _Ref384386913 \r \h </w:instrText>
      </w:r>
      <w:r w:rsidR="00125AF4" w:rsidRPr="00FA7763">
        <w:rPr>
          <w:lang w:val="en-GB"/>
        </w:rPr>
      </w:r>
      <w:r w:rsidR="00125AF4" w:rsidRPr="00FA7763">
        <w:rPr>
          <w:lang w:val="en-GB"/>
        </w:rPr>
        <w:fldChar w:fldCharType="separate"/>
      </w:r>
      <w:r w:rsidR="00E62976">
        <w:rPr>
          <w:lang w:val="en-GB"/>
        </w:rPr>
        <w:t>[4]</w:t>
      </w:r>
      <w:r w:rsidR="00125AF4" w:rsidRPr="00FA7763">
        <w:rPr>
          <w:lang w:val="en-GB"/>
        </w:rPr>
        <w:fldChar w:fldCharType="end"/>
      </w:r>
      <w:r w:rsidRPr="00E20701">
        <w:rPr>
          <w:lang w:val="en-GB"/>
        </w:rPr>
        <w:t>, p. 98, and use state-of-the-art methodology. There are no specific recommendations as to how to determine the frequency of occurrence for combinations of (hazard) events in SSG-3.</w:t>
      </w:r>
    </w:p>
    <w:p w:rsidR="00A33C9F" w:rsidRPr="00E20701" w:rsidRDefault="00A33C9F" w:rsidP="00A33C9F">
      <w:pPr>
        <w:rPr>
          <w:lang w:val="en-GB"/>
        </w:rPr>
      </w:pPr>
      <w:r w:rsidRPr="00E20701">
        <w:rPr>
          <w:lang w:val="en-GB"/>
        </w:rPr>
        <w:t>Hazard specific guides of the IAEA (</w:t>
      </w:r>
      <w:r w:rsidR="00CA191E">
        <w:rPr>
          <w:lang w:val="en-GB"/>
        </w:rPr>
        <w:fldChar w:fldCharType="begin"/>
      </w:r>
      <w:r w:rsidR="00CA191E">
        <w:rPr>
          <w:lang w:val="en-GB"/>
        </w:rPr>
        <w:instrText xml:space="preserve"> REF _Ref384902170 \w \h </w:instrText>
      </w:r>
      <w:r w:rsidR="00CA191E">
        <w:rPr>
          <w:lang w:val="en-GB"/>
        </w:rPr>
      </w:r>
      <w:r w:rsidR="00CA191E">
        <w:rPr>
          <w:lang w:val="en-GB"/>
        </w:rPr>
        <w:fldChar w:fldCharType="separate"/>
      </w:r>
      <w:r w:rsidR="00E62976">
        <w:rPr>
          <w:lang w:val="en-GB"/>
        </w:rPr>
        <w:t>[19]</w:t>
      </w:r>
      <w:r w:rsidR="00CA191E">
        <w:rPr>
          <w:lang w:val="en-GB"/>
        </w:rPr>
        <w:fldChar w:fldCharType="end"/>
      </w:r>
      <w:r w:rsidRPr="00E20701">
        <w:rPr>
          <w:lang w:val="en-GB"/>
        </w:rPr>
        <w:t xml:space="preserve">, </w:t>
      </w:r>
      <w:r w:rsidR="00CA191E">
        <w:rPr>
          <w:lang w:val="en-GB"/>
        </w:rPr>
        <w:fldChar w:fldCharType="begin"/>
      </w:r>
      <w:r w:rsidR="00CA191E">
        <w:rPr>
          <w:lang w:val="en-GB"/>
        </w:rPr>
        <w:instrText xml:space="preserve"> REF _Ref384902145 \w \h </w:instrText>
      </w:r>
      <w:r w:rsidR="00CA191E">
        <w:rPr>
          <w:lang w:val="en-GB"/>
        </w:rPr>
      </w:r>
      <w:r w:rsidR="00CA191E">
        <w:rPr>
          <w:lang w:val="en-GB"/>
        </w:rPr>
        <w:fldChar w:fldCharType="separate"/>
      </w:r>
      <w:r w:rsidR="00E62976">
        <w:rPr>
          <w:lang w:val="en-GB"/>
        </w:rPr>
        <w:t>[22]</w:t>
      </w:r>
      <w:r w:rsidR="00CA191E">
        <w:rPr>
          <w:lang w:val="en-GB"/>
        </w:rPr>
        <w:fldChar w:fldCharType="end"/>
      </w:r>
      <w:r w:rsidRPr="00E20701">
        <w:rPr>
          <w:lang w:val="en-GB"/>
        </w:rPr>
        <w:t xml:space="preserve">, </w:t>
      </w:r>
      <w:r w:rsidR="00CA191E">
        <w:rPr>
          <w:lang w:val="en-GB"/>
        </w:rPr>
        <w:fldChar w:fldCharType="begin"/>
      </w:r>
      <w:r w:rsidR="00CA191E">
        <w:rPr>
          <w:lang w:val="en-GB"/>
        </w:rPr>
        <w:instrText xml:space="preserve"> REF _Ref384902147 \w \h </w:instrText>
      </w:r>
      <w:r w:rsidR="00CA191E">
        <w:rPr>
          <w:lang w:val="en-GB"/>
        </w:rPr>
      </w:r>
      <w:r w:rsidR="00CA191E">
        <w:rPr>
          <w:lang w:val="en-GB"/>
        </w:rPr>
        <w:fldChar w:fldCharType="separate"/>
      </w:r>
      <w:r w:rsidR="00E62976">
        <w:rPr>
          <w:lang w:val="en-GB"/>
        </w:rPr>
        <w:t>[23]</w:t>
      </w:r>
      <w:r w:rsidR="00CA191E">
        <w:rPr>
          <w:lang w:val="en-GB"/>
        </w:rPr>
        <w:fldChar w:fldCharType="end"/>
      </w:r>
      <w:r w:rsidRPr="00E20701">
        <w:rPr>
          <w:lang w:val="en-GB"/>
        </w:rPr>
        <w:t xml:space="preserve">, </w:t>
      </w:r>
      <w:r w:rsidR="00CA191E">
        <w:rPr>
          <w:lang w:val="en-GB"/>
        </w:rPr>
        <w:fldChar w:fldCharType="begin"/>
      </w:r>
      <w:r w:rsidR="00CA191E">
        <w:rPr>
          <w:lang w:val="en-GB"/>
        </w:rPr>
        <w:instrText xml:space="preserve"> REF _Ref384902149 \w \h </w:instrText>
      </w:r>
      <w:r w:rsidR="00CA191E">
        <w:rPr>
          <w:lang w:val="en-GB"/>
        </w:rPr>
      </w:r>
      <w:r w:rsidR="00CA191E">
        <w:rPr>
          <w:lang w:val="en-GB"/>
        </w:rPr>
        <w:fldChar w:fldCharType="separate"/>
      </w:r>
      <w:r w:rsidR="00E62976">
        <w:rPr>
          <w:lang w:val="en-GB"/>
        </w:rPr>
        <w:t>[24]</w:t>
      </w:r>
      <w:r w:rsidR="00CA191E">
        <w:rPr>
          <w:lang w:val="en-GB"/>
        </w:rPr>
        <w:fldChar w:fldCharType="end"/>
      </w:r>
      <w:r w:rsidRPr="00E20701">
        <w:rPr>
          <w:lang w:val="en-GB"/>
        </w:rPr>
        <w:t xml:space="preserve">, </w:t>
      </w:r>
      <w:r w:rsidR="00CA191E">
        <w:rPr>
          <w:lang w:val="en-GB"/>
        </w:rPr>
        <w:fldChar w:fldCharType="begin"/>
      </w:r>
      <w:r w:rsidR="00CA191E">
        <w:rPr>
          <w:lang w:val="en-GB"/>
        </w:rPr>
        <w:instrText xml:space="preserve"> REF _Ref410040057 \w \h </w:instrText>
      </w:r>
      <w:r w:rsidR="00CA191E">
        <w:rPr>
          <w:lang w:val="en-GB"/>
        </w:rPr>
      </w:r>
      <w:r w:rsidR="00CA191E">
        <w:rPr>
          <w:lang w:val="en-GB"/>
        </w:rPr>
        <w:fldChar w:fldCharType="separate"/>
      </w:r>
      <w:r w:rsidR="00E62976">
        <w:rPr>
          <w:lang w:val="en-GB"/>
        </w:rPr>
        <w:t>[25]</w:t>
      </w:r>
      <w:r w:rsidR="00CA191E">
        <w:rPr>
          <w:lang w:val="en-GB"/>
        </w:rPr>
        <w:fldChar w:fldCharType="end"/>
      </w:r>
      <w:r w:rsidR="00A0626D" w:rsidRPr="00E20701">
        <w:rPr>
          <w:lang w:val="en-GB"/>
        </w:rPr>
        <w:t xml:space="preserve">, </w:t>
      </w:r>
      <w:r w:rsidR="00CA191E">
        <w:rPr>
          <w:lang w:val="en-GB"/>
        </w:rPr>
        <w:fldChar w:fldCharType="begin"/>
      </w:r>
      <w:r w:rsidR="00CA191E">
        <w:rPr>
          <w:lang w:val="en-GB"/>
        </w:rPr>
        <w:instrText xml:space="preserve"> REF _Ref384902153 \w \h </w:instrText>
      </w:r>
      <w:r w:rsidR="00CA191E">
        <w:rPr>
          <w:lang w:val="en-GB"/>
        </w:rPr>
      </w:r>
      <w:r w:rsidR="00CA191E">
        <w:rPr>
          <w:lang w:val="en-GB"/>
        </w:rPr>
        <w:fldChar w:fldCharType="separate"/>
      </w:r>
      <w:r w:rsidR="00E62976">
        <w:rPr>
          <w:lang w:val="en-GB"/>
        </w:rPr>
        <w:t>[26]</w:t>
      </w:r>
      <w:r w:rsidR="00CA191E">
        <w:rPr>
          <w:lang w:val="en-GB"/>
        </w:rPr>
        <w:fldChar w:fldCharType="end"/>
      </w:r>
      <w:r w:rsidRPr="00E20701">
        <w:rPr>
          <w:lang w:val="en-GB"/>
        </w:rPr>
        <w:t xml:space="preserve">, and </w:t>
      </w:r>
      <w:r w:rsidR="00CA191E">
        <w:rPr>
          <w:lang w:val="en-GB"/>
        </w:rPr>
        <w:fldChar w:fldCharType="begin"/>
      </w:r>
      <w:r w:rsidR="00CA191E">
        <w:rPr>
          <w:lang w:val="en-GB"/>
        </w:rPr>
        <w:instrText xml:space="preserve"> REF _Ref384902155 \w \h </w:instrText>
      </w:r>
      <w:r w:rsidR="00CA191E">
        <w:rPr>
          <w:lang w:val="en-GB"/>
        </w:rPr>
      </w:r>
      <w:r w:rsidR="00CA191E">
        <w:rPr>
          <w:lang w:val="en-GB"/>
        </w:rPr>
        <w:fldChar w:fldCharType="separate"/>
      </w:r>
      <w:r w:rsidR="00E62976">
        <w:rPr>
          <w:lang w:val="en-GB"/>
        </w:rPr>
        <w:t>[27]</w:t>
      </w:r>
      <w:r w:rsidR="00CA191E">
        <w:rPr>
          <w:lang w:val="en-GB"/>
        </w:rPr>
        <w:fldChar w:fldCharType="end"/>
      </w:r>
      <w:r w:rsidRPr="00E20701">
        <w:rPr>
          <w:lang w:val="en-GB"/>
        </w:rPr>
        <w:t>) give more detailed guidance on suitable methods for hazard screening, the determination of hazard frequencies of occurrence, and e.g. the derivation of intensity/frequency curves.</w:t>
      </w:r>
      <w:r w:rsidR="00712702" w:rsidRPr="00E20701">
        <w:rPr>
          <w:lang w:val="en-GB"/>
        </w:rPr>
        <w:t xml:space="preserve"> Insights relevant for hazards identification and screening for the purpose of PSA are briefly summarized in the following.</w:t>
      </w:r>
    </w:p>
    <w:p w:rsidR="00B41689" w:rsidRPr="00E20701" w:rsidRDefault="00A0626D" w:rsidP="00E62976">
      <w:pPr>
        <w:numPr>
          <w:ilvl w:val="0"/>
          <w:numId w:val="26"/>
        </w:numPr>
        <w:rPr>
          <w:lang w:val="en-GB"/>
        </w:rPr>
      </w:pPr>
      <w:r w:rsidRPr="00E20701">
        <w:rPr>
          <w:lang w:val="en-GB"/>
        </w:rPr>
        <w:t xml:space="preserve">NS-G-1.5 </w:t>
      </w:r>
      <w:r w:rsidR="00CA191E">
        <w:rPr>
          <w:lang w:val="en-GB"/>
        </w:rPr>
        <w:fldChar w:fldCharType="begin"/>
      </w:r>
      <w:r w:rsidR="00CA191E">
        <w:rPr>
          <w:lang w:val="en-GB"/>
        </w:rPr>
        <w:instrText xml:space="preserve"> REF _Ref384902145 \w \h </w:instrText>
      </w:r>
      <w:r w:rsidR="00CA191E">
        <w:rPr>
          <w:lang w:val="en-GB"/>
        </w:rPr>
      </w:r>
      <w:r w:rsidR="00CA191E">
        <w:rPr>
          <w:lang w:val="en-GB"/>
        </w:rPr>
        <w:fldChar w:fldCharType="separate"/>
      </w:r>
      <w:r w:rsidR="00E62976">
        <w:rPr>
          <w:lang w:val="en-GB"/>
        </w:rPr>
        <w:t>[22]</w:t>
      </w:r>
      <w:r w:rsidR="00CA191E">
        <w:rPr>
          <w:lang w:val="en-GB"/>
        </w:rPr>
        <w:fldChar w:fldCharType="end"/>
      </w:r>
      <w:r w:rsidRPr="00E20701">
        <w:rPr>
          <w:lang w:val="en-GB"/>
        </w:rPr>
        <w:t xml:space="preserve"> </w:t>
      </w:r>
      <w:r w:rsidR="00C96611" w:rsidRPr="00E20701">
        <w:rPr>
          <w:lang w:val="en-GB"/>
        </w:rPr>
        <w:t>discusses</w:t>
      </w:r>
      <w:r w:rsidRPr="00E20701">
        <w:rPr>
          <w:lang w:val="en-GB"/>
        </w:rPr>
        <w:t xml:space="preserve"> external events</w:t>
      </w:r>
      <w:r w:rsidR="00C96611" w:rsidRPr="00E20701">
        <w:rPr>
          <w:lang w:val="en-GB"/>
        </w:rPr>
        <w:t xml:space="preserve">, except for earthquake hazard, with regard to the design of nuclear power plants. From the deterministic side, </w:t>
      </w:r>
      <w:r w:rsidR="008A1583" w:rsidRPr="00E20701">
        <w:rPr>
          <w:lang w:val="en-GB"/>
        </w:rPr>
        <w:t>the guide recommends to define</w:t>
      </w:r>
      <w:r w:rsidR="00C96611" w:rsidRPr="00E20701">
        <w:rPr>
          <w:lang w:val="en-GB"/>
        </w:rPr>
        <w:t xml:space="preserve"> design basis external events </w:t>
      </w:r>
      <w:r w:rsidR="008A1583" w:rsidRPr="00E20701">
        <w:rPr>
          <w:lang w:val="en-GB"/>
        </w:rPr>
        <w:t xml:space="preserve">(DBEE) </w:t>
      </w:r>
      <w:r w:rsidR="00C96611" w:rsidRPr="00E20701">
        <w:rPr>
          <w:lang w:val="en-GB"/>
        </w:rPr>
        <w:t>a</w:t>
      </w:r>
      <w:r w:rsidR="008A1583" w:rsidRPr="00E20701">
        <w:rPr>
          <w:lang w:val="en-GB"/>
        </w:rPr>
        <w:t>nd subsequently classify safety features by external events.</w:t>
      </w:r>
      <w:r w:rsidR="00E92352" w:rsidRPr="00E20701">
        <w:rPr>
          <w:lang w:val="en-GB"/>
        </w:rPr>
        <w:t xml:space="preserve"> While NS-G-1.5 states that combinations with independent events should not be investigated “unless a combination of these events is shown to have a sufficiently high probability of occurrence“</w:t>
      </w:r>
      <w:r w:rsidR="00497635">
        <w:rPr>
          <w:lang w:val="en-GB"/>
        </w:rPr>
        <w:t xml:space="preserve"> </w:t>
      </w:r>
      <w:r w:rsidR="00497635">
        <w:rPr>
          <w:lang w:val="en-GB"/>
        </w:rPr>
        <w:fldChar w:fldCharType="begin"/>
      </w:r>
      <w:r w:rsidR="00497635">
        <w:rPr>
          <w:lang w:val="en-GB"/>
        </w:rPr>
        <w:instrText xml:space="preserve"> REF _Ref384902145 \w \h </w:instrText>
      </w:r>
      <w:r w:rsidR="00497635">
        <w:rPr>
          <w:lang w:val="en-GB"/>
        </w:rPr>
      </w:r>
      <w:r w:rsidR="00497635">
        <w:rPr>
          <w:lang w:val="en-GB"/>
        </w:rPr>
        <w:fldChar w:fldCharType="separate"/>
      </w:r>
      <w:r w:rsidR="00E62976">
        <w:rPr>
          <w:lang w:val="en-GB"/>
        </w:rPr>
        <w:t>[22]</w:t>
      </w:r>
      <w:r w:rsidR="00497635">
        <w:rPr>
          <w:lang w:val="en-GB"/>
        </w:rPr>
        <w:fldChar w:fldCharType="end"/>
      </w:r>
      <w:r w:rsidR="00E92352" w:rsidRPr="00E20701">
        <w:rPr>
          <w:lang w:val="en-GB"/>
        </w:rPr>
        <w:t>, p. 13, current practice would stress the importance of actively looking for combinations with relevant probabilities. With regard to PSA, the guide recommends that “[p]robabilistic evaluations should be carried out for the definition of suitable design combinations between external events and internal accidents, addressing both their potential correlation and their joint probability</w:t>
      </w:r>
      <w:r w:rsidR="00D349A7">
        <w:rPr>
          <w:lang w:val="en-GB"/>
        </w:rPr>
        <w:t xml:space="preserve"> </w:t>
      </w:r>
      <w:r w:rsidR="00CA191E">
        <w:rPr>
          <w:lang w:val="en-GB"/>
        </w:rPr>
        <w:fldChar w:fldCharType="begin"/>
      </w:r>
      <w:r w:rsidR="00CA191E">
        <w:rPr>
          <w:lang w:val="en-GB"/>
        </w:rPr>
        <w:instrText xml:space="preserve"> REF _Ref384902145 \w \h </w:instrText>
      </w:r>
      <w:r w:rsidR="00CA191E">
        <w:rPr>
          <w:lang w:val="en-GB"/>
        </w:rPr>
      </w:r>
      <w:r w:rsidR="00CA191E">
        <w:rPr>
          <w:lang w:val="en-GB"/>
        </w:rPr>
        <w:fldChar w:fldCharType="separate"/>
      </w:r>
      <w:r w:rsidR="00E62976">
        <w:rPr>
          <w:lang w:val="en-GB"/>
        </w:rPr>
        <w:t>[22]</w:t>
      </w:r>
      <w:r w:rsidR="00CA191E">
        <w:rPr>
          <w:lang w:val="en-GB"/>
        </w:rPr>
        <w:fldChar w:fldCharType="end"/>
      </w:r>
      <w:r w:rsidR="00E92352" w:rsidRPr="00E20701">
        <w:rPr>
          <w:lang w:val="en-GB"/>
        </w:rPr>
        <w:t>, p. 13. Moreover, NS-G-1.5 mentions the potential impact of (long</w:t>
      </w:r>
      <w:r w:rsidR="002F5E50">
        <w:rPr>
          <w:lang w:val="en-GB"/>
        </w:rPr>
        <w:t xml:space="preserve"> </w:t>
      </w:r>
      <w:r w:rsidR="00E92352" w:rsidRPr="00E20701">
        <w:rPr>
          <w:lang w:val="en-GB"/>
        </w:rPr>
        <w:t>term) loss of Ultimate Heat Sink, (long</w:t>
      </w:r>
      <w:r w:rsidR="002F5E50">
        <w:rPr>
          <w:lang w:val="en-GB"/>
        </w:rPr>
        <w:t xml:space="preserve"> </w:t>
      </w:r>
      <w:r w:rsidR="00E92352" w:rsidRPr="00E20701">
        <w:rPr>
          <w:lang w:val="en-GB"/>
        </w:rPr>
        <w:t xml:space="preserve">term) loss </w:t>
      </w:r>
      <w:r w:rsidR="00FE42D5">
        <w:rPr>
          <w:lang w:val="en-GB"/>
        </w:rPr>
        <w:t xml:space="preserve">of </w:t>
      </w:r>
      <w:r w:rsidR="00E92352" w:rsidRPr="00E20701">
        <w:rPr>
          <w:lang w:val="en-GB"/>
        </w:rPr>
        <w:t>off-site power supply, potentially adverse conditions to performing corrective measures or providing back-up facilities, implication of the long duration of events, and the simultaneous challenge to multiple levels of defence in depth.</w:t>
      </w:r>
      <w:r w:rsidR="00D807B5" w:rsidRPr="00E20701">
        <w:rPr>
          <w:lang w:val="en-GB"/>
        </w:rPr>
        <w:br/>
        <w:t xml:space="preserve">For the selection of hazards (i.e. hazard scenarios), NS-G-1.5 </w:t>
      </w:r>
      <w:r w:rsidR="00FE42D5">
        <w:rPr>
          <w:lang w:val="en-GB"/>
        </w:rPr>
        <w:fldChar w:fldCharType="begin"/>
      </w:r>
      <w:r w:rsidR="00FE42D5">
        <w:rPr>
          <w:lang w:val="en-GB"/>
        </w:rPr>
        <w:instrText xml:space="preserve"> REF _Ref384902145 \w \h </w:instrText>
      </w:r>
      <w:r w:rsidR="00FE42D5">
        <w:rPr>
          <w:lang w:val="en-GB"/>
        </w:rPr>
      </w:r>
      <w:r w:rsidR="00FE42D5">
        <w:rPr>
          <w:lang w:val="en-GB"/>
        </w:rPr>
        <w:fldChar w:fldCharType="separate"/>
      </w:r>
      <w:r w:rsidR="00E62976">
        <w:rPr>
          <w:lang w:val="en-GB"/>
        </w:rPr>
        <w:t>[22]</w:t>
      </w:r>
      <w:r w:rsidR="00FE42D5">
        <w:rPr>
          <w:lang w:val="en-GB"/>
        </w:rPr>
        <w:fldChar w:fldCharType="end"/>
      </w:r>
      <w:r w:rsidR="00D807B5" w:rsidRPr="00E20701">
        <w:rPr>
          <w:lang w:val="en-GB"/>
        </w:rPr>
        <w:t xml:space="preserve"> recommends determining credible events based on deterministic as well as probabilistic methods, the latter being understood determining hazard (frequency of occurrence) curves. The application of screening values should be consistent to other screening values. NS-G-1.5 </w:t>
      </w:r>
      <w:r w:rsidR="003D6509">
        <w:rPr>
          <w:lang w:val="en-GB"/>
        </w:rPr>
        <w:fldChar w:fldCharType="begin"/>
      </w:r>
      <w:r w:rsidR="003D6509">
        <w:rPr>
          <w:lang w:val="en-GB"/>
        </w:rPr>
        <w:instrText xml:space="preserve"> REF _Ref384902145 \w \h </w:instrText>
      </w:r>
      <w:r w:rsidR="003D6509">
        <w:rPr>
          <w:lang w:val="en-GB"/>
        </w:rPr>
      </w:r>
      <w:r w:rsidR="003D6509">
        <w:rPr>
          <w:lang w:val="en-GB"/>
        </w:rPr>
        <w:fldChar w:fldCharType="separate"/>
      </w:r>
      <w:r w:rsidR="00E62976">
        <w:rPr>
          <w:lang w:val="en-GB"/>
        </w:rPr>
        <w:t>[22]</w:t>
      </w:r>
      <w:r w:rsidR="003D6509">
        <w:rPr>
          <w:lang w:val="en-GB"/>
        </w:rPr>
        <w:fldChar w:fldCharType="end"/>
      </w:r>
      <w:r w:rsidR="00D807B5" w:rsidRPr="00E20701">
        <w:rPr>
          <w:lang w:val="en-GB"/>
        </w:rPr>
        <w:t>, p. 21, specifically emphasizes the relationship of frequency of hazard screening thresholds to PSA risk metrics (e.g. core damage frequency) and implicit assumptions about the reliability of safety measures.</w:t>
      </w:r>
      <w:r w:rsidR="00A54313" w:rsidRPr="00E20701">
        <w:rPr>
          <w:lang w:val="en-GB"/>
        </w:rPr>
        <w:t xml:space="preserve"> Moreover, the need for consistency to siting analyses is underlined.</w:t>
      </w:r>
      <w:r w:rsidR="00A54313" w:rsidRPr="00E20701">
        <w:rPr>
          <w:lang w:val="en-GB"/>
        </w:rPr>
        <w:br/>
        <w:t xml:space="preserve">NS-G-1.5 </w:t>
      </w:r>
      <w:r w:rsidR="003D6509">
        <w:rPr>
          <w:lang w:val="en-GB"/>
        </w:rPr>
        <w:fldChar w:fldCharType="begin"/>
      </w:r>
      <w:r w:rsidR="003D6509">
        <w:rPr>
          <w:lang w:val="en-GB"/>
        </w:rPr>
        <w:instrText xml:space="preserve"> REF _Ref384902145 \w \h </w:instrText>
      </w:r>
      <w:r w:rsidR="003D6509">
        <w:rPr>
          <w:lang w:val="en-GB"/>
        </w:rPr>
      </w:r>
      <w:r w:rsidR="003D6509">
        <w:rPr>
          <w:lang w:val="en-GB"/>
        </w:rPr>
        <w:fldChar w:fldCharType="separate"/>
      </w:r>
      <w:r w:rsidR="00E62976">
        <w:rPr>
          <w:lang w:val="en-GB"/>
        </w:rPr>
        <w:t>[22]</w:t>
      </w:r>
      <w:r w:rsidR="003D6509">
        <w:rPr>
          <w:lang w:val="en-GB"/>
        </w:rPr>
        <w:fldChar w:fldCharType="end"/>
      </w:r>
      <w:r w:rsidR="00B41689" w:rsidRPr="00E20701">
        <w:rPr>
          <w:lang w:val="en-GB"/>
        </w:rPr>
        <w:t xml:space="preserve">, p. 23ff, </w:t>
      </w:r>
      <w:r w:rsidR="00A54313" w:rsidRPr="00E20701">
        <w:rPr>
          <w:lang w:val="en-GB"/>
        </w:rPr>
        <w:t>gives guidance on the definition of a hazard scenario (for determinis</w:t>
      </w:r>
      <w:r w:rsidR="00B41689" w:rsidRPr="00E20701">
        <w:rPr>
          <w:lang w:val="en-GB"/>
        </w:rPr>
        <w:t>tic analyses) and discusses how the boundary conditions for hazard scenarios should be chose</w:t>
      </w:r>
      <w:r w:rsidR="00564B27">
        <w:rPr>
          <w:lang w:val="en-GB"/>
        </w:rPr>
        <w:t>n</w:t>
      </w:r>
      <w:r w:rsidR="00B41689" w:rsidRPr="00E20701">
        <w:rPr>
          <w:lang w:val="en-GB"/>
        </w:rPr>
        <w:t xml:space="preserve">. The recommendations to consider affected plant locations, affected safety functions (e.g. by consequential failures), and related loads to SSC can be transferred for hazards scenarios for probabilistic analyses as well. </w:t>
      </w:r>
      <w:r w:rsidR="00F32C69" w:rsidRPr="00E20701">
        <w:rPr>
          <w:lang w:val="en-GB"/>
        </w:rPr>
        <w:t xml:space="preserve">For specific hazards and the determination of their frequency of occurrence, NS-G-1.5 </w:t>
      </w:r>
      <w:r w:rsidR="003D6509">
        <w:rPr>
          <w:lang w:val="en-GB"/>
        </w:rPr>
        <w:fldChar w:fldCharType="begin"/>
      </w:r>
      <w:r w:rsidR="003D6509">
        <w:rPr>
          <w:lang w:val="en-GB"/>
        </w:rPr>
        <w:instrText xml:space="preserve"> REF _Ref384902145 \w \h </w:instrText>
      </w:r>
      <w:r w:rsidR="003D6509">
        <w:rPr>
          <w:lang w:val="en-GB"/>
        </w:rPr>
      </w:r>
      <w:r w:rsidR="003D6509">
        <w:rPr>
          <w:lang w:val="en-GB"/>
        </w:rPr>
        <w:fldChar w:fldCharType="separate"/>
      </w:r>
      <w:r w:rsidR="00E62976">
        <w:rPr>
          <w:lang w:val="en-GB"/>
        </w:rPr>
        <w:t>[22]</w:t>
      </w:r>
      <w:r w:rsidR="003D6509">
        <w:rPr>
          <w:lang w:val="en-GB"/>
        </w:rPr>
        <w:fldChar w:fldCharType="end"/>
      </w:r>
      <w:r w:rsidR="00F32C69" w:rsidRPr="00E20701">
        <w:rPr>
          <w:lang w:val="en-GB"/>
        </w:rPr>
        <w:t xml:space="preserve"> mostly refers to NS-G-3.1 </w:t>
      </w:r>
      <w:r w:rsidR="003D6509">
        <w:rPr>
          <w:lang w:val="en-GB"/>
        </w:rPr>
        <w:fldChar w:fldCharType="begin"/>
      </w:r>
      <w:r w:rsidR="003D6509">
        <w:rPr>
          <w:lang w:val="en-GB"/>
        </w:rPr>
        <w:instrText xml:space="preserve"> REF _Ref384902170 \w \h </w:instrText>
      </w:r>
      <w:r w:rsidR="003D6509">
        <w:rPr>
          <w:lang w:val="en-GB"/>
        </w:rPr>
      </w:r>
      <w:r w:rsidR="003D6509">
        <w:rPr>
          <w:lang w:val="en-GB"/>
        </w:rPr>
        <w:fldChar w:fldCharType="separate"/>
      </w:r>
      <w:r w:rsidR="00E62976">
        <w:rPr>
          <w:lang w:val="en-GB"/>
        </w:rPr>
        <w:t>[19]</w:t>
      </w:r>
      <w:r w:rsidR="003D6509">
        <w:rPr>
          <w:lang w:val="en-GB"/>
        </w:rPr>
        <w:fldChar w:fldCharType="end"/>
      </w:r>
      <w:r w:rsidR="00F32C69" w:rsidRPr="00E20701">
        <w:rPr>
          <w:lang w:val="en-GB"/>
        </w:rPr>
        <w:t xml:space="preserve"> for human-induced events</w:t>
      </w:r>
      <w:r w:rsidR="006953CB" w:rsidRPr="00E20701">
        <w:rPr>
          <w:lang w:val="en-GB"/>
        </w:rPr>
        <w:t>, NS-G-3.5 (superseded by</w:t>
      </w:r>
      <w:r w:rsidR="00F32C69" w:rsidRPr="00E20701">
        <w:rPr>
          <w:lang w:val="en-GB"/>
        </w:rPr>
        <w:t xml:space="preserve"> SSG-18 </w:t>
      </w:r>
      <w:r w:rsidR="003D6509">
        <w:rPr>
          <w:lang w:val="en-GB"/>
        </w:rPr>
        <w:fldChar w:fldCharType="begin"/>
      </w:r>
      <w:r w:rsidR="003D6509">
        <w:rPr>
          <w:lang w:val="en-GB"/>
        </w:rPr>
        <w:instrText xml:space="preserve"> REF _Ref384902153 \w \h </w:instrText>
      </w:r>
      <w:r w:rsidR="003D6509">
        <w:rPr>
          <w:lang w:val="en-GB"/>
        </w:rPr>
      </w:r>
      <w:r w:rsidR="003D6509">
        <w:rPr>
          <w:lang w:val="en-GB"/>
        </w:rPr>
        <w:fldChar w:fldCharType="separate"/>
      </w:r>
      <w:r w:rsidR="00E62976">
        <w:rPr>
          <w:lang w:val="en-GB"/>
        </w:rPr>
        <w:t>[26]</w:t>
      </w:r>
      <w:r w:rsidR="003D6509">
        <w:rPr>
          <w:lang w:val="en-GB"/>
        </w:rPr>
        <w:fldChar w:fldCharType="end"/>
      </w:r>
      <w:r w:rsidR="006953CB" w:rsidRPr="00E20701">
        <w:rPr>
          <w:lang w:val="en-GB"/>
        </w:rPr>
        <w:t>)</w:t>
      </w:r>
      <w:r w:rsidR="00E16B03" w:rsidRPr="00E20701">
        <w:rPr>
          <w:lang w:val="en-GB"/>
        </w:rPr>
        <w:t xml:space="preserve"> for flooding</w:t>
      </w:r>
      <w:r w:rsidR="006953CB" w:rsidRPr="00E20701">
        <w:rPr>
          <w:lang w:val="en-GB"/>
        </w:rPr>
        <w:t xml:space="preserve">, NS-G-3.5 </w:t>
      </w:r>
      <w:r w:rsidR="00E16B03" w:rsidRPr="00E20701">
        <w:rPr>
          <w:lang w:val="en-GB"/>
        </w:rPr>
        <w:t xml:space="preserve">for meteorological events </w:t>
      </w:r>
      <w:r w:rsidR="006953CB" w:rsidRPr="00E20701">
        <w:rPr>
          <w:lang w:val="en-GB"/>
        </w:rPr>
        <w:t xml:space="preserve">(superseded by SSG-18 </w:t>
      </w:r>
      <w:r w:rsidR="003D6509">
        <w:rPr>
          <w:lang w:val="en-GB"/>
        </w:rPr>
        <w:fldChar w:fldCharType="begin"/>
      </w:r>
      <w:r w:rsidR="003D6509">
        <w:rPr>
          <w:lang w:val="en-GB"/>
        </w:rPr>
        <w:instrText xml:space="preserve"> REF _Ref384902153 \w \h </w:instrText>
      </w:r>
      <w:r w:rsidR="003D6509">
        <w:rPr>
          <w:lang w:val="en-GB"/>
        </w:rPr>
      </w:r>
      <w:r w:rsidR="003D6509">
        <w:rPr>
          <w:lang w:val="en-GB"/>
        </w:rPr>
        <w:fldChar w:fldCharType="separate"/>
      </w:r>
      <w:r w:rsidR="00E62976">
        <w:rPr>
          <w:lang w:val="en-GB"/>
        </w:rPr>
        <w:t>[26]</w:t>
      </w:r>
      <w:r w:rsidR="003D6509">
        <w:rPr>
          <w:lang w:val="en-GB"/>
        </w:rPr>
        <w:fldChar w:fldCharType="end"/>
      </w:r>
      <w:r w:rsidR="006953CB" w:rsidRPr="00E20701">
        <w:rPr>
          <w:lang w:val="en-GB"/>
        </w:rPr>
        <w:t>), and Provisional Safety Standards Series No. 1</w:t>
      </w:r>
      <w:r w:rsidR="00E16B03" w:rsidRPr="00E20701">
        <w:rPr>
          <w:lang w:val="en-GB"/>
        </w:rPr>
        <w:t xml:space="preserve"> for volcanism</w:t>
      </w:r>
      <w:r w:rsidR="006953CB" w:rsidRPr="00E20701">
        <w:rPr>
          <w:lang w:val="en-GB"/>
        </w:rPr>
        <w:t xml:space="preserve"> (superseded by SSG-21 </w:t>
      </w:r>
      <w:r w:rsidR="003D6509">
        <w:rPr>
          <w:lang w:val="en-GB"/>
        </w:rPr>
        <w:fldChar w:fldCharType="begin"/>
      </w:r>
      <w:r w:rsidR="003D6509">
        <w:rPr>
          <w:lang w:val="en-GB"/>
        </w:rPr>
        <w:instrText xml:space="preserve"> REF _Ref384902155 \w \h </w:instrText>
      </w:r>
      <w:r w:rsidR="003D6509">
        <w:rPr>
          <w:lang w:val="en-GB"/>
        </w:rPr>
      </w:r>
      <w:r w:rsidR="003D6509">
        <w:rPr>
          <w:lang w:val="en-GB"/>
        </w:rPr>
        <w:fldChar w:fldCharType="separate"/>
      </w:r>
      <w:r w:rsidR="00E62976">
        <w:rPr>
          <w:lang w:val="en-GB"/>
        </w:rPr>
        <w:t>[27]</w:t>
      </w:r>
      <w:r w:rsidR="003D6509">
        <w:rPr>
          <w:lang w:val="en-GB"/>
        </w:rPr>
        <w:fldChar w:fldCharType="end"/>
      </w:r>
      <w:r w:rsidR="006953CB" w:rsidRPr="00E20701">
        <w:rPr>
          <w:lang w:val="en-GB"/>
        </w:rPr>
        <w:t xml:space="preserve">). </w:t>
      </w:r>
      <w:r w:rsidR="00564B27">
        <w:rPr>
          <w:lang w:val="en-GB"/>
        </w:rPr>
        <w:t>Specific aspects of</w:t>
      </w:r>
      <w:r w:rsidR="006953CB" w:rsidRPr="00E20701">
        <w:rPr>
          <w:lang w:val="en-GB"/>
        </w:rPr>
        <w:t xml:space="preserve"> each case see below.</w:t>
      </w:r>
      <w:r w:rsidR="00B41689" w:rsidRPr="00E20701">
        <w:rPr>
          <w:lang w:val="en-GB"/>
        </w:rPr>
        <w:t xml:space="preserve"> </w:t>
      </w:r>
    </w:p>
    <w:p w:rsidR="003734EF" w:rsidRPr="00E20701" w:rsidRDefault="00C96611" w:rsidP="00E62976">
      <w:pPr>
        <w:numPr>
          <w:ilvl w:val="0"/>
          <w:numId w:val="26"/>
        </w:numPr>
        <w:rPr>
          <w:lang w:val="en-GB"/>
        </w:rPr>
      </w:pPr>
      <w:r w:rsidRPr="00E20701">
        <w:rPr>
          <w:lang w:val="en-GB"/>
        </w:rPr>
        <w:t xml:space="preserve">SSG-9 </w:t>
      </w:r>
      <w:r w:rsidR="003D6509">
        <w:rPr>
          <w:lang w:val="en-GB"/>
        </w:rPr>
        <w:fldChar w:fldCharType="begin"/>
      </w:r>
      <w:r w:rsidR="003D6509">
        <w:rPr>
          <w:lang w:val="en-GB"/>
        </w:rPr>
        <w:instrText xml:space="preserve"> REF _Ref410040057 \w \h </w:instrText>
      </w:r>
      <w:r w:rsidR="003D6509">
        <w:rPr>
          <w:lang w:val="en-GB"/>
        </w:rPr>
      </w:r>
      <w:r w:rsidR="003D6509">
        <w:rPr>
          <w:lang w:val="en-GB"/>
        </w:rPr>
        <w:fldChar w:fldCharType="separate"/>
      </w:r>
      <w:r w:rsidR="00E62976">
        <w:rPr>
          <w:lang w:val="en-GB"/>
        </w:rPr>
        <w:t>[25]</w:t>
      </w:r>
      <w:r w:rsidR="003D6509">
        <w:rPr>
          <w:lang w:val="en-GB"/>
        </w:rPr>
        <w:fldChar w:fldCharType="end"/>
      </w:r>
      <w:r w:rsidRPr="00E20701">
        <w:rPr>
          <w:lang w:val="en-GB"/>
        </w:rPr>
        <w:t xml:space="preserve"> treats seismic hazards</w:t>
      </w:r>
      <w:r w:rsidR="009E536F" w:rsidRPr="00E20701">
        <w:rPr>
          <w:lang w:val="en-GB"/>
        </w:rPr>
        <w:t xml:space="preserve"> for nuclear installation</w:t>
      </w:r>
      <w:r w:rsidRPr="00E20701">
        <w:rPr>
          <w:lang w:val="en-GB"/>
        </w:rPr>
        <w:t>.</w:t>
      </w:r>
      <w:r w:rsidR="009E536F" w:rsidRPr="00E20701">
        <w:rPr>
          <w:lang w:val="en-GB"/>
        </w:rPr>
        <w:t xml:space="preserve"> Different seismic mechanism (ground motion, fault displacement and related phenomena like liquefaction, subsidence, etc.) are mentioned. SSG-9 </w:t>
      </w:r>
      <w:r w:rsidR="003D6509">
        <w:rPr>
          <w:lang w:val="en-GB"/>
        </w:rPr>
        <w:fldChar w:fldCharType="begin"/>
      </w:r>
      <w:r w:rsidR="003D6509">
        <w:rPr>
          <w:lang w:val="en-GB"/>
        </w:rPr>
        <w:instrText xml:space="preserve"> REF _Ref410040057 \w \h </w:instrText>
      </w:r>
      <w:r w:rsidR="003D6509">
        <w:rPr>
          <w:lang w:val="en-GB"/>
        </w:rPr>
      </w:r>
      <w:r w:rsidR="003D6509">
        <w:rPr>
          <w:lang w:val="en-GB"/>
        </w:rPr>
        <w:fldChar w:fldCharType="separate"/>
      </w:r>
      <w:r w:rsidR="00E62976">
        <w:rPr>
          <w:lang w:val="en-GB"/>
        </w:rPr>
        <w:t>[25]</w:t>
      </w:r>
      <w:r w:rsidR="003D6509">
        <w:rPr>
          <w:lang w:val="en-GB"/>
        </w:rPr>
        <w:fldChar w:fldCharType="end"/>
      </w:r>
      <w:r w:rsidR="009E536F" w:rsidRPr="00E20701">
        <w:rPr>
          <w:lang w:val="en-GB"/>
        </w:rPr>
        <w:t xml:space="preserve"> p. 7ff recommends as a starting point for seismic hazard determination a thorough investigation of the site and its vicinity (regional and near regional) using geological, geotechnical, </w:t>
      </w:r>
      <w:r w:rsidR="002F5E50" w:rsidRPr="00E20701">
        <w:rPr>
          <w:lang w:val="en-GB"/>
        </w:rPr>
        <w:t>geophysical</w:t>
      </w:r>
      <w:r w:rsidR="009E536F" w:rsidRPr="00E20701">
        <w:rPr>
          <w:lang w:val="en-GB"/>
        </w:rPr>
        <w:t xml:space="preserve">, hydrological and other methods to get a good understanding of the site properties. Moreover, the paleoseismic record of the site and its vicinity </w:t>
      </w:r>
      <w:r w:rsidR="00B1405C" w:rsidRPr="00E20701">
        <w:rPr>
          <w:lang w:val="en-GB"/>
        </w:rPr>
        <w:t xml:space="preserve">(earthquake catalogue) </w:t>
      </w:r>
      <w:r w:rsidR="009E536F" w:rsidRPr="00E20701">
        <w:rPr>
          <w:lang w:val="en-GB"/>
        </w:rPr>
        <w:t xml:space="preserve">needs to be determined. The information should be put into a seismological database for the site </w:t>
      </w:r>
      <w:r w:rsidR="003D6509">
        <w:rPr>
          <w:lang w:val="en-GB"/>
        </w:rPr>
        <w:fldChar w:fldCharType="begin"/>
      </w:r>
      <w:r w:rsidR="003D6509">
        <w:rPr>
          <w:lang w:val="en-GB"/>
        </w:rPr>
        <w:instrText xml:space="preserve"> REF _Ref410040057 \w \h </w:instrText>
      </w:r>
      <w:r w:rsidR="003D6509">
        <w:rPr>
          <w:lang w:val="en-GB"/>
        </w:rPr>
      </w:r>
      <w:r w:rsidR="003D6509">
        <w:rPr>
          <w:lang w:val="en-GB"/>
        </w:rPr>
        <w:fldChar w:fldCharType="separate"/>
      </w:r>
      <w:r w:rsidR="00E62976">
        <w:rPr>
          <w:lang w:val="en-GB"/>
        </w:rPr>
        <w:t>[25]</w:t>
      </w:r>
      <w:r w:rsidR="003D6509">
        <w:rPr>
          <w:lang w:val="en-GB"/>
        </w:rPr>
        <w:fldChar w:fldCharType="end"/>
      </w:r>
      <w:r w:rsidR="009E536F" w:rsidRPr="00E20701">
        <w:rPr>
          <w:lang w:val="en-GB"/>
        </w:rPr>
        <w:t>, p. 12</w:t>
      </w:r>
      <w:r w:rsidR="00DB01EA" w:rsidRPr="00E20701">
        <w:rPr>
          <w:lang w:val="en-GB"/>
        </w:rPr>
        <w:t>f</w:t>
      </w:r>
      <w:r w:rsidR="009E536F" w:rsidRPr="00E20701">
        <w:rPr>
          <w:lang w:val="en-GB"/>
        </w:rPr>
        <w:t xml:space="preserve">f. Therewith, a regional seismotectonic model </w:t>
      </w:r>
      <w:r w:rsidR="003D6509">
        <w:rPr>
          <w:lang w:val="en-GB"/>
        </w:rPr>
        <w:fldChar w:fldCharType="begin"/>
      </w:r>
      <w:r w:rsidR="003D6509">
        <w:rPr>
          <w:lang w:val="en-GB"/>
        </w:rPr>
        <w:instrText xml:space="preserve"> REF _Ref410040057 \w \h </w:instrText>
      </w:r>
      <w:r w:rsidR="003D6509">
        <w:rPr>
          <w:lang w:val="en-GB"/>
        </w:rPr>
      </w:r>
      <w:r w:rsidR="003D6509">
        <w:rPr>
          <w:lang w:val="en-GB"/>
        </w:rPr>
        <w:fldChar w:fldCharType="separate"/>
      </w:r>
      <w:r w:rsidR="00E62976">
        <w:rPr>
          <w:lang w:val="en-GB"/>
        </w:rPr>
        <w:t>[25]</w:t>
      </w:r>
      <w:r w:rsidR="003D6509">
        <w:rPr>
          <w:lang w:val="en-GB"/>
        </w:rPr>
        <w:fldChar w:fldCharType="end"/>
      </w:r>
      <w:r w:rsidR="00C96145" w:rsidRPr="00E20701">
        <w:rPr>
          <w:lang w:val="en-GB"/>
        </w:rPr>
        <w:t xml:space="preserve">, p. 15ff, </w:t>
      </w:r>
      <w:r w:rsidR="009E536F" w:rsidRPr="00E20701">
        <w:rPr>
          <w:lang w:val="en-GB"/>
        </w:rPr>
        <w:t>should be developed, which</w:t>
      </w:r>
      <w:r w:rsidR="00B1405C" w:rsidRPr="00E20701">
        <w:rPr>
          <w:lang w:val="en-GB"/>
        </w:rPr>
        <w:t xml:space="preserve"> encompasses all identified, relevant seismogenic structures and allows for diffuse seismicity. Seismogenic structures need to be properly characterized with respect to the model parameters (at least the applicable maximum magnitude</w:t>
      </w:r>
      <w:r w:rsidR="0057018C" w:rsidRPr="00E20701">
        <w:rPr>
          <w:lang w:val="en-GB"/>
        </w:rPr>
        <w:t xml:space="preserve"> and attenuation relationships</w:t>
      </w:r>
      <w:r w:rsidR="00B1405C" w:rsidRPr="00E20701">
        <w:rPr>
          <w:lang w:val="en-GB"/>
        </w:rPr>
        <w:t xml:space="preserve">), together with estimations of related uncertainties. </w:t>
      </w:r>
      <w:r w:rsidR="00C96145" w:rsidRPr="00E20701">
        <w:rPr>
          <w:lang w:val="en-GB"/>
        </w:rPr>
        <w:t xml:space="preserve">The scope and level of detail of the model depends on available data and scientific understanding of the seismogenic properties of the site. </w:t>
      </w:r>
      <w:r w:rsidR="0073521B" w:rsidRPr="00E20701">
        <w:rPr>
          <w:lang w:val="en-GB"/>
        </w:rPr>
        <w:t xml:space="preserve">For probabilistic analyses, seismic hazard frequency curves have to be derived from the aforementioned model, usually given by frequency of exceedance for the relevant magnitude of impact parameter. </w:t>
      </w:r>
      <w:r w:rsidR="0057018C" w:rsidRPr="00E20701">
        <w:rPr>
          <w:lang w:val="en-GB"/>
        </w:rPr>
        <w:t xml:space="preserve">SSG-9 gives related guidance for </w:t>
      </w:r>
      <w:r w:rsidR="0073521B" w:rsidRPr="00E20701">
        <w:rPr>
          <w:lang w:val="en-GB"/>
        </w:rPr>
        <w:t xml:space="preserve">ground motion hazard curves, which are often based on peak ground acceleration </w:t>
      </w:r>
      <w:r w:rsidR="003C68AD">
        <w:rPr>
          <w:rFonts w:hint="eastAsia"/>
          <w:lang w:val="en-GB" w:eastAsia="ja-JP"/>
        </w:rPr>
        <w:t>or</w:t>
      </w:r>
      <w:r w:rsidR="0073521B" w:rsidRPr="00E20701">
        <w:rPr>
          <w:lang w:val="en-GB"/>
        </w:rPr>
        <w:t xml:space="preserve"> </w:t>
      </w:r>
      <w:r w:rsidR="00FE22F2">
        <w:rPr>
          <w:rFonts w:hint="eastAsia"/>
          <w:lang w:val="en-GB" w:eastAsia="ja-JP"/>
        </w:rPr>
        <w:t>response spectrum</w:t>
      </w:r>
      <w:r w:rsidR="0073521B" w:rsidRPr="00E20701">
        <w:rPr>
          <w:lang w:val="en-GB"/>
        </w:rPr>
        <w:t>, and the amplitudes and duration of the earthquake shock.</w:t>
      </w:r>
      <w:r w:rsidR="0057018C" w:rsidRPr="00E20701">
        <w:rPr>
          <w:rStyle w:val="Appelnotedebasdep"/>
          <w:lang w:val="en-GB"/>
        </w:rPr>
        <w:footnoteReference w:id="8"/>
      </w:r>
      <w:r w:rsidR="0073521B" w:rsidRPr="00E20701">
        <w:rPr>
          <w:lang w:val="en-GB"/>
        </w:rPr>
        <w:t xml:space="preserve"> </w:t>
      </w:r>
      <w:r w:rsidR="00091748" w:rsidRPr="00E20701">
        <w:rPr>
          <w:lang w:val="en-GB"/>
        </w:rPr>
        <w:t>At least for PSA purposes, alternative seismotectonic models shou</w:t>
      </w:r>
      <w:r w:rsidR="00A5334A" w:rsidRPr="00E20701">
        <w:rPr>
          <w:lang w:val="en-GB"/>
        </w:rPr>
        <w:t>ld be included in uncertainty assessments</w:t>
      </w:r>
      <w:r w:rsidR="00091748" w:rsidRPr="00E20701">
        <w:rPr>
          <w:lang w:val="en-GB"/>
        </w:rPr>
        <w:t>.</w:t>
      </w:r>
      <w:r w:rsidR="00091748" w:rsidRPr="00E20701">
        <w:rPr>
          <w:lang w:val="en-GB"/>
        </w:rPr>
        <w:br/>
        <w:t xml:space="preserve">Thereafter, SSG-9 gives specific recommendation on </w:t>
      </w:r>
      <w:r w:rsidR="00D54D70" w:rsidRPr="00E20701">
        <w:rPr>
          <w:lang w:val="en-GB"/>
        </w:rPr>
        <w:t xml:space="preserve">probabilistic </w:t>
      </w:r>
      <w:r w:rsidR="00091748" w:rsidRPr="00E20701">
        <w:rPr>
          <w:lang w:val="en-GB"/>
        </w:rPr>
        <w:t xml:space="preserve">seismic hazard </w:t>
      </w:r>
      <w:r w:rsidR="00D54D70" w:rsidRPr="00E20701">
        <w:rPr>
          <w:lang w:val="en-GB"/>
        </w:rPr>
        <w:t>analysis</w:t>
      </w:r>
      <w:r w:rsidR="00091748" w:rsidRPr="00E20701">
        <w:rPr>
          <w:lang w:val="en-GB"/>
        </w:rPr>
        <w:t xml:space="preserve"> </w:t>
      </w:r>
      <w:r w:rsidR="003D6509">
        <w:rPr>
          <w:lang w:val="en-GB"/>
        </w:rPr>
        <w:fldChar w:fldCharType="begin"/>
      </w:r>
      <w:r w:rsidR="003D6509">
        <w:rPr>
          <w:lang w:val="en-GB"/>
        </w:rPr>
        <w:instrText xml:space="preserve"> REF _Ref410040057 \w \h </w:instrText>
      </w:r>
      <w:r w:rsidR="003D6509">
        <w:rPr>
          <w:lang w:val="en-GB"/>
        </w:rPr>
      </w:r>
      <w:r w:rsidR="003D6509">
        <w:rPr>
          <w:lang w:val="en-GB"/>
        </w:rPr>
        <w:fldChar w:fldCharType="separate"/>
      </w:r>
      <w:r w:rsidR="00E62976">
        <w:rPr>
          <w:lang w:val="en-GB"/>
        </w:rPr>
        <w:t>[25]</w:t>
      </w:r>
      <w:r w:rsidR="003D6509">
        <w:rPr>
          <w:lang w:val="en-GB"/>
        </w:rPr>
        <w:fldChar w:fldCharType="end"/>
      </w:r>
      <w:r w:rsidR="00091748" w:rsidRPr="00E20701">
        <w:rPr>
          <w:lang w:val="en-GB"/>
        </w:rPr>
        <w:t xml:space="preserve">, p. </w:t>
      </w:r>
      <w:r w:rsidR="00DB01EA" w:rsidRPr="00E20701">
        <w:rPr>
          <w:lang w:val="en-GB"/>
        </w:rPr>
        <w:t>26</w:t>
      </w:r>
      <w:r w:rsidR="00091748" w:rsidRPr="00E20701">
        <w:rPr>
          <w:lang w:val="en-GB"/>
        </w:rPr>
        <w:t xml:space="preserve">f. With regard to </w:t>
      </w:r>
      <w:r w:rsidR="00A5334A" w:rsidRPr="00E20701">
        <w:rPr>
          <w:lang w:val="en-GB"/>
        </w:rPr>
        <w:t>identification of events, SGG-9 points out that frequency values for screening out seismic impact scenarios can be very low (e.g. 10</w:t>
      </w:r>
      <w:r w:rsidR="00A5334A" w:rsidRPr="00C70893">
        <w:rPr>
          <w:vertAlign w:val="superscript"/>
          <w:lang w:val="en-GB"/>
        </w:rPr>
        <w:t>-8</w:t>
      </w:r>
      <w:r w:rsidR="00A5334A" w:rsidRPr="00E20701">
        <w:rPr>
          <w:lang w:val="en-GB"/>
        </w:rPr>
        <w:t xml:space="preserve"> per year) depending on the purpose of the PSA and the overall CDF </w:t>
      </w:r>
      <w:r w:rsidR="00D54D70" w:rsidRPr="00E20701">
        <w:rPr>
          <w:lang w:val="en-GB"/>
        </w:rPr>
        <w:t>(</w:t>
      </w:r>
      <w:r w:rsidR="00A5334A" w:rsidRPr="00E20701">
        <w:rPr>
          <w:lang w:val="en-GB"/>
        </w:rPr>
        <w:t>or LRF</w:t>
      </w:r>
      <w:r w:rsidR="00D54D70" w:rsidRPr="00E20701">
        <w:rPr>
          <w:lang w:val="en-GB"/>
        </w:rPr>
        <w:t>)</w:t>
      </w:r>
      <w:r w:rsidR="00A5334A" w:rsidRPr="00E20701">
        <w:rPr>
          <w:lang w:val="en-GB"/>
        </w:rPr>
        <w:t xml:space="preserve"> of the plant. Correspondingly,</w:t>
      </w:r>
      <w:r w:rsidR="00DB01EA" w:rsidRPr="00E20701">
        <w:rPr>
          <w:lang w:val="en-GB"/>
        </w:rPr>
        <w:t xml:space="preserve"> the val</w:t>
      </w:r>
      <w:r w:rsidR="00D54D70" w:rsidRPr="00E20701">
        <w:rPr>
          <w:lang w:val="en-GB"/>
        </w:rPr>
        <w:t>i</w:t>
      </w:r>
      <w:r w:rsidR="00DB01EA" w:rsidRPr="00E20701">
        <w:rPr>
          <w:lang w:val="en-GB"/>
        </w:rPr>
        <w:t>dity</w:t>
      </w:r>
      <w:r w:rsidR="00D54D70" w:rsidRPr="00E20701">
        <w:rPr>
          <w:lang w:val="en-GB"/>
        </w:rPr>
        <w:t xml:space="preserve"> of the database and related hazard frequency models, which might be biased and come with large uncertainties, should be assessed. </w:t>
      </w:r>
      <w:r w:rsidR="003734EF" w:rsidRPr="00E20701">
        <w:rPr>
          <w:lang w:val="en-GB"/>
        </w:rPr>
        <w:t>At a minimum, seismic hazard frequency determination should include</w:t>
      </w:r>
    </w:p>
    <w:p w:rsidR="003734EF" w:rsidRPr="00E20701" w:rsidRDefault="003734EF" w:rsidP="00E62976">
      <w:pPr>
        <w:numPr>
          <w:ilvl w:val="1"/>
          <w:numId w:val="26"/>
        </w:numPr>
        <w:rPr>
          <w:lang w:val="en-GB"/>
        </w:rPr>
      </w:pPr>
      <w:r w:rsidRPr="00E20701">
        <w:rPr>
          <w:lang w:val="en-GB"/>
        </w:rPr>
        <w:t>a seismotectonic model with all relevant sources</w:t>
      </w:r>
      <w:r w:rsidR="00C95219" w:rsidRPr="00E20701">
        <w:rPr>
          <w:lang w:val="en-GB"/>
        </w:rPr>
        <w:t>, their boundaries and distances for the site,</w:t>
      </w:r>
      <w:r w:rsidRPr="00E20701">
        <w:rPr>
          <w:lang w:val="en-GB"/>
        </w:rPr>
        <w:t xml:space="preserve"> including respective uncertainties,</w:t>
      </w:r>
    </w:p>
    <w:p w:rsidR="003734EF" w:rsidRPr="00E20701" w:rsidRDefault="003734EF" w:rsidP="00E62976">
      <w:pPr>
        <w:numPr>
          <w:ilvl w:val="1"/>
          <w:numId w:val="26"/>
        </w:numPr>
        <w:rPr>
          <w:lang w:val="en-GB"/>
        </w:rPr>
      </w:pPr>
      <w:r w:rsidRPr="00E20701">
        <w:rPr>
          <w:lang w:val="en-GB"/>
        </w:rPr>
        <w:t xml:space="preserve">for each seismic source a characterization in terms of maximum magnitude, seism frequency, magnitude-frequency relationship and related uncertainties, </w:t>
      </w:r>
    </w:p>
    <w:p w:rsidR="00C95219" w:rsidRPr="00E20701" w:rsidRDefault="003734EF" w:rsidP="00E62976">
      <w:pPr>
        <w:numPr>
          <w:ilvl w:val="1"/>
          <w:numId w:val="26"/>
        </w:numPr>
        <w:rPr>
          <w:lang w:val="en-GB"/>
        </w:rPr>
      </w:pPr>
      <w:r w:rsidRPr="00E20701">
        <w:rPr>
          <w:lang w:val="en-GB"/>
        </w:rPr>
        <w:t>selection of appropriate attenuation relationships</w:t>
      </w:r>
      <w:r w:rsidR="00C95219" w:rsidRPr="00E20701">
        <w:rPr>
          <w:lang w:val="en-GB"/>
        </w:rPr>
        <w:t>,</w:t>
      </w:r>
    </w:p>
    <w:p w:rsidR="00C95219" w:rsidRPr="00E20701" w:rsidRDefault="00C95219" w:rsidP="00E62976">
      <w:pPr>
        <w:numPr>
          <w:ilvl w:val="1"/>
          <w:numId w:val="26"/>
        </w:numPr>
        <w:rPr>
          <w:lang w:val="en-GB"/>
        </w:rPr>
      </w:pPr>
      <w:r w:rsidRPr="00E20701">
        <w:rPr>
          <w:lang w:val="en-GB"/>
        </w:rPr>
        <w:t>consideration of the site response as appropriate, and</w:t>
      </w:r>
    </w:p>
    <w:p w:rsidR="00A0626D" w:rsidRPr="00E20701" w:rsidRDefault="00C95219" w:rsidP="00E62976">
      <w:pPr>
        <w:numPr>
          <w:ilvl w:val="1"/>
          <w:numId w:val="26"/>
        </w:numPr>
        <w:rPr>
          <w:lang w:val="en-GB"/>
        </w:rPr>
      </w:pPr>
      <w:r w:rsidRPr="00E20701">
        <w:rPr>
          <w:lang w:val="en-GB"/>
        </w:rPr>
        <w:t>integration over all sources and contributions.</w:t>
      </w:r>
    </w:p>
    <w:p w:rsidR="00C95219" w:rsidRPr="00E20701" w:rsidRDefault="00C95219" w:rsidP="00AE79D6">
      <w:pPr>
        <w:ind w:left="720"/>
        <w:rPr>
          <w:lang w:val="en-GB"/>
        </w:rPr>
      </w:pPr>
      <w:r w:rsidRPr="00E20701">
        <w:rPr>
          <w:lang w:val="en-GB"/>
        </w:rPr>
        <w:t>The hazard frequency distributions need to be connected, like in design basis analysis</w:t>
      </w:r>
      <w:r w:rsidR="00A74861" w:rsidRPr="00E20701">
        <w:rPr>
          <w:lang w:val="en-GB"/>
        </w:rPr>
        <w:t xml:space="preserve"> </w:t>
      </w:r>
      <w:r w:rsidR="00497635">
        <w:rPr>
          <w:lang w:val="en-GB"/>
        </w:rPr>
        <w:fldChar w:fldCharType="begin"/>
      </w:r>
      <w:r w:rsidR="00497635">
        <w:rPr>
          <w:lang w:val="en-GB"/>
        </w:rPr>
        <w:instrText xml:space="preserve"> REF _Ref410040057 \w \h </w:instrText>
      </w:r>
      <w:r w:rsidR="00497635">
        <w:rPr>
          <w:lang w:val="en-GB"/>
        </w:rPr>
      </w:r>
      <w:r w:rsidR="00497635">
        <w:rPr>
          <w:lang w:val="en-GB"/>
        </w:rPr>
        <w:fldChar w:fldCharType="separate"/>
      </w:r>
      <w:r w:rsidR="00E62976">
        <w:rPr>
          <w:lang w:val="en-GB"/>
        </w:rPr>
        <w:t>[25]</w:t>
      </w:r>
      <w:r w:rsidR="00497635">
        <w:rPr>
          <w:lang w:val="en-GB"/>
        </w:rPr>
        <w:fldChar w:fldCharType="end"/>
      </w:r>
      <w:r w:rsidR="00A74861" w:rsidRPr="00E20701">
        <w:rPr>
          <w:lang w:val="en-GB"/>
        </w:rPr>
        <w:t>, p. 32ff</w:t>
      </w:r>
      <w:r w:rsidRPr="00E20701">
        <w:rPr>
          <w:lang w:val="en-GB"/>
        </w:rPr>
        <w:t>, to appropriate response spectra, phase and coherence relationships as well as duration of seisms</w:t>
      </w:r>
      <w:r w:rsidR="007A624B">
        <w:rPr>
          <w:lang w:val="en-GB"/>
        </w:rPr>
        <w:t>.</w:t>
      </w:r>
    </w:p>
    <w:p w:rsidR="0073521B" w:rsidRPr="00E20701" w:rsidRDefault="00C95219" w:rsidP="00AE79D6">
      <w:pPr>
        <w:ind w:left="720"/>
        <w:rPr>
          <w:lang w:val="en-GB"/>
        </w:rPr>
      </w:pPr>
      <w:r w:rsidRPr="00E20701">
        <w:rPr>
          <w:lang w:val="en-GB"/>
        </w:rPr>
        <w:t xml:space="preserve">In addition, SSG-9 </w:t>
      </w:r>
      <w:r w:rsidR="007A624B">
        <w:rPr>
          <w:lang w:val="en-GB"/>
        </w:rPr>
        <w:fldChar w:fldCharType="begin"/>
      </w:r>
      <w:r w:rsidR="007A624B">
        <w:rPr>
          <w:lang w:val="en-GB"/>
        </w:rPr>
        <w:instrText xml:space="preserve"> REF _Ref410040057 \w \h </w:instrText>
      </w:r>
      <w:r w:rsidR="007A624B">
        <w:rPr>
          <w:lang w:val="en-GB"/>
        </w:rPr>
      </w:r>
      <w:r w:rsidR="007A624B">
        <w:rPr>
          <w:lang w:val="en-GB"/>
        </w:rPr>
        <w:fldChar w:fldCharType="separate"/>
      </w:r>
      <w:r w:rsidR="00E62976">
        <w:rPr>
          <w:lang w:val="en-GB"/>
        </w:rPr>
        <w:t>[25]</w:t>
      </w:r>
      <w:r w:rsidR="007A624B">
        <w:rPr>
          <w:lang w:val="en-GB"/>
        </w:rPr>
        <w:fldChar w:fldCharType="end"/>
      </w:r>
      <w:r w:rsidRPr="00E20701">
        <w:rPr>
          <w:lang w:val="en-GB"/>
        </w:rPr>
        <w:t>, p. 29ff, emphasizes the potential relevance of capable faults at or near the site in light of the effects of (surface) fault displacements. On probabilistic fault displacement analysis, the basic approach described above should be followed. For each relevant fault, the displacement vs. frequency distribution should be determined.</w:t>
      </w:r>
    </w:p>
    <w:p w:rsidR="0041541E" w:rsidRDefault="00C96611" w:rsidP="00E62976">
      <w:pPr>
        <w:numPr>
          <w:ilvl w:val="0"/>
          <w:numId w:val="26"/>
        </w:numPr>
        <w:rPr>
          <w:lang w:val="en-GB"/>
        </w:rPr>
      </w:pPr>
      <w:r w:rsidRPr="00E20701">
        <w:rPr>
          <w:lang w:val="en-GB"/>
        </w:rPr>
        <w:t>SSG-18</w:t>
      </w:r>
      <w:r w:rsidR="006953CB" w:rsidRPr="00E20701">
        <w:rPr>
          <w:lang w:val="en-GB"/>
        </w:rPr>
        <w:t xml:space="preserve"> </w:t>
      </w:r>
      <w:r w:rsidR="007A624B">
        <w:rPr>
          <w:lang w:val="en-GB"/>
        </w:rPr>
        <w:fldChar w:fldCharType="begin"/>
      </w:r>
      <w:r w:rsidR="007A624B">
        <w:rPr>
          <w:lang w:val="en-GB"/>
        </w:rPr>
        <w:instrText xml:space="preserve"> REF _Ref384902153 \w \h </w:instrText>
      </w:r>
      <w:r w:rsidR="007A624B">
        <w:rPr>
          <w:lang w:val="en-GB"/>
        </w:rPr>
      </w:r>
      <w:r w:rsidR="007A624B">
        <w:rPr>
          <w:lang w:val="en-GB"/>
        </w:rPr>
        <w:fldChar w:fldCharType="separate"/>
      </w:r>
      <w:r w:rsidR="00E62976">
        <w:rPr>
          <w:lang w:val="en-GB"/>
        </w:rPr>
        <w:t>[26]</w:t>
      </w:r>
      <w:r w:rsidR="007A624B">
        <w:rPr>
          <w:lang w:val="en-GB"/>
        </w:rPr>
        <w:fldChar w:fldCharType="end"/>
      </w:r>
      <w:r w:rsidR="00AF20E0" w:rsidRPr="00E20701">
        <w:rPr>
          <w:lang w:val="en-GB"/>
        </w:rPr>
        <w:t xml:space="preserve"> </w:t>
      </w:r>
      <w:r w:rsidR="00083FD1" w:rsidRPr="00E20701">
        <w:rPr>
          <w:lang w:val="en-GB"/>
        </w:rPr>
        <w:t xml:space="preserve">is dedicated to the groups of meteorological and hydrological hazards. They are discussed together since they are often related. The guide specifically covers “those associated with wind, water, snow, ice or hail, wind driven materials; extreme water levels (high and/or low) around or at the site; dynamic effects of water (e.g. waves, tsunamis, flash flooding); extreme air temperature and humidity; extreme water temperature; and extreme groundwater levels” </w:t>
      </w:r>
      <w:r w:rsidR="007A624B">
        <w:rPr>
          <w:lang w:val="en-GB"/>
        </w:rPr>
        <w:fldChar w:fldCharType="begin"/>
      </w:r>
      <w:r w:rsidR="007A624B">
        <w:rPr>
          <w:lang w:val="en-GB"/>
        </w:rPr>
        <w:instrText xml:space="preserve"> REF _Ref384902153 \w \h </w:instrText>
      </w:r>
      <w:r w:rsidR="007A624B">
        <w:rPr>
          <w:lang w:val="en-GB"/>
        </w:rPr>
      </w:r>
      <w:r w:rsidR="007A624B">
        <w:rPr>
          <w:lang w:val="en-GB"/>
        </w:rPr>
        <w:fldChar w:fldCharType="separate"/>
      </w:r>
      <w:r w:rsidR="00E62976">
        <w:rPr>
          <w:lang w:val="en-GB"/>
        </w:rPr>
        <w:t>[26]</w:t>
      </w:r>
      <w:r w:rsidR="007A624B">
        <w:rPr>
          <w:lang w:val="en-GB"/>
        </w:rPr>
        <w:fldChar w:fldCharType="end"/>
      </w:r>
      <w:r w:rsidR="00083FD1" w:rsidRPr="00E20701">
        <w:rPr>
          <w:lang w:val="en-GB"/>
        </w:rPr>
        <w:t>, p. 5. For these hazard groups, important phenomena are presented, their potential impact on the hazard assessment is discussed.</w:t>
      </w:r>
      <w:r w:rsidR="00592D53" w:rsidRPr="00E20701">
        <w:rPr>
          <w:lang w:val="en-GB"/>
        </w:rPr>
        <w:br/>
        <w:t xml:space="preserve">With respect to probable maximum impact, SSG-18 specifically states that these terms are not defined probabilistically, i.e. by reference to a frequency of exceedance </w:t>
      </w:r>
      <w:r w:rsidR="007A624B">
        <w:rPr>
          <w:lang w:val="en-GB"/>
        </w:rPr>
        <w:fldChar w:fldCharType="begin"/>
      </w:r>
      <w:r w:rsidR="007A624B">
        <w:rPr>
          <w:lang w:val="en-GB"/>
        </w:rPr>
        <w:instrText xml:space="preserve"> REF _Ref384902153 \w \h </w:instrText>
      </w:r>
      <w:r w:rsidR="007A624B">
        <w:rPr>
          <w:lang w:val="en-GB"/>
        </w:rPr>
      </w:r>
      <w:r w:rsidR="007A624B">
        <w:rPr>
          <w:lang w:val="en-GB"/>
        </w:rPr>
        <w:fldChar w:fldCharType="separate"/>
      </w:r>
      <w:r w:rsidR="00E62976">
        <w:rPr>
          <w:lang w:val="en-GB"/>
        </w:rPr>
        <w:t>[26]</w:t>
      </w:r>
      <w:r w:rsidR="007A624B">
        <w:rPr>
          <w:lang w:val="en-GB"/>
        </w:rPr>
        <w:fldChar w:fldCharType="end"/>
      </w:r>
      <w:r w:rsidR="00592D53" w:rsidRPr="00E20701">
        <w:rPr>
          <w:lang w:val="en-GB"/>
        </w:rPr>
        <w:t>, p. 9f</w:t>
      </w:r>
      <w:r w:rsidR="00083FD1" w:rsidRPr="00E20701">
        <w:rPr>
          <w:lang w:val="en-GB"/>
        </w:rPr>
        <w:t>.</w:t>
      </w:r>
      <w:r w:rsidR="00592D53" w:rsidRPr="00E20701">
        <w:rPr>
          <w:lang w:val="en-GB"/>
        </w:rPr>
        <w:t xml:space="preserve"> However, SSG-18 only gives a working definition of maximum probable impact in case this is defined by existing physical limits on variables of interest (possibly from site characteristics like topology) </w:t>
      </w:r>
      <w:r w:rsidR="007A624B">
        <w:rPr>
          <w:lang w:val="en-GB"/>
        </w:rPr>
        <w:fldChar w:fldCharType="begin"/>
      </w:r>
      <w:r w:rsidR="007A624B">
        <w:rPr>
          <w:lang w:val="en-GB"/>
        </w:rPr>
        <w:instrText xml:space="preserve"> REF _Ref384902153 \w \h </w:instrText>
      </w:r>
      <w:r w:rsidR="007A624B">
        <w:rPr>
          <w:lang w:val="en-GB"/>
        </w:rPr>
      </w:r>
      <w:r w:rsidR="007A624B">
        <w:rPr>
          <w:lang w:val="en-GB"/>
        </w:rPr>
        <w:fldChar w:fldCharType="separate"/>
      </w:r>
      <w:r w:rsidR="00E62976">
        <w:rPr>
          <w:lang w:val="en-GB"/>
        </w:rPr>
        <w:t>[26]</w:t>
      </w:r>
      <w:r w:rsidR="007A624B">
        <w:rPr>
          <w:lang w:val="en-GB"/>
        </w:rPr>
        <w:fldChar w:fldCharType="end"/>
      </w:r>
      <w:r w:rsidR="00592D53" w:rsidRPr="00E20701">
        <w:rPr>
          <w:lang w:val="en-GB"/>
        </w:rPr>
        <w:t xml:space="preserve">, p. 10. </w:t>
      </w:r>
      <w:r w:rsidR="00CE09C2" w:rsidRPr="00E20701">
        <w:rPr>
          <w:lang w:val="en-GB"/>
        </w:rPr>
        <w:t>SSG-18 continues with specific advice on the data gathering and data evaluation for meteorological and hydrological hazards. Importantly, SSG-18 points out that measured data with extreme value statistics can only support frequency of exceedance evaluations that is commensurate to the observation period; a factor of about 3 between the observation period and the inverse frequency</w:t>
      </w:r>
      <w:r w:rsidR="00CE09C2" w:rsidRPr="00E20701">
        <w:rPr>
          <w:rStyle w:val="Appelnotedebasdep"/>
          <w:lang w:val="en-GB"/>
        </w:rPr>
        <w:footnoteReference w:id="9"/>
      </w:r>
      <w:r w:rsidR="00CE09C2" w:rsidRPr="00E20701">
        <w:rPr>
          <w:lang w:val="en-GB"/>
        </w:rPr>
        <w:t xml:space="preserve"> is deemed appropriate.</w:t>
      </w:r>
      <w:r w:rsidR="00592D53" w:rsidRPr="00E20701">
        <w:rPr>
          <w:lang w:val="en-GB"/>
        </w:rPr>
        <w:t xml:space="preserve"> </w:t>
      </w:r>
      <w:r w:rsidR="00CE09C2" w:rsidRPr="00E20701">
        <w:rPr>
          <w:lang w:val="en-GB"/>
        </w:rPr>
        <w:t>For extreme events, measure</w:t>
      </w:r>
      <w:r w:rsidR="00875488">
        <w:rPr>
          <w:lang w:val="en-GB"/>
        </w:rPr>
        <w:t>d</w:t>
      </w:r>
      <w:r w:rsidR="00CE09C2" w:rsidRPr="00E20701">
        <w:rPr>
          <w:lang w:val="en-GB"/>
        </w:rPr>
        <w:t xml:space="preserve"> data should be complemented by historical data, anecdotal reports, and paleogeological information, as applicable. The latter is specifically recommended for </w:t>
      </w:r>
      <w:r w:rsidR="000D387F" w:rsidRPr="00E20701">
        <w:rPr>
          <w:lang w:val="en-GB"/>
        </w:rPr>
        <w:t>hydrological hazard events like flooding or tsunami.</w:t>
      </w:r>
    </w:p>
    <w:p w:rsidR="000D387F" w:rsidRPr="00E20701" w:rsidRDefault="000D387F" w:rsidP="005F1EF2">
      <w:pPr>
        <w:ind w:left="720"/>
        <w:rPr>
          <w:lang w:val="en-GB"/>
        </w:rPr>
      </w:pPr>
      <w:r w:rsidRPr="00E20701">
        <w:rPr>
          <w:lang w:val="en-GB"/>
        </w:rPr>
        <w:t>SSG-18 recommends using deterministic, statistical and probabilistic hazard analysis approaches complementarily to perform hazard assessments. For statistical approaches, extreme value statistics of measured data in conjunctions with uncertainty and sensitivity analysis are recommended. With regard to probabilistic hazard assessment, SGG-18 gives specific recommendations on the following fields</w:t>
      </w:r>
      <w:r w:rsidR="00A57077" w:rsidRPr="00E20701">
        <w:rPr>
          <w:lang w:val="en-GB"/>
        </w:rPr>
        <w:t>.</w:t>
      </w:r>
    </w:p>
    <w:p w:rsidR="000D387F" w:rsidRPr="00E20701" w:rsidRDefault="00A57077" w:rsidP="00E62976">
      <w:pPr>
        <w:numPr>
          <w:ilvl w:val="1"/>
          <w:numId w:val="26"/>
        </w:numPr>
        <w:rPr>
          <w:lang w:val="en-GB"/>
        </w:rPr>
      </w:pPr>
      <w:r w:rsidRPr="00E20701">
        <w:rPr>
          <w:lang w:val="en-GB"/>
        </w:rPr>
        <w:t>Still water elevation,</w:t>
      </w:r>
    </w:p>
    <w:p w:rsidR="00A57077" w:rsidRPr="00E20701" w:rsidRDefault="00A57077" w:rsidP="00E62976">
      <w:pPr>
        <w:numPr>
          <w:ilvl w:val="1"/>
          <w:numId w:val="26"/>
        </w:numPr>
        <w:rPr>
          <w:lang w:val="en-GB"/>
        </w:rPr>
      </w:pPr>
      <w:r w:rsidRPr="00E20701">
        <w:rPr>
          <w:lang w:val="en-GB"/>
        </w:rPr>
        <w:t>Wind-generated waves,</w:t>
      </w:r>
    </w:p>
    <w:p w:rsidR="009D32B8" w:rsidRPr="00E20701" w:rsidRDefault="009D32B8" w:rsidP="00E62976">
      <w:pPr>
        <w:numPr>
          <w:ilvl w:val="1"/>
          <w:numId w:val="26"/>
        </w:numPr>
        <w:rPr>
          <w:lang w:val="en-GB"/>
        </w:rPr>
      </w:pPr>
      <w:r w:rsidRPr="00E20701">
        <w:rPr>
          <w:lang w:val="en-GB"/>
        </w:rPr>
        <w:t>Earthquake-induced tsunamis (and some remarks on land-slide induced tsunamis),</w:t>
      </w:r>
    </w:p>
    <w:p w:rsidR="00C96611" w:rsidRPr="00E20701" w:rsidRDefault="009D32B8" w:rsidP="00E62976">
      <w:pPr>
        <w:numPr>
          <w:ilvl w:val="1"/>
          <w:numId w:val="26"/>
        </w:numPr>
        <w:rPr>
          <w:lang w:val="en-GB"/>
        </w:rPr>
      </w:pPr>
      <w:r w:rsidRPr="00E20701">
        <w:rPr>
          <w:lang w:val="en-GB"/>
        </w:rPr>
        <w:t>Peak river discharges (Flooding level)</w:t>
      </w:r>
      <w:r w:rsidR="00BD7E9B">
        <w:rPr>
          <w:lang w:val="en-GB"/>
        </w:rPr>
        <w:t>.</w:t>
      </w:r>
    </w:p>
    <w:p w:rsidR="00A160CB" w:rsidRPr="00E20701" w:rsidRDefault="009D32B8" w:rsidP="00A160CB">
      <w:pPr>
        <w:ind w:left="720"/>
        <w:rPr>
          <w:lang w:val="en-GB"/>
        </w:rPr>
      </w:pPr>
      <w:r w:rsidRPr="00E20701">
        <w:rPr>
          <w:lang w:val="en-GB"/>
        </w:rPr>
        <w:t>Especially for statistical and probabilistic approaches</w:t>
      </w:r>
      <w:r w:rsidR="000D387F" w:rsidRPr="00E20701">
        <w:rPr>
          <w:lang w:val="en-GB"/>
        </w:rPr>
        <w:t>, the time-</w:t>
      </w:r>
      <w:r w:rsidR="00590605">
        <w:rPr>
          <w:lang w:val="en-GB"/>
        </w:rPr>
        <w:t>dependent statistical</w:t>
      </w:r>
      <w:r w:rsidR="00590605" w:rsidRPr="00E20701">
        <w:rPr>
          <w:lang w:val="en-GB"/>
        </w:rPr>
        <w:t xml:space="preserve"> </w:t>
      </w:r>
      <w:r w:rsidR="000D387F" w:rsidRPr="00E20701">
        <w:rPr>
          <w:lang w:val="en-GB"/>
        </w:rPr>
        <w:t>characteristic of data should be taken into account</w:t>
      </w:r>
      <w:r w:rsidR="00D354D8" w:rsidRPr="00E20701">
        <w:rPr>
          <w:lang w:val="en-GB"/>
        </w:rPr>
        <w:t>, i.e. changes over time should be considered when deriving current and future hazard frequencies</w:t>
      </w:r>
      <w:r w:rsidR="000D387F" w:rsidRPr="00E20701">
        <w:rPr>
          <w:lang w:val="en-GB"/>
        </w:rPr>
        <w:t>. This</w:t>
      </w:r>
      <w:r w:rsidR="00D354D8" w:rsidRPr="00E20701">
        <w:rPr>
          <w:lang w:val="en-GB"/>
        </w:rPr>
        <w:t xml:space="preserve"> pertains e.g. to the effects of climate change, but also to changes in topography</w:t>
      </w:r>
      <w:r w:rsidR="00A160CB" w:rsidRPr="00E20701">
        <w:rPr>
          <w:lang w:val="en-GB"/>
        </w:rPr>
        <w:t xml:space="preserve">, the drainage basin, </w:t>
      </w:r>
      <w:r w:rsidR="00D354D8" w:rsidRPr="00E20701">
        <w:rPr>
          <w:lang w:val="en-GB"/>
        </w:rPr>
        <w:t>water networks</w:t>
      </w:r>
      <w:r w:rsidR="00A160CB" w:rsidRPr="00E20701">
        <w:rPr>
          <w:lang w:val="en-GB"/>
        </w:rPr>
        <w:t xml:space="preserve">, including man-made changes, and land-use </w:t>
      </w:r>
      <w:r w:rsidR="00246D96">
        <w:rPr>
          <w:lang w:val="en-GB"/>
        </w:rPr>
        <w:fldChar w:fldCharType="begin"/>
      </w:r>
      <w:r w:rsidR="00246D96">
        <w:rPr>
          <w:lang w:val="en-GB"/>
        </w:rPr>
        <w:instrText xml:space="preserve"> REF _Ref384902153 \w \h </w:instrText>
      </w:r>
      <w:r w:rsidR="00246D96">
        <w:rPr>
          <w:lang w:val="en-GB"/>
        </w:rPr>
      </w:r>
      <w:r w:rsidR="00246D96">
        <w:rPr>
          <w:lang w:val="en-GB"/>
        </w:rPr>
        <w:fldChar w:fldCharType="separate"/>
      </w:r>
      <w:r w:rsidR="00E62976">
        <w:rPr>
          <w:lang w:val="en-GB"/>
        </w:rPr>
        <w:t>[26]</w:t>
      </w:r>
      <w:r w:rsidR="00246D96">
        <w:rPr>
          <w:lang w:val="en-GB"/>
        </w:rPr>
        <w:fldChar w:fldCharType="end"/>
      </w:r>
      <w:r w:rsidR="00A160CB" w:rsidRPr="00E20701">
        <w:rPr>
          <w:lang w:val="en-GB"/>
        </w:rPr>
        <w:t>, p. 90ff.</w:t>
      </w:r>
      <w:r w:rsidRPr="00E20701">
        <w:rPr>
          <w:lang w:val="en-GB"/>
        </w:rPr>
        <w:br/>
        <w:t xml:space="preserve">SSG-18 gives specific recommendations on design basis parameters for meteorological and hydrological hazards, stating specific parameters of interest for these cases </w:t>
      </w:r>
      <w:r w:rsidR="00246D96">
        <w:rPr>
          <w:lang w:val="en-GB"/>
        </w:rPr>
        <w:fldChar w:fldCharType="begin"/>
      </w:r>
      <w:r w:rsidR="00246D96">
        <w:rPr>
          <w:lang w:val="en-GB"/>
        </w:rPr>
        <w:instrText xml:space="preserve"> REF _Ref384902153 \w \h </w:instrText>
      </w:r>
      <w:r w:rsidR="00246D96">
        <w:rPr>
          <w:lang w:val="en-GB"/>
        </w:rPr>
      </w:r>
      <w:r w:rsidR="00246D96">
        <w:rPr>
          <w:lang w:val="en-GB"/>
        </w:rPr>
        <w:fldChar w:fldCharType="separate"/>
      </w:r>
      <w:r w:rsidR="00E62976">
        <w:rPr>
          <w:lang w:val="en-GB"/>
        </w:rPr>
        <w:t>[26]</w:t>
      </w:r>
      <w:r w:rsidR="00246D96">
        <w:rPr>
          <w:lang w:val="en-GB"/>
        </w:rPr>
        <w:fldChar w:fldCharType="end"/>
      </w:r>
      <w:r w:rsidRPr="00E20701">
        <w:rPr>
          <w:lang w:val="en-GB"/>
        </w:rPr>
        <w:t xml:space="preserve">, p. 78ff. The correlation between certain meteorological and hydrological events (e.g. precipitation and flooding) needs to be addressed. </w:t>
      </w:r>
      <w:r w:rsidR="007C1FE0" w:rsidRPr="00E20701">
        <w:rPr>
          <w:lang w:val="en-GB"/>
        </w:rPr>
        <w:t>The importance of analysing the (near-) simultaneous impact of correlated phenomena (hazards) is underlined, but no specific methods are identified. Instead, “</w:t>
      </w:r>
      <w:r w:rsidR="002F363E">
        <w:rPr>
          <w:rFonts w:hint="eastAsia"/>
          <w:lang w:val="en-GB" w:eastAsia="ja-JP"/>
        </w:rPr>
        <w:t>combinations</w:t>
      </w:r>
      <w:r w:rsidR="007C1FE0" w:rsidRPr="00E20701">
        <w:rPr>
          <w:lang w:val="en-GB"/>
        </w:rPr>
        <w:t xml:space="preserve">  of events should be carefully analysed with account</w:t>
      </w:r>
      <w:r w:rsidR="001D54F7">
        <w:rPr>
          <w:lang w:val="en-GB"/>
        </w:rPr>
        <w:t xml:space="preserve"> </w:t>
      </w:r>
      <w:r w:rsidR="007C1FE0" w:rsidRPr="00E20701">
        <w:rPr>
          <w:lang w:val="en-GB"/>
        </w:rPr>
        <w:t xml:space="preserve">taken of the stochastic and non-linear nature of the phenomena involved as well as any regulatory requirements or guidance applicable for such cases.” </w:t>
      </w:r>
      <w:r w:rsidR="00246D96">
        <w:rPr>
          <w:lang w:val="en-GB"/>
        </w:rPr>
        <w:fldChar w:fldCharType="begin"/>
      </w:r>
      <w:r w:rsidR="00246D96">
        <w:rPr>
          <w:lang w:val="en-GB"/>
        </w:rPr>
        <w:instrText xml:space="preserve"> REF _Ref384902153 \w \h </w:instrText>
      </w:r>
      <w:r w:rsidR="00246D96">
        <w:rPr>
          <w:lang w:val="en-GB"/>
        </w:rPr>
      </w:r>
      <w:r w:rsidR="00246D96">
        <w:rPr>
          <w:lang w:val="en-GB"/>
        </w:rPr>
        <w:fldChar w:fldCharType="separate"/>
      </w:r>
      <w:r w:rsidR="00E62976">
        <w:rPr>
          <w:lang w:val="en-GB"/>
        </w:rPr>
        <w:t>[26]</w:t>
      </w:r>
      <w:r w:rsidR="00246D96">
        <w:rPr>
          <w:lang w:val="en-GB"/>
        </w:rPr>
        <w:fldChar w:fldCharType="end"/>
      </w:r>
      <w:r w:rsidR="007C1FE0" w:rsidRPr="00E20701">
        <w:rPr>
          <w:lang w:val="en-GB"/>
        </w:rPr>
        <w:t xml:space="preserve">, p. 80. SSG-18 specifically cautions that the frequency of exceedance estimations should consider the duration of occurrence, the degree of dependence, and also the potential combined impact on the plant, employing a considerable amount of engineering judgement. For design basis parameters, either a maximum probable impact (see above) or a target annual frequency of exceedance needs to be established. </w:t>
      </w:r>
      <w:r w:rsidR="00A160CB" w:rsidRPr="00E20701">
        <w:rPr>
          <w:lang w:val="en-GB"/>
        </w:rPr>
        <w:t>For combination of hazard events (or phenomena), a limiting annual frequency of exceedance needs to be established, which then allows for the exclusion of combinations from further consideration in the design for the following reasons.</w:t>
      </w:r>
    </w:p>
    <w:p w:rsidR="00A160CB" w:rsidRPr="00E20701" w:rsidRDefault="00A160CB" w:rsidP="00E62976">
      <w:pPr>
        <w:numPr>
          <w:ilvl w:val="1"/>
          <w:numId w:val="26"/>
        </w:numPr>
        <w:rPr>
          <w:lang w:val="en-GB"/>
        </w:rPr>
      </w:pPr>
      <w:r w:rsidRPr="00E20701">
        <w:rPr>
          <w:lang w:val="en-GB"/>
        </w:rPr>
        <w:t>“The postulated combination does not produce a combined effect on some part of the plant.</w:t>
      </w:r>
    </w:p>
    <w:p w:rsidR="00A160CB" w:rsidRPr="00E20701" w:rsidRDefault="00A160CB" w:rsidP="00E62976">
      <w:pPr>
        <w:numPr>
          <w:ilvl w:val="1"/>
          <w:numId w:val="26"/>
        </w:numPr>
        <w:rPr>
          <w:lang w:val="en-GB"/>
        </w:rPr>
      </w:pPr>
      <w:r w:rsidRPr="00E20701">
        <w:rPr>
          <w:lang w:val="en-GB"/>
        </w:rPr>
        <w:t>The annual frequency of exceedance for the combined event is equal to or less than the established limit for the acceptable annual frequency of exceedance.</w:t>
      </w:r>
    </w:p>
    <w:p w:rsidR="00A160CB" w:rsidRPr="00E20701" w:rsidRDefault="00A160CB" w:rsidP="00E62976">
      <w:pPr>
        <w:numPr>
          <w:ilvl w:val="1"/>
          <w:numId w:val="26"/>
        </w:numPr>
        <w:rPr>
          <w:lang w:val="en-GB"/>
        </w:rPr>
      </w:pPr>
      <w:r w:rsidRPr="00E20701">
        <w:rPr>
          <w:lang w:val="en-GB"/>
        </w:rPr>
        <w:t xml:space="preserve">The combination is not physically possible.” </w:t>
      </w:r>
      <w:r w:rsidR="00246D96">
        <w:rPr>
          <w:lang w:val="en-GB"/>
        </w:rPr>
        <w:fldChar w:fldCharType="begin"/>
      </w:r>
      <w:r w:rsidR="00246D96">
        <w:rPr>
          <w:lang w:val="en-GB"/>
        </w:rPr>
        <w:instrText xml:space="preserve"> REF _Ref384902153 \w \h </w:instrText>
      </w:r>
      <w:r w:rsidR="00246D96">
        <w:rPr>
          <w:lang w:val="en-GB"/>
        </w:rPr>
      </w:r>
      <w:r w:rsidR="00246D96">
        <w:rPr>
          <w:lang w:val="en-GB"/>
        </w:rPr>
        <w:fldChar w:fldCharType="separate"/>
      </w:r>
      <w:r w:rsidR="00E62976">
        <w:rPr>
          <w:lang w:val="en-GB"/>
        </w:rPr>
        <w:t>[26]</w:t>
      </w:r>
      <w:r w:rsidR="00246D96">
        <w:rPr>
          <w:lang w:val="en-GB"/>
        </w:rPr>
        <w:fldChar w:fldCharType="end"/>
      </w:r>
      <w:r w:rsidRPr="00E20701">
        <w:rPr>
          <w:lang w:val="en-GB"/>
        </w:rPr>
        <w:t>, p. 81</w:t>
      </w:r>
    </w:p>
    <w:p w:rsidR="00A160CB" w:rsidRPr="00E20701" w:rsidRDefault="00A160CB" w:rsidP="00C70893">
      <w:pPr>
        <w:ind w:left="720"/>
        <w:rPr>
          <w:lang w:val="en-GB"/>
        </w:rPr>
      </w:pPr>
      <w:r w:rsidRPr="00E20701">
        <w:rPr>
          <w:lang w:val="en-GB"/>
        </w:rPr>
        <w:t xml:space="preserve">Subsequently, SSG-18 provides advice on specific combination, which should be considered. These include wind wave activities for all flood events, similarly shoreline instability, jamming due to debris and </w:t>
      </w:r>
      <w:r w:rsidR="002813F0" w:rsidRPr="00E20701">
        <w:rPr>
          <w:lang w:val="en-GB"/>
        </w:rPr>
        <w:t>flotsam</w:t>
      </w:r>
      <w:r w:rsidRPr="00E20701">
        <w:rPr>
          <w:lang w:val="en-GB"/>
        </w:rPr>
        <w:t>, and ice effects in case of flooding.</w:t>
      </w:r>
      <w:r w:rsidR="002813F0" w:rsidRPr="00E20701">
        <w:rPr>
          <w:lang w:val="en-GB"/>
        </w:rPr>
        <w:tab/>
      </w:r>
      <w:r w:rsidR="002813F0" w:rsidRPr="00E20701">
        <w:rPr>
          <w:lang w:val="en-GB"/>
        </w:rPr>
        <w:br/>
        <w:t xml:space="preserve">SSG-18 is restricted to the determination of the design envelope for hazard events and hazard events combinations, i.e. specific hazard event scenarios. The connection to triggered internal initiating events (PIE) is not elaborated on. Similarly, there is no specific advice on determining beyond design basis hazard scenarios, which would be of interest for PSA Level 1 and Level 2 investigations. The assumption would be that results of the hazard assessments for design basis events should be used also for beyond design basis frequency of exceedance determination, with hazard scenarios determined based on plant impact on capabilities of protective measures. Regarding the latter, </w:t>
      </w:r>
      <w:r w:rsidR="001D77E0" w:rsidRPr="00E20701">
        <w:rPr>
          <w:lang w:val="en-GB"/>
        </w:rPr>
        <w:t>SSG-18 gives some recommendations</w:t>
      </w:r>
      <w:r w:rsidR="00D230A8" w:rsidRPr="00E20701">
        <w:rPr>
          <w:lang w:val="en-GB"/>
        </w:rPr>
        <w:t xml:space="preserve"> </w:t>
      </w:r>
      <w:r w:rsidR="00246D96">
        <w:rPr>
          <w:lang w:val="en-GB"/>
        </w:rPr>
        <w:fldChar w:fldCharType="begin"/>
      </w:r>
      <w:r w:rsidR="00246D96">
        <w:rPr>
          <w:lang w:val="en-GB"/>
        </w:rPr>
        <w:instrText xml:space="preserve"> REF _Ref384902153 \w \h </w:instrText>
      </w:r>
      <w:r w:rsidR="00246D96">
        <w:rPr>
          <w:lang w:val="en-GB"/>
        </w:rPr>
      </w:r>
      <w:r w:rsidR="00246D96">
        <w:rPr>
          <w:lang w:val="en-GB"/>
        </w:rPr>
        <w:fldChar w:fldCharType="separate"/>
      </w:r>
      <w:r w:rsidR="00E62976">
        <w:rPr>
          <w:lang w:val="en-GB"/>
        </w:rPr>
        <w:t>[26]</w:t>
      </w:r>
      <w:r w:rsidR="00246D96">
        <w:rPr>
          <w:lang w:val="en-GB"/>
        </w:rPr>
        <w:fldChar w:fldCharType="end"/>
      </w:r>
      <w:r w:rsidR="00D230A8" w:rsidRPr="00E20701">
        <w:rPr>
          <w:lang w:val="en-GB"/>
        </w:rPr>
        <w:t>, p. 83ff</w:t>
      </w:r>
      <w:r w:rsidR="001D77E0" w:rsidRPr="00E20701">
        <w:rPr>
          <w:lang w:val="en-GB"/>
        </w:rPr>
        <w:t xml:space="preserve">. Importantly, SSG-18 highlights monitoring and warning systems for meteorological and hydrological hazards </w:t>
      </w:r>
      <w:r w:rsidR="00246D96">
        <w:rPr>
          <w:lang w:val="en-GB"/>
        </w:rPr>
        <w:fldChar w:fldCharType="begin"/>
      </w:r>
      <w:r w:rsidR="00246D96">
        <w:rPr>
          <w:lang w:val="en-GB"/>
        </w:rPr>
        <w:instrText xml:space="preserve"> REF _Ref384902153 \w \h </w:instrText>
      </w:r>
      <w:r w:rsidR="00246D96">
        <w:rPr>
          <w:lang w:val="en-GB"/>
        </w:rPr>
      </w:r>
      <w:r w:rsidR="00246D96">
        <w:rPr>
          <w:lang w:val="en-GB"/>
        </w:rPr>
        <w:fldChar w:fldCharType="separate"/>
      </w:r>
      <w:r w:rsidR="00E62976">
        <w:rPr>
          <w:lang w:val="en-GB"/>
        </w:rPr>
        <w:t>[26]</w:t>
      </w:r>
      <w:r w:rsidR="00246D96">
        <w:rPr>
          <w:lang w:val="en-GB"/>
        </w:rPr>
        <w:fldChar w:fldCharType="end"/>
      </w:r>
      <w:r w:rsidR="001D77E0" w:rsidRPr="00E20701">
        <w:rPr>
          <w:lang w:val="en-GB"/>
        </w:rPr>
        <w:t>, p. 92ff, which have to be taken into account in bounding analyses for PSA.</w:t>
      </w:r>
    </w:p>
    <w:p w:rsidR="00A93A1E" w:rsidRPr="00E20701" w:rsidRDefault="00C96611" w:rsidP="00E62976">
      <w:pPr>
        <w:numPr>
          <w:ilvl w:val="0"/>
          <w:numId w:val="26"/>
        </w:numPr>
        <w:rPr>
          <w:lang w:val="en-GB"/>
        </w:rPr>
      </w:pPr>
      <w:r w:rsidRPr="00E20701">
        <w:rPr>
          <w:lang w:val="en-GB"/>
        </w:rPr>
        <w:t>SSG-21</w:t>
      </w:r>
      <w:r w:rsidR="006953CB" w:rsidRPr="00E20701">
        <w:rPr>
          <w:lang w:val="en-GB"/>
        </w:rPr>
        <w:t xml:space="preserve"> </w:t>
      </w:r>
      <w:r w:rsidR="00491176">
        <w:rPr>
          <w:lang w:val="en-GB"/>
        </w:rPr>
        <w:fldChar w:fldCharType="begin"/>
      </w:r>
      <w:r w:rsidR="00491176">
        <w:rPr>
          <w:lang w:val="en-GB"/>
        </w:rPr>
        <w:instrText xml:space="preserve"> REF _Ref384902155 \w \h </w:instrText>
      </w:r>
      <w:r w:rsidR="00491176">
        <w:rPr>
          <w:lang w:val="en-GB"/>
        </w:rPr>
      </w:r>
      <w:r w:rsidR="00491176">
        <w:rPr>
          <w:lang w:val="en-GB"/>
        </w:rPr>
        <w:fldChar w:fldCharType="separate"/>
      </w:r>
      <w:r w:rsidR="00E62976">
        <w:rPr>
          <w:lang w:val="en-GB"/>
        </w:rPr>
        <w:t>[27]</w:t>
      </w:r>
      <w:r w:rsidR="00491176">
        <w:rPr>
          <w:lang w:val="en-GB"/>
        </w:rPr>
        <w:fldChar w:fldCharType="end"/>
      </w:r>
      <w:r w:rsidR="00AF20E0" w:rsidRPr="00E20701">
        <w:rPr>
          <w:lang w:val="en-GB"/>
        </w:rPr>
        <w:t xml:space="preserve"> </w:t>
      </w:r>
      <w:r w:rsidR="00F90BF1" w:rsidRPr="00E20701">
        <w:rPr>
          <w:lang w:val="en-GB"/>
        </w:rPr>
        <w:t>treats volcanic hazard assessment</w:t>
      </w:r>
      <w:r w:rsidR="00A93A1E" w:rsidRPr="00E20701">
        <w:rPr>
          <w:lang w:val="en-GB"/>
        </w:rPr>
        <w:t>, especially in the context of siting, since potential volcanic hazard impact is usually an exclusion criterion and sources of volcanic activity are usually well-known</w:t>
      </w:r>
      <w:r w:rsidR="00F90BF1" w:rsidRPr="00E20701">
        <w:rPr>
          <w:lang w:val="en-GB"/>
        </w:rPr>
        <w:t xml:space="preserve">. </w:t>
      </w:r>
      <w:r w:rsidR="00A93A1E" w:rsidRPr="00E20701">
        <w:rPr>
          <w:lang w:val="en-GB"/>
        </w:rPr>
        <w:t>The guide elaborates a number of volcanic phenomena</w:t>
      </w:r>
      <w:r w:rsidR="00DF5C30" w:rsidRPr="00E20701">
        <w:rPr>
          <w:rStyle w:val="Appelnotedebasdep"/>
          <w:lang w:val="en-GB"/>
        </w:rPr>
        <w:footnoteReference w:id="10"/>
      </w:r>
      <w:r w:rsidR="00A93A1E" w:rsidRPr="00E20701">
        <w:rPr>
          <w:lang w:val="en-GB"/>
        </w:rPr>
        <w:t xml:space="preserve">, which might affect a site (and plant), for which recommendation on deterministic and probabilistic approaches for determining design basis limit parameters are given </w:t>
      </w:r>
      <w:r w:rsidR="00491176">
        <w:rPr>
          <w:lang w:val="en-GB"/>
        </w:rPr>
        <w:fldChar w:fldCharType="begin"/>
      </w:r>
      <w:r w:rsidR="00491176">
        <w:rPr>
          <w:lang w:val="en-GB"/>
        </w:rPr>
        <w:instrText xml:space="preserve"> REF _Ref384902155 \w \h </w:instrText>
      </w:r>
      <w:r w:rsidR="00491176">
        <w:rPr>
          <w:lang w:val="en-GB"/>
        </w:rPr>
      </w:r>
      <w:r w:rsidR="00491176">
        <w:rPr>
          <w:lang w:val="en-GB"/>
        </w:rPr>
        <w:fldChar w:fldCharType="separate"/>
      </w:r>
      <w:r w:rsidR="00E62976">
        <w:rPr>
          <w:lang w:val="en-GB"/>
        </w:rPr>
        <w:t>[27]</w:t>
      </w:r>
      <w:r w:rsidR="00491176">
        <w:rPr>
          <w:lang w:val="en-GB"/>
        </w:rPr>
        <w:fldChar w:fldCharType="end"/>
      </w:r>
      <w:r w:rsidR="00A93A1E" w:rsidRPr="00E20701">
        <w:rPr>
          <w:lang w:val="en-GB"/>
        </w:rPr>
        <w:t>, p. 38ff.</w:t>
      </w:r>
    </w:p>
    <w:p w:rsidR="00A93A1E" w:rsidRPr="00E20701" w:rsidRDefault="00A93A1E" w:rsidP="00E62976">
      <w:pPr>
        <w:numPr>
          <w:ilvl w:val="1"/>
          <w:numId w:val="26"/>
        </w:numPr>
        <w:rPr>
          <w:lang w:val="en-GB"/>
        </w:rPr>
      </w:pPr>
      <w:r w:rsidRPr="00E20701">
        <w:rPr>
          <w:lang w:val="en-GB"/>
        </w:rPr>
        <w:t>Tephra fallout: Parameters like credible thickness for fallout deposits or grain size distribution, dependent on sources, magnitude of eruptions, distance and meteorological conditions.</w:t>
      </w:r>
      <w:r w:rsidR="00DF5C30" w:rsidRPr="00E20701">
        <w:rPr>
          <w:lang w:val="en-GB"/>
        </w:rPr>
        <w:t xml:space="preserve"> Simulation models might be required.</w:t>
      </w:r>
    </w:p>
    <w:p w:rsidR="00A93A1E" w:rsidRPr="00E20701" w:rsidRDefault="00A93A1E" w:rsidP="00E62976">
      <w:pPr>
        <w:numPr>
          <w:ilvl w:val="1"/>
          <w:numId w:val="26"/>
        </w:numPr>
        <w:rPr>
          <w:lang w:val="en-GB"/>
        </w:rPr>
      </w:pPr>
      <w:r w:rsidRPr="00E20701">
        <w:rPr>
          <w:lang w:val="en-GB"/>
        </w:rPr>
        <w:t>Pyroclastic flows: Parameters like pyroclastic density current and runout distance</w:t>
      </w:r>
      <w:r w:rsidR="00DF5C30" w:rsidRPr="00E20701">
        <w:rPr>
          <w:lang w:val="en-GB"/>
        </w:rPr>
        <w:t>. Simulation models might be required.</w:t>
      </w:r>
      <w:r w:rsidR="00692C2B" w:rsidRPr="00E20701">
        <w:rPr>
          <w:lang w:val="en-GB"/>
        </w:rPr>
        <w:t xml:space="preserve"> Exclusion criterion.</w:t>
      </w:r>
    </w:p>
    <w:p w:rsidR="00692C2B" w:rsidRPr="00E20701" w:rsidRDefault="00692C2B" w:rsidP="00E62976">
      <w:pPr>
        <w:numPr>
          <w:ilvl w:val="1"/>
          <w:numId w:val="26"/>
        </w:numPr>
        <w:rPr>
          <w:lang w:val="en-GB"/>
        </w:rPr>
      </w:pPr>
      <w:r w:rsidRPr="00E20701">
        <w:rPr>
          <w:lang w:val="en-GB"/>
        </w:rPr>
        <w:t>Lava flows: Parameters like path of lava flow. Exclusion criterion.</w:t>
      </w:r>
    </w:p>
    <w:p w:rsidR="00692C2B" w:rsidRPr="00E20701" w:rsidRDefault="00692C2B" w:rsidP="00E62976">
      <w:pPr>
        <w:numPr>
          <w:ilvl w:val="1"/>
          <w:numId w:val="26"/>
        </w:numPr>
        <w:rPr>
          <w:lang w:val="en-GB"/>
        </w:rPr>
      </w:pPr>
      <w:r w:rsidRPr="00E20701">
        <w:rPr>
          <w:lang w:val="en-GB"/>
        </w:rPr>
        <w:t>Debris avalanches and landslides: Parameters like flow path, velocity. Exclusion criterion.</w:t>
      </w:r>
    </w:p>
    <w:p w:rsidR="00692C2B" w:rsidRPr="00E20701" w:rsidRDefault="00692C2B" w:rsidP="00E62976">
      <w:pPr>
        <w:numPr>
          <w:ilvl w:val="1"/>
          <w:numId w:val="26"/>
        </w:numPr>
        <w:rPr>
          <w:lang w:val="en-GB"/>
        </w:rPr>
      </w:pPr>
      <w:r w:rsidRPr="00E20701">
        <w:rPr>
          <w:lang w:val="en-GB"/>
        </w:rPr>
        <w:t>Debris flows, lahars, and floods: Parameters like flow path or discharge rate (models from SSG-18 are applicable), dependent on possible sources, topography, etc. Since these are exclusion criteria in siting, in principle, because of high discharge rates, flow velocities, and short warning times, only effects from far-away sources should be relevant to NPP.</w:t>
      </w:r>
    </w:p>
    <w:p w:rsidR="00692C2B" w:rsidRPr="00E20701" w:rsidRDefault="00692C2B" w:rsidP="00E62976">
      <w:pPr>
        <w:numPr>
          <w:ilvl w:val="1"/>
          <w:numId w:val="26"/>
        </w:numPr>
        <w:rPr>
          <w:lang w:val="en-GB"/>
        </w:rPr>
      </w:pPr>
      <w:r w:rsidRPr="00E20701">
        <w:rPr>
          <w:lang w:val="en-GB"/>
        </w:rPr>
        <w:t>Opening of new vents: Parameter like distance, also in relation to other hazard volcanogenic phenomena. Exclusion criterion.</w:t>
      </w:r>
    </w:p>
    <w:p w:rsidR="00692C2B" w:rsidRPr="00E20701" w:rsidRDefault="00692C2B" w:rsidP="00E62976">
      <w:pPr>
        <w:numPr>
          <w:ilvl w:val="1"/>
          <w:numId w:val="26"/>
        </w:numPr>
        <w:rPr>
          <w:lang w:val="en-GB"/>
        </w:rPr>
      </w:pPr>
      <w:r w:rsidRPr="00E20701">
        <w:rPr>
          <w:lang w:val="en-GB"/>
        </w:rPr>
        <w:t xml:space="preserve">Missiles: Parameters like </w:t>
      </w:r>
      <w:r w:rsidR="00D22B9D" w:rsidRPr="00E20701">
        <w:rPr>
          <w:lang w:val="en-GB"/>
        </w:rPr>
        <w:t>missile range vs. missile mass, dependent on sources (explosivity of eruption). Exclusion criterion, but see tephra.</w:t>
      </w:r>
    </w:p>
    <w:p w:rsidR="00D22B9D" w:rsidRPr="00E20701" w:rsidRDefault="00D22B9D" w:rsidP="00E62976">
      <w:pPr>
        <w:numPr>
          <w:ilvl w:val="1"/>
          <w:numId w:val="26"/>
        </w:numPr>
        <w:rPr>
          <w:lang w:val="en-GB"/>
        </w:rPr>
      </w:pPr>
      <w:r w:rsidRPr="00E20701">
        <w:rPr>
          <w:lang w:val="en-GB"/>
        </w:rPr>
        <w:t>Volcanic gases: Parameters like extreme gas concentrations. Since NPP should be located outside the zone of influence of volcanic gases due to other exclusion criteria and other potential impacts, this should not be relevant to NPP. However, note phenomena like massive emissions of CO</w:t>
      </w:r>
      <w:r w:rsidRPr="00C70893">
        <w:rPr>
          <w:vertAlign w:val="subscript"/>
          <w:lang w:val="en-GB"/>
        </w:rPr>
        <w:t>2</w:t>
      </w:r>
      <w:r w:rsidRPr="00E20701">
        <w:rPr>
          <w:lang w:val="en-GB"/>
        </w:rPr>
        <w:t xml:space="preserve"> from crater lakes like at Lake Nyos in 1986.</w:t>
      </w:r>
    </w:p>
    <w:p w:rsidR="00863AE6" w:rsidRPr="00E20701" w:rsidRDefault="00D22B9D" w:rsidP="00E62976">
      <w:pPr>
        <w:numPr>
          <w:ilvl w:val="1"/>
          <w:numId w:val="26"/>
        </w:numPr>
        <w:rPr>
          <w:lang w:val="en-GB"/>
        </w:rPr>
      </w:pPr>
      <w:r w:rsidRPr="00E20701">
        <w:rPr>
          <w:lang w:val="en-GB"/>
        </w:rPr>
        <w:t>Tsunamis and seiche</w:t>
      </w:r>
      <w:r w:rsidR="00D857BD" w:rsidRPr="00E20701">
        <w:rPr>
          <w:lang w:val="en-GB"/>
        </w:rPr>
        <w:t>: Parameters like ts</w:t>
      </w:r>
      <w:r w:rsidRPr="00E20701">
        <w:rPr>
          <w:lang w:val="en-GB"/>
        </w:rPr>
        <w:t>unami run-up height (cf. also SSG-18 and SSG-9). The risk of significant and long</w:t>
      </w:r>
      <w:r w:rsidR="00D857BD" w:rsidRPr="00E20701">
        <w:rPr>
          <w:lang w:val="en-GB"/>
        </w:rPr>
        <w:t>-distance volcanogenic ts</w:t>
      </w:r>
      <w:r w:rsidRPr="00E20701">
        <w:rPr>
          <w:lang w:val="en-GB"/>
        </w:rPr>
        <w:t xml:space="preserve">unamis from slope collapse or underwater eruptions has to be evaluated. </w:t>
      </w:r>
      <w:r w:rsidR="00863AE6" w:rsidRPr="00E20701">
        <w:rPr>
          <w:lang w:val="en-GB"/>
        </w:rPr>
        <w:t>This might require simulations.</w:t>
      </w:r>
    </w:p>
    <w:p w:rsidR="00863AE6" w:rsidRPr="00E20701" w:rsidRDefault="00863AE6" w:rsidP="00E62976">
      <w:pPr>
        <w:numPr>
          <w:ilvl w:val="1"/>
          <w:numId w:val="26"/>
        </w:numPr>
        <w:rPr>
          <w:lang w:val="en-GB"/>
        </w:rPr>
      </w:pPr>
      <w:r w:rsidRPr="00E20701">
        <w:rPr>
          <w:lang w:val="en-GB"/>
        </w:rPr>
        <w:t>Atmosp</w:t>
      </w:r>
      <w:r w:rsidR="00D857BD" w:rsidRPr="00E20701">
        <w:rPr>
          <w:lang w:val="en-GB"/>
        </w:rPr>
        <w:t>h</w:t>
      </w:r>
      <w:r w:rsidRPr="00E20701">
        <w:rPr>
          <w:lang w:val="en-GB"/>
        </w:rPr>
        <w:t>eric phenomena and explosions: For example parameters like lightning strike. NPP should be located outside the zone of influence of such phenomena due to other exclusion criteria.</w:t>
      </w:r>
    </w:p>
    <w:p w:rsidR="00863AE6" w:rsidRPr="00E20701" w:rsidRDefault="00863AE6" w:rsidP="00E62976">
      <w:pPr>
        <w:numPr>
          <w:ilvl w:val="1"/>
          <w:numId w:val="26"/>
        </w:numPr>
        <w:rPr>
          <w:lang w:val="en-GB"/>
        </w:rPr>
      </w:pPr>
      <w:r w:rsidRPr="00E20701">
        <w:rPr>
          <w:lang w:val="en-GB"/>
        </w:rPr>
        <w:t>Ground deformation: Parameters like ground displacement. Exclusion criterion (but cf. SSG-9).</w:t>
      </w:r>
    </w:p>
    <w:p w:rsidR="00863AE6" w:rsidRPr="00E20701" w:rsidRDefault="00863AE6" w:rsidP="00E62976">
      <w:pPr>
        <w:numPr>
          <w:ilvl w:val="1"/>
          <w:numId w:val="26"/>
        </w:numPr>
        <w:rPr>
          <w:lang w:val="en-GB"/>
        </w:rPr>
      </w:pPr>
      <w:r w:rsidRPr="00E20701">
        <w:rPr>
          <w:lang w:val="en-GB"/>
        </w:rPr>
        <w:t xml:space="preserve">Volcanogenic earthquakes: Refer to SSG-9 </w:t>
      </w:r>
      <w:r w:rsidR="00491176">
        <w:rPr>
          <w:lang w:val="en-GB"/>
        </w:rPr>
        <w:fldChar w:fldCharType="begin"/>
      </w:r>
      <w:r w:rsidR="00491176">
        <w:rPr>
          <w:lang w:val="en-GB"/>
        </w:rPr>
        <w:instrText xml:space="preserve"> REF _Ref410040057 \w \h </w:instrText>
      </w:r>
      <w:r w:rsidR="00491176">
        <w:rPr>
          <w:lang w:val="en-GB"/>
        </w:rPr>
      </w:r>
      <w:r w:rsidR="00491176">
        <w:rPr>
          <w:lang w:val="en-GB"/>
        </w:rPr>
        <w:fldChar w:fldCharType="separate"/>
      </w:r>
      <w:r w:rsidR="00E62976">
        <w:rPr>
          <w:lang w:val="en-GB"/>
        </w:rPr>
        <w:t>[25]</w:t>
      </w:r>
      <w:r w:rsidR="00491176">
        <w:rPr>
          <w:lang w:val="en-GB"/>
        </w:rPr>
        <w:fldChar w:fldCharType="end"/>
      </w:r>
      <w:r w:rsidRPr="00E20701">
        <w:rPr>
          <w:lang w:val="en-GB"/>
        </w:rPr>
        <w:t xml:space="preserve">. </w:t>
      </w:r>
    </w:p>
    <w:p w:rsidR="00D22B9D" w:rsidRPr="00E20701" w:rsidRDefault="00863AE6" w:rsidP="00E62976">
      <w:pPr>
        <w:numPr>
          <w:ilvl w:val="1"/>
          <w:numId w:val="26"/>
        </w:numPr>
        <w:rPr>
          <w:lang w:val="en-GB"/>
        </w:rPr>
      </w:pPr>
      <w:r w:rsidRPr="00E20701">
        <w:rPr>
          <w:lang w:val="en-GB"/>
        </w:rPr>
        <w:t xml:space="preserve">Hydrothermal systems and groundwater anomalies: Parameters like distance from phenomena. Exclusion criterion. </w:t>
      </w:r>
    </w:p>
    <w:p w:rsidR="00066D4E" w:rsidRDefault="00863AE6" w:rsidP="00C70893">
      <w:pPr>
        <w:ind w:left="720"/>
        <w:rPr>
          <w:lang w:val="en-GB"/>
        </w:rPr>
      </w:pPr>
      <w:r w:rsidRPr="00E20701">
        <w:rPr>
          <w:lang w:val="en-GB"/>
        </w:rPr>
        <w:t xml:space="preserve">The guide further recommends </w:t>
      </w:r>
      <w:r w:rsidR="00910B43" w:rsidRPr="00E20701">
        <w:rPr>
          <w:lang w:val="en-GB"/>
        </w:rPr>
        <w:t>producing</w:t>
      </w:r>
      <w:r w:rsidRPr="00E20701">
        <w:rPr>
          <w:lang w:val="en-GB"/>
        </w:rPr>
        <w:t xml:space="preserve"> a comprehensive, site-specific volcanic hazards model, which specifically considers combined effects of (correlated) volcanic phenomena, and combinations with non-volcanic (hazard) events like seismic or meteorological events</w:t>
      </w:r>
      <w:r w:rsidR="00BA3F92">
        <w:rPr>
          <w:lang w:val="en-GB"/>
        </w:rPr>
        <w:t xml:space="preserve"> </w:t>
      </w:r>
      <w:r w:rsidR="00491176">
        <w:rPr>
          <w:lang w:val="en-GB"/>
        </w:rPr>
        <w:fldChar w:fldCharType="begin"/>
      </w:r>
      <w:r w:rsidR="00491176">
        <w:rPr>
          <w:lang w:val="en-GB"/>
        </w:rPr>
        <w:instrText xml:space="preserve"> REF _Ref384902155 \w \h </w:instrText>
      </w:r>
      <w:r w:rsidR="00491176">
        <w:rPr>
          <w:lang w:val="en-GB"/>
        </w:rPr>
      </w:r>
      <w:r w:rsidR="00491176">
        <w:rPr>
          <w:lang w:val="en-GB"/>
        </w:rPr>
        <w:fldChar w:fldCharType="separate"/>
      </w:r>
      <w:r w:rsidR="00E62976">
        <w:rPr>
          <w:lang w:val="en-GB"/>
        </w:rPr>
        <w:t>[27]</w:t>
      </w:r>
      <w:r w:rsidR="00491176">
        <w:rPr>
          <w:lang w:val="en-GB"/>
        </w:rPr>
        <w:fldChar w:fldCharType="end"/>
      </w:r>
      <w:r w:rsidRPr="00E20701">
        <w:rPr>
          <w:lang w:val="en-GB"/>
        </w:rPr>
        <w:t>, p. 58f. The guide gives no specific recommendation on the determination of beyond design basis events or related frequency of exceedance values</w:t>
      </w:r>
      <w:r w:rsidR="00D857BD" w:rsidRPr="00E20701">
        <w:rPr>
          <w:lang w:val="en-GB"/>
        </w:rPr>
        <w:t>, which would be relevant for PSA Level 1 and Level 2</w:t>
      </w:r>
      <w:r w:rsidRPr="00E20701">
        <w:rPr>
          <w:lang w:val="en-GB"/>
        </w:rPr>
        <w:t xml:space="preserve">. </w:t>
      </w:r>
      <w:r w:rsidR="00D857BD" w:rsidRPr="00E20701">
        <w:rPr>
          <w:lang w:val="en-GB"/>
        </w:rPr>
        <w:t>Furthermore, the connection to triggered internal initiating events (PIE) is not elaborated on. However, only some volcanogenic hazards like tephra fallout or volcanogenic tsunamis and potentially lahars may be relevant for extended PSA due to their potential for long-distance effects.</w:t>
      </w:r>
    </w:p>
    <w:p w:rsidR="00C96611" w:rsidRPr="00E20701" w:rsidRDefault="009E3350" w:rsidP="00C70893">
      <w:pPr>
        <w:ind w:left="720"/>
        <w:rPr>
          <w:lang w:val="en-GB"/>
        </w:rPr>
      </w:pPr>
      <w:r w:rsidRPr="00E20701">
        <w:rPr>
          <w:lang w:val="en-GB"/>
        </w:rPr>
        <w:t>With respect to screening limits, SSG-21 recommends using a screening limits for annual frequency of a (specific) volcanic hazard event (considering the different phenomena of volcanic activity) of 10</w:t>
      </w:r>
      <w:r w:rsidRPr="00C70893">
        <w:rPr>
          <w:vertAlign w:val="superscript"/>
          <w:lang w:val="en-GB"/>
        </w:rPr>
        <w:t>-7</w:t>
      </w:r>
      <w:r w:rsidRPr="00E20701">
        <w:rPr>
          <w:lang w:val="en-GB"/>
        </w:rPr>
        <w:t xml:space="preserve"> per year. </w:t>
      </w:r>
      <w:r w:rsidR="00A93A1E" w:rsidRPr="00E20701">
        <w:rPr>
          <w:lang w:val="en-GB"/>
        </w:rPr>
        <w:t>This is consistent with the guide</w:t>
      </w:r>
      <w:r w:rsidR="00295AAC" w:rsidRPr="00E20701">
        <w:rPr>
          <w:lang w:val="en-GB"/>
        </w:rPr>
        <w:t>’</w:t>
      </w:r>
      <w:r w:rsidR="00A93A1E" w:rsidRPr="00E20701">
        <w:rPr>
          <w:lang w:val="en-GB"/>
        </w:rPr>
        <w:t>s recommendation to classify areas as potentially active volcanic zones if (relevant) volcanic activity has occurred with</w:t>
      </w:r>
      <w:r w:rsidR="00295AAC" w:rsidRPr="00E20701">
        <w:rPr>
          <w:lang w:val="en-GB"/>
        </w:rPr>
        <w:t>in</w:t>
      </w:r>
      <w:r w:rsidR="00A93A1E" w:rsidRPr="00E20701">
        <w:rPr>
          <w:lang w:val="en-GB"/>
        </w:rPr>
        <w:t xml:space="preserve"> the last 10 Ma </w:t>
      </w:r>
      <w:r w:rsidR="00AC512F">
        <w:rPr>
          <w:lang w:val="en-GB"/>
        </w:rPr>
        <w:fldChar w:fldCharType="begin"/>
      </w:r>
      <w:r w:rsidR="00AC512F">
        <w:rPr>
          <w:lang w:val="en-GB"/>
        </w:rPr>
        <w:instrText xml:space="preserve"> REF _Ref384902155 \w \h </w:instrText>
      </w:r>
      <w:r w:rsidR="00AC512F">
        <w:rPr>
          <w:lang w:val="en-GB"/>
        </w:rPr>
      </w:r>
      <w:r w:rsidR="00AC512F">
        <w:rPr>
          <w:lang w:val="en-GB"/>
        </w:rPr>
        <w:fldChar w:fldCharType="separate"/>
      </w:r>
      <w:r w:rsidR="00E62976">
        <w:rPr>
          <w:lang w:val="en-GB"/>
        </w:rPr>
        <w:t>[27]</w:t>
      </w:r>
      <w:r w:rsidR="00AC512F">
        <w:rPr>
          <w:lang w:val="en-GB"/>
        </w:rPr>
        <w:fldChar w:fldCharType="end"/>
      </w:r>
      <w:r w:rsidR="00A93A1E" w:rsidRPr="00E20701">
        <w:rPr>
          <w:lang w:val="en-GB"/>
        </w:rPr>
        <w:t>, p. 9f, p. 31ff.</w:t>
      </w:r>
    </w:p>
    <w:p w:rsidR="00910B43" w:rsidRPr="00E20701" w:rsidRDefault="00910B43" w:rsidP="00C70893">
      <w:pPr>
        <w:ind w:left="720"/>
        <w:rPr>
          <w:lang w:val="en-GB"/>
        </w:rPr>
      </w:pPr>
      <w:r w:rsidRPr="00E20701">
        <w:rPr>
          <w:lang w:val="en-GB"/>
        </w:rPr>
        <w:t xml:space="preserve">Finally, SSG-21 highlights the importance of monitoring systems (if applicable) and inclusion of hazard impact in emergency planning (if applicable) </w:t>
      </w:r>
      <w:r w:rsidR="00AC512F">
        <w:rPr>
          <w:lang w:val="en-GB"/>
        </w:rPr>
        <w:fldChar w:fldCharType="begin"/>
      </w:r>
      <w:r w:rsidR="00AC512F">
        <w:rPr>
          <w:lang w:val="en-GB"/>
        </w:rPr>
        <w:instrText xml:space="preserve"> REF _Ref384902155 \w \h </w:instrText>
      </w:r>
      <w:r w:rsidR="00AC512F">
        <w:rPr>
          <w:lang w:val="en-GB"/>
        </w:rPr>
      </w:r>
      <w:r w:rsidR="00AC512F">
        <w:rPr>
          <w:lang w:val="en-GB"/>
        </w:rPr>
        <w:fldChar w:fldCharType="separate"/>
      </w:r>
      <w:r w:rsidR="00E62976">
        <w:rPr>
          <w:lang w:val="en-GB"/>
        </w:rPr>
        <w:t>[27]</w:t>
      </w:r>
      <w:r w:rsidR="00AC512F">
        <w:rPr>
          <w:lang w:val="en-GB"/>
        </w:rPr>
        <w:fldChar w:fldCharType="end"/>
      </w:r>
      <w:r w:rsidRPr="00E20701">
        <w:rPr>
          <w:lang w:val="en-GB"/>
        </w:rPr>
        <w:t>, p. 63ff.</w:t>
      </w:r>
    </w:p>
    <w:p w:rsidR="00A0626D" w:rsidRPr="00E20701" w:rsidRDefault="00A0626D" w:rsidP="00E62976">
      <w:pPr>
        <w:numPr>
          <w:ilvl w:val="0"/>
          <w:numId w:val="26"/>
        </w:numPr>
        <w:rPr>
          <w:lang w:val="en-GB"/>
        </w:rPr>
      </w:pPr>
      <w:r w:rsidRPr="00E20701">
        <w:rPr>
          <w:lang w:val="en-GB"/>
        </w:rPr>
        <w:t>NS-G-1.7</w:t>
      </w:r>
      <w:r w:rsidR="00F90BF1" w:rsidRPr="00E20701">
        <w:rPr>
          <w:lang w:val="en-GB"/>
        </w:rPr>
        <w:t xml:space="preserve"> </w:t>
      </w:r>
      <w:r w:rsidR="00955D3F">
        <w:rPr>
          <w:lang w:val="en-GB"/>
        </w:rPr>
        <w:fldChar w:fldCharType="begin"/>
      </w:r>
      <w:r w:rsidR="00955D3F">
        <w:rPr>
          <w:lang w:val="en-GB"/>
        </w:rPr>
        <w:instrText xml:space="preserve"> REF _Ref384902147 \w \h </w:instrText>
      </w:r>
      <w:r w:rsidR="00955D3F">
        <w:rPr>
          <w:lang w:val="en-GB"/>
        </w:rPr>
      </w:r>
      <w:r w:rsidR="00955D3F">
        <w:rPr>
          <w:lang w:val="en-GB"/>
        </w:rPr>
        <w:fldChar w:fldCharType="separate"/>
      </w:r>
      <w:r w:rsidR="00E62976">
        <w:rPr>
          <w:lang w:val="en-GB"/>
        </w:rPr>
        <w:t>[23]</w:t>
      </w:r>
      <w:r w:rsidR="00955D3F">
        <w:rPr>
          <w:lang w:val="en-GB"/>
        </w:rPr>
        <w:fldChar w:fldCharType="end"/>
      </w:r>
      <w:r w:rsidR="00F90BF1" w:rsidRPr="00E20701">
        <w:rPr>
          <w:lang w:val="en-GB"/>
        </w:rPr>
        <w:t xml:space="preserve"> gives advice on design against internal fires and explosions. </w:t>
      </w:r>
      <w:r w:rsidR="00331886" w:rsidRPr="00E20701">
        <w:rPr>
          <w:lang w:val="en-GB"/>
        </w:rPr>
        <w:t xml:space="preserve">Relevant for this report are the recommendations that all fire and explosion sources shall be systematically investigated. </w:t>
      </w:r>
      <w:r w:rsidR="009C6EAC" w:rsidRPr="00E20701">
        <w:rPr>
          <w:lang w:val="en-GB"/>
        </w:rPr>
        <w:t xml:space="preserve">Fire events shall be “postulated wherever fixed or combustible material is located”, with one fire at a time, for all operating states </w:t>
      </w:r>
      <w:r w:rsidR="00540773">
        <w:rPr>
          <w:lang w:val="en-GB"/>
        </w:rPr>
        <w:fldChar w:fldCharType="begin"/>
      </w:r>
      <w:r w:rsidR="00540773">
        <w:rPr>
          <w:lang w:val="en-GB"/>
        </w:rPr>
        <w:instrText xml:space="preserve"> REF _Ref384902147 \w \h </w:instrText>
      </w:r>
      <w:r w:rsidR="00540773">
        <w:rPr>
          <w:lang w:val="en-GB"/>
        </w:rPr>
      </w:r>
      <w:r w:rsidR="00540773">
        <w:rPr>
          <w:lang w:val="en-GB"/>
        </w:rPr>
        <w:fldChar w:fldCharType="separate"/>
      </w:r>
      <w:r w:rsidR="00E62976">
        <w:rPr>
          <w:lang w:val="en-GB"/>
        </w:rPr>
        <w:t>[23]</w:t>
      </w:r>
      <w:r w:rsidR="00540773">
        <w:rPr>
          <w:lang w:val="en-GB"/>
        </w:rPr>
        <w:fldChar w:fldCharType="end"/>
      </w:r>
      <w:r w:rsidR="009C6EAC" w:rsidRPr="00E20701">
        <w:rPr>
          <w:lang w:val="en-GB"/>
        </w:rPr>
        <w:t xml:space="preserve">, p. 4. Explosion event should be “identified for fire compartments, fire cells and other locations”, considering “flammable gases and liquids and combustible materials” relevant for chemical explosions, physical explosions (e.g. due to high energy arching faults), and explosions induced by fire exposure </w:t>
      </w:r>
      <w:r w:rsidR="00540773">
        <w:rPr>
          <w:lang w:val="en-GB"/>
        </w:rPr>
        <w:fldChar w:fldCharType="begin"/>
      </w:r>
      <w:r w:rsidR="00540773">
        <w:rPr>
          <w:lang w:val="en-GB"/>
        </w:rPr>
        <w:instrText xml:space="preserve"> REF _Ref384902147 \w \h </w:instrText>
      </w:r>
      <w:r w:rsidR="00540773">
        <w:rPr>
          <w:lang w:val="en-GB"/>
        </w:rPr>
      </w:r>
      <w:r w:rsidR="00540773">
        <w:rPr>
          <w:lang w:val="en-GB"/>
        </w:rPr>
        <w:fldChar w:fldCharType="separate"/>
      </w:r>
      <w:r w:rsidR="00E62976">
        <w:rPr>
          <w:lang w:val="en-GB"/>
        </w:rPr>
        <w:t>[23]</w:t>
      </w:r>
      <w:r w:rsidR="00540773">
        <w:rPr>
          <w:lang w:val="en-GB"/>
        </w:rPr>
        <w:fldChar w:fldCharType="end"/>
      </w:r>
      <w:r w:rsidR="009C6EAC" w:rsidRPr="00E20701">
        <w:rPr>
          <w:lang w:val="en-GB"/>
        </w:rPr>
        <w:t xml:space="preserve">, p. 8. </w:t>
      </w:r>
      <w:r w:rsidR="00331886" w:rsidRPr="00E20701">
        <w:rPr>
          <w:lang w:val="en-GB"/>
        </w:rPr>
        <w:t xml:space="preserve">Secondary effects of fire </w:t>
      </w:r>
      <w:r w:rsidR="00540773">
        <w:rPr>
          <w:lang w:val="en-GB"/>
        </w:rPr>
        <w:fldChar w:fldCharType="begin"/>
      </w:r>
      <w:r w:rsidR="00540773">
        <w:rPr>
          <w:lang w:val="en-GB"/>
        </w:rPr>
        <w:instrText xml:space="preserve"> REF _Ref384902147 \w \h </w:instrText>
      </w:r>
      <w:r w:rsidR="00540773">
        <w:rPr>
          <w:lang w:val="en-GB"/>
        </w:rPr>
      </w:r>
      <w:r w:rsidR="00540773">
        <w:rPr>
          <w:lang w:val="en-GB"/>
        </w:rPr>
        <w:fldChar w:fldCharType="separate"/>
      </w:r>
      <w:r w:rsidR="00E62976">
        <w:rPr>
          <w:lang w:val="en-GB"/>
        </w:rPr>
        <w:t>[23]</w:t>
      </w:r>
      <w:r w:rsidR="00540773">
        <w:rPr>
          <w:lang w:val="en-GB"/>
        </w:rPr>
        <w:fldChar w:fldCharType="end"/>
      </w:r>
      <w:r w:rsidR="00331886" w:rsidRPr="00E20701">
        <w:rPr>
          <w:lang w:val="en-GB"/>
        </w:rPr>
        <w:t xml:space="preserve">, p. 14ff, p. 33ff and consequences of explosions </w:t>
      </w:r>
      <w:r w:rsidR="00540773">
        <w:rPr>
          <w:lang w:val="en-GB"/>
        </w:rPr>
        <w:fldChar w:fldCharType="begin"/>
      </w:r>
      <w:r w:rsidR="00540773">
        <w:rPr>
          <w:lang w:val="en-GB"/>
        </w:rPr>
        <w:instrText xml:space="preserve"> REF _Ref384902147 \w \h </w:instrText>
      </w:r>
      <w:r w:rsidR="00540773">
        <w:rPr>
          <w:lang w:val="en-GB"/>
        </w:rPr>
      </w:r>
      <w:r w:rsidR="00540773">
        <w:rPr>
          <w:lang w:val="en-GB"/>
        </w:rPr>
        <w:fldChar w:fldCharType="separate"/>
      </w:r>
      <w:r w:rsidR="00E62976">
        <w:rPr>
          <w:lang w:val="en-GB"/>
        </w:rPr>
        <w:t>[23]</w:t>
      </w:r>
      <w:r w:rsidR="00540773">
        <w:rPr>
          <w:lang w:val="en-GB"/>
        </w:rPr>
        <w:fldChar w:fldCharType="end"/>
      </w:r>
      <w:r w:rsidR="00331886" w:rsidRPr="00E20701">
        <w:rPr>
          <w:lang w:val="en-GB"/>
        </w:rPr>
        <w:t xml:space="preserve">, p. 8, shall be considered, including the triggering of the one by the other </w:t>
      </w:r>
      <w:r w:rsidR="00540773">
        <w:rPr>
          <w:lang w:val="en-GB"/>
        </w:rPr>
        <w:fldChar w:fldCharType="begin"/>
      </w:r>
      <w:r w:rsidR="00540773">
        <w:rPr>
          <w:lang w:val="en-GB"/>
        </w:rPr>
        <w:instrText xml:space="preserve"> REF _Ref384902147 \w \h </w:instrText>
      </w:r>
      <w:r w:rsidR="00540773">
        <w:rPr>
          <w:lang w:val="en-GB"/>
        </w:rPr>
      </w:r>
      <w:r w:rsidR="00540773">
        <w:rPr>
          <w:lang w:val="en-GB"/>
        </w:rPr>
        <w:fldChar w:fldCharType="separate"/>
      </w:r>
      <w:r w:rsidR="00E62976">
        <w:rPr>
          <w:lang w:val="en-GB"/>
        </w:rPr>
        <w:t>[23]</w:t>
      </w:r>
      <w:r w:rsidR="00540773">
        <w:rPr>
          <w:lang w:val="en-GB"/>
        </w:rPr>
        <w:fldChar w:fldCharType="end"/>
      </w:r>
      <w:r w:rsidR="00331886" w:rsidRPr="00E20701">
        <w:rPr>
          <w:lang w:val="en-GB"/>
        </w:rPr>
        <w:t xml:space="preserve">, p. 9. </w:t>
      </w:r>
      <w:r w:rsidR="002E23FE" w:rsidRPr="00E20701">
        <w:rPr>
          <w:lang w:val="en-GB"/>
        </w:rPr>
        <w:t xml:space="preserve">The potential impact of external fires as well as lightning impact is mentioned. </w:t>
      </w:r>
      <w:r w:rsidR="00331886" w:rsidRPr="00E20701">
        <w:rPr>
          <w:lang w:val="en-GB"/>
        </w:rPr>
        <w:t xml:space="preserve">In addition, the secondary effects of fire extinguishing systems should be analysed as well </w:t>
      </w:r>
      <w:r w:rsidR="00540773">
        <w:rPr>
          <w:lang w:val="en-GB"/>
        </w:rPr>
        <w:fldChar w:fldCharType="begin"/>
      </w:r>
      <w:r w:rsidR="00540773">
        <w:rPr>
          <w:lang w:val="en-GB"/>
        </w:rPr>
        <w:instrText xml:space="preserve"> REF _Ref384902147 \w \h </w:instrText>
      </w:r>
      <w:r w:rsidR="00540773">
        <w:rPr>
          <w:lang w:val="en-GB"/>
        </w:rPr>
      </w:r>
      <w:r w:rsidR="00540773">
        <w:rPr>
          <w:lang w:val="en-GB"/>
        </w:rPr>
        <w:fldChar w:fldCharType="separate"/>
      </w:r>
      <w:r w:rsidR="00E62976">
        <w:rPr>
          <w:lang w:val="en-GB"/>
        </w:rPr>
        <w:t>[23]</w:t>
      </w:r>
      <w:r w:rsidR="00540773">
        <w:rPr>
          <w:lang w:val="en-GB"/>
        </w:rPr>
        <w:fldChar w:fldCharType="end"/>
      </w:r>
      <w:r w:rsidR="002E23FE" w:rsidRPr="00E20701">
        <w:rPr>
          <w:lang w:val="en-GB"/>
        </w:rPr>
        <w:t xml:space="preserve">, p. 14, p. 20ff. </w:t>
      </w:r>
      <w:r w:rsidR="009C6EAC" w:rsidRPr="00E20701">
        <w:rPr>
          <w:lang w:val="en-GB"/>
        </w:rPr>
        <w:t>The effect of ventilation systems, both on the spreading of fire and its secondary effects as well as for the spreading of explosion hazards (e.g. flammable gases) needs to</w:t>
      </w:r>
      <w:r w:rsidR="001D54F7">
        <w:rPr>
          <w:lang w:val="en-GB"/>
        </w:rPr>
        <w:t xml:space="preserve"> be</w:t>
      </w:r>
      <w:r w:rsidR="009C6EAC" w:rsidRPr="00E20701">
        <w:rPr>
          <w:lang w:val="en-GB"/>
        </w:rPr>
        <w:t xml:space="preserve"> taken into account. </w:t>
      </w:r>
      <w:r w:rsidR="002E23FE" w:rsidRPr="00E20701">
        <w:rPr>
          <w:lang w:val="en-GB"/>
        </w:rPr>
        <w:t>The guidance explicitly recommends looking into fire (and explosion) events that happen simultaneously with other (internal) initiating and using probabilistic arguments for the exclusion from further consideration in the design envelope</w:t>
      </w:r>
      <w:r w:rsidRPr="00E20701">
        <w:rPr>
          <w:lang w:val="en-GB"/>
        </w:rPr>
        <w:t>.</w:t>
      </w:r>
      <w:r w:rsidR="002E23FE" w:rsidRPr="00E20701">
        <w:rPr>
          <w:lang w:val="en-GB"/>
        </w:rPr>
        <w:t xml:space="preserve"> For PSA analysis of fire events, IAE</w:t>
      </w:r>
      <w:r w:rsidR="009C6EAC" w:rsidRPr="00E20701">
        <w:rPr>
          <w:lang w:val="en-GB"/>
        </w:rPr>
        <w:t>A Safety Reports Series No. 10</w:t>
      </w:r>
      <w:r w:rsidR="002E23FE" w:rsidRPr="00E20701">
        <w:rPr>
          <w:lang w:val="en-GB"/>
        </w:rPr>
        <w:t xml:space="preserve"> </w:t>
      </w:r>
      <w:r w:rsidR="00540773">
        <w:rPr>
          <w:lang w:val="en-GB"/>
        </w:rPr>
        <w:fldChar w:fldCharType="begin"/>
      </w:r>
      <w:r w:rsidR="00540773">
        <w:rPr>
          <w:lang w:val="en-GB"/>
        </w:rPr>
        <w:instrText xml:space="preserve"> REF _Ref422241723 \w \h </w:instrText>
      </w:r>
      <w:r w:rsidR="00540773">
        <w:rPr>
          <w:lang w:val="en-GB"/>
        </w:rPr>
      </w:r>
      <w:r w:rsidR="00540773">
        <w:rPr>
          <w:lang w:val="en-GB"/>
        </w:rPr>
        <w:fldChar w:fldCharType="separate"/>
      </w:r>
      <w:r w:rsidR="00E62976">
        <w:rPr>
          <w:lang w:val="en-GB"/>
        </w:rPr>
        <w:t>[85]</w:t>
      </w:r>
      <w:r w:rsidR="00540773">
        <w:rPr>
          <w:lang w:val="en-GB"/>
        </w:rPr>
        <w:fldChar w:fldCharType="end"/>
      </w:r>
      <w:r w:rsidR="009C6EAC" w:rsidRPr="00E20701">
        <w:rPr>
          <w:lang w:val="en-GB"/>
        </w:rPr>
        <w:t xml:space="preserve"> </w:t>
      </w:r>
      <w:r w:rsidR="002E23FE" w:rsidRPr="00E20701">
        <w:rPr>
          <w:lang w:val="en-GB"/>
        </w:rPr>
        <w:t>is referenced</w:t>
      </w:r>
      <w:r w:rsidR="009C6EAC" w:rsidRPr="00E20701">
        <w:rPr>
          <w:lang w:val="en-GB"/>
        </w:rPr>
        <w:t>. This, in turn, is basically superseded by SSG-</w:t>
      </w:r>
      <w:r w:rsidR="00FB1644">
        <w:rPr>
          <w:lang w:val="en-GB"/>
        </w:rPr>
        <w:t>3</w:t>
      </w:r>
      <w:r w:rsidR="00FB1644" w:rsidRPr="00E20701">
        <w:rPr>
          <w:lang w:val="en-GB"/>
        </w:rPr>
        <w:t xml:space="preserve"> </w:t>
      </w:r>
      <w:r w:rsidR="00125AF4" w:rsidRPr="00FA7763">
        <w:rPr>
          <w:lang w:val="en-GB"/>
        </w:rPr>
        <w:fldChar w:fldCharType="begin"/>
      </w:r>
      <w:r w:rsidR="009C6EAC" w:rsidRPr="00E20701">
        <w:rPr>
          <w:lang w:val="en-GB"/>
        </w:rPr>
        <w:instrText xml:space="preserve"> REF _Ref384386913 \r \h </w:instrText>
      </w:r>
      <w:r w:rsidR="00125AF4" w:rsidRPr="00FA7763">
        <w:rPr>
          <w:lang w:val="en-GB"/>
        </w:rPr>
      </w:r>
      <w:r w:rsidR="00125AF4" w:rsidRPr="00FA7763">
        <w:rPr>
          <w:lang w:val="en-GB"/>
        </w:rPr>
        <w:fldChar w:fldCharType="separate"/>
      </w:r>
      <w:r w:rsidR="00E62976">
        <w:rPr>
          <w:lang w:val="en-GB"/>
        </w:rPr>
        <w:t>[4]</w:t>
      </w:r>
      <w:r w:rsidR="00125AF4" w:rsidRPr="00FA7763">
        <w:rPr>
          <w:lang w:val="en-GB"/>
        </w:rPr>
        <w:fldChar w:fldCharType="end"/>
      </w:r>
      <w:r w:rsidR="009C6EAC" w:rsidRPr="00E20701">
        <w:rPr>
          <w:lang w:val="en-GB"/>
        </w:rPr>
        <w:t>, especially regarding Fire PSA screening, but includes still valid recommendations for internal fire PSA</w:t>
      </w:r>
      <w:r w:rsidR="002E23FE" w:rsidRPr="00E20701">
        <w:rPr>
          <w:lang w:val="en-GB"/>
        </w:rPr>
        <w:t>.</w:t>
      </w:r>
    </w:p>
    <w:p w:rsidR="00A0626D" w:rsidRPr="00E20701" w:rsidRDefault="00A0626D" w:rsidP="00E62976">
      <w:pPr>
        <w:numPr>
          <w:ilvl w:val="0"/>
          <w:numId w:val="26"/>
        </w:numPr>
        <w:rPr>
          <w:lang w:val="en-GB"/>
        </w:rPr>
      </w:pPr>
      <w:r w:rsidRPr="00E20701">
        <w:rPr>
          <w:lang w:val="en-GB"/>
        </w:rPr>
        <w:t xml:space="preserve">NS-G-1.11 </w:t>
      </w:r>
      <w:r w:rsidR="00540773">
        <w:rPr>
          <w:lang w:val="en-GB"/>
        </w:rPr>
        <w:fldChar w:fldCharType="begin"/>
      </w:r>
      <w:r w:rsidR="00540773">
        <w:rPr>
          <w:lang w:val="en-GB"/>
        </w:rPr>
        <w:instrText xml:space="preserve"> REF _Ref384902149 \w \h </w:instrText>
      </w:r>
      <w:r w:rsidR="00540773">
        <w:rPr>
          <w:lang w:val="en-GB"/>
        </w:rPr>
      </w:r>
      <w:r w:rsidR="00540773">
        <w:rPr>
          <w:lang w:val="en-GB"/>
        </w:rPr>
        <w:fldChar w:fldCharType="separate"/>
      </w:r>
      <w:r w:rsidR="00E62976">
        <w:rPr>
          <w:lang w:val="en-GB"/>
        </w:rPr>
        <w:t>[24]</w:t>
      </w:r>
      <w:r w:rsidR="00540773">
        <w:rPr>
          <w:lang w:val="en-GB"/>
        </w:rPr>
        <w:fldChar w:fldCharType="end"/>
      </w:r>
      <w:r w:rsidRPr="00E20701">
        <w:rPr>
          <w:lang w:val="en-GB"/>
        </w:rPr>
        <w:t xml:space="preserve"> </w:t>
      </w:r>
      <w:r w:rsidR="00F90BF1" w:rsidRPr="00E20701">
        <w:rPr>
          <w:lang w:val="en-GB"/>
        </w:rPr>
        <w:t xml:space="preserve">discusses internal hazards not treated in NS-G-1.7 </w:t>
      </w:r>
      <w:r w:rsidR="00540773">
        <w:rPr>
          <w:lang w:val="en-GB"/>
        </w:rPr>
        <w:fldChar w:fldCharType="begin"/>
      </w:r>
      <w:r w:rsidR="00540773">
        <w:rPr>
          <w:lang w:val="en-GB"/>
        </w:rPr>
        <w:instrText xml:space="preserve"> REF _Ref384902147 \w \h </w:instrText>
      </w:r>
      <w:r w:rsidR="00540773">
        <w:rPr>
          <w:lang w:val="en-GB"/>
        </w:rPr>
      </w:r>
      <w:r w:rsidR="00540773">
        <w:rPr>
          <w:lang w:val="en-GB"/>
        </w:rPr>
        <w:fldChar w:fldCharType="separate"/>
      </w:r>
      <w:r w:rsidR="00E62976">
        <w:rPr>
          <w:lang w:val="en-GB"/>
        </w:rPr>
        <w:t>[23]</w:t>
      </w:r>
      <w:r w:rsidR="00540773">
        <w:rPr>
          <w:lang w:val="en-GB"/>
        </w:rPr>
        <w:fldChar w:fldCharType="end"/>
      </w:r>
      <w:r w:rsidR="00F90BF1" w:rsidRPr="00E20701">
        <w:rPr>
          <w:lang w:val="en-GB"/>
        </w:rPr>
        <w:t xml:space="preserve">. </w:t>
      </w:r>
      <w:r w:rsidR="00C51CDA">
        <w:rPr>
          <w:lang w:val="en-GB"/>
        </w:rPr>
        <w:t xml:space="preserve">The guide recommends a comprehensive identification and screening process for internal hazards, possibly making </w:t>
      </w:r>
      <w:r w:rsidR="00EC10B1">
        <w:rPr>
          <w:lang w:val="en-GB"/>
        </w:rPr>
        <w:t xml:space="preserve">use </w:t>
      </w:r>
      <w:r w:rsidR="00C51CDA">
        <w:rPr>
          <w:lang w:val="en-GB"/>
        </w:rPr>
        <w:t xml:space="preserve">from probabilistic analyses </w:t>
      </w:r>
      <w:r w:rsidR="00540773">
        <w:rPr>
          <w:lang w:val="en-GB"/>
        </w:rPr>
        <w:fldChar w:fldCharType="begin"/>
      </w:r>
      <w:r w:rsidR="00540773">
        <w:rPr>
          <w:lang w:val="en-GB"/>
        </w:rPr>
        <w:instrText xml:space="preserve"> REF _Ref384902149 \w \h </w:instrText>
      </w:r>
      <w:r w:rsidR="00540773">
        <w:rPr>
          <w:lang w:val="en-GB"/>
        </w:rPr>
      </w:r>
      <w:r w:rsidR="00540773">
        <w:rPr>
          <w:lang w:val="en-GB"/>
        </w:rPr>
        <w:fldChar w:fldCharType="separate"/>
      </w:r>
      <w:r w:rsidR="00E62976">
        <w:rPr>
          <w:lang w:val="en-GB"/>
        </w:rPr>
        <w:t>[24]</w:t>
      </w:r>
      <w:r w:rsidR="00540773">
        <w:rPr>
          <w:lang w:val="en-GB"/>
        </w:rPr>
        <w:fldChar w:fldCharType="end"/>
      </w:r>
      <w:r w:rsidR="00C51CDA">
        <w:rPr>
          <w:lang w:val="en-GB"/>
        </w:rPr>
        <w:t>, p. 11. Moreover, the guide explicitly highlights the importance of secondary effects and cascading effects from internal hazards, including e.g. secondary missiles, falling objects, high energy parts failures, flooding, chemical reactions, fire, electrical damage, electromagnetic interference</w:t>
      </w:r>
      <w:r w:rsidR="00BC4228">
        <w:rPr>
          <w:lang w:val="en-GB"/>
        </w:rPr>
        <w:t xml:space="preserve"> </w:t>
      </w:r>
      <w:r w:rsidR="00540773">
        <w:rPr>
          <w:lang w:val="en-GB"/>
        </w:rPr>
        <w:fldChar w:fldCharType="begin"/>
      </w:r>
      <w:r w:rsidR="00540773">
        <w:rPr>
          <w:lang w:val="en-GB"/>
        </w:rPr>
        <w:instrText xml:space="preserve"> REF _Ref384902149 \w \h </w:instrText>
      </w:r>
      <w:r w:rsidR="00540773">
        <w:rPr>
          <w:lang w:val="en-GB"/>
        </w:rPr>
      </w:r>
      <w:r w:rsidR="00540773">
        <w:rPr>
          <w:lang w:val="en-GB"/>
        </w:rPr>
        <w:fldChar w:fldCharType="separate"/>
      </w:r>
      <w:r w:rsidR="00E62976">
        <w:rPr>
          <w:lang w:val="en-GB"/>
        </w:rPr>
        <w:t>[24]</w:t>
      </w:r>
      <w:r w:rsidR="00540773">
        <w:rPr>
          <w:lang w:val="en-GB"/>
        </w:rPr>
        <w:fldChar w:fldCharType="end"/>
      </w:r>
      <w:r w:rsidR="00C51CDA">
        <w:rPr>
          <w:lang w:val="en-GB"/>
        </w:rPr>
        <w:t xml:space="preserve">, p. 7ff, failure of structural elements </w:t>
      </w:r>
      <w:r w:rsidR="00540773">
        <w:rPr>
          <w:lang w:val="en-GB"/>
        </w:rPr>
        <w:fldChar w:fldCharType="begin"/>
      </w:r>
      <w:r w:rsidR="00540773">
        <w:rPr>
          <w:lang w:val="en-GB"/>
        </w:rPr>
        <w:instrText xml:space="preserve"> REF _Ref384902149 \w \h </w:instrText>
      </w:r>
      <w:r w:rsidR="00540773">
        <w:rPr>
          <w:lang w:val="en-GB"/>
        </w:rPr>
      </w:r>
      <w:r w:rsidR="00540773">
        <w:rPr>
          <w:lang w:val="en-GB"/>
        </w:rPr>
        <w:fldChar w:fldCharType="separate"/>
      </w:r>
      <w:r w:rsidR="00E62976">
        <w:rPr>
          <w:lang w:val="en-GB"/>
        </w:rPr>
        <w:t>[24]</w:t>
      </w:r>
      <w:r w:rsidR="00540773">
        <w:rPr>
          <w:lang w:val="en-GB"/>
        </w:rPr>
        <w:fldChar w:fldCharType="end"/>
      </w:r>
      <w:r w:rsidR="00C51CDA">
        <w:rPr>
          <w:lang w:val="en-GB"/>
        </w:rPr>
        <w:t xml:space="preserve">, p. 25, effects of pipe whip and jets </w:t>
      </w:r>
      <w:r w:rsidR="00540773">
        <w:rPr>
          <w:lang w:val="en-GB"/>
        </w:rPr>
        <w:fldChar w:fldCharType="begin"/>
      </w:r>
      <w:r w:rsidR="00540773">
        <w:rPr>
          <w:lang w:val="en-GB"/>
        </w:rPr>
        <w:instrText xml:space="preserve"> REF _Ref384902149 \w \h </w:instrText>
      </w:r>
      <w:r w:rsidR="00540773">
        <w:rPr>
          <w:lang w:val="en-GB"/>
        </w:rPr>
      </w:r>
      <w:r w:rsidR="00540773">
        <w:rPr>
          <w:lang w:val="en-GB"/>
        </w:rPr>
        <w:fldChar w:fldCharType="separate"/>
      </w:r>
      <w:r w:rsidR="00E62976">
        <w:rPr>
          <w:lang w:val="en-GB"/>
        </w:rPr>
        <w:t>[24]</w:t>
      </w:r>
      <w:r w:rsidR="00540773">
        <w:rPr>
          <w:lang w:val="en-GB"/>
        </w:rPr>
        <w:fldChar w:fldCharType="end"/>
      </w:r>
      <w:r w:rsidR="00C51CDA">
        <w:rPr>
          <w:lang w:val="en-GB"/>
        </w:rPr>
        <w:t xml:space="preserve">, p. 29ff. It should be noted that these effects can e.g. be triggered by external hazard impact as well, and are thus relevant to plant impact assessment and bounding analysis. NS-G-1.11 specifically mentions that probabilistic screening values are set </w:t>
      </w:r>
      <w:r w:rsidR="002F363E">
        <w:rPr>
          <w:rFonts w:hint="eastAsia"/>
          <w:lang w:val="en-GB" w:eastAsia="ja-JP"/>
        </w:rPr>
        <w:t>by</w:t>
      </w:r>
      <w:r w:rsidR="002F363E">
        <w:rPr>
          <w:lang w:val="en-GB"/>
        </w:rPr>
        <w:t xml:space="preserve"> </w:t>
      </w:r>
      <w:r w:rsidR="00C51CDA">
        <w:rPr>
          <w:lang w:val="en-GB"/>
        </w:rPr>
        <w:t>regulators and decision-makers</w:t>
      </w:r>
      <w:r w:rsidR="00943D20">
        <w:rPr>
          <w:lang w:val="en-GB"/>
        </w:rPr>
        <w:t xml:space="preserve"> based on what risk is deemed acceptably small </w:t>
      </w:r>
      <w:r w:rsidR="00540773">
        <w:rPr>
          <w:lang w:val="en-GB"/>
        </w:rPr>
        <w:fldChar w:fldCharType="begin"/>
      </w:r>
      <w:r w:rsidR="00540773">
        <w:rPr>
          <w:lang w:val="en-GB"/>
        </w:rPr>
        <w:instrText xml:space="preserve"> REF _Ref384902149 \w \h </w:instrText>
      </w:r>
      <w:r w:rsidR="00540773">
        <w:rPr>
          <w:lang w:val="en-GB"/>
        </w:rPr>
      </w:r>
      <w:r w:rsidR="00540773">
        <w:rPr>
          <w:lang w:val="en-GB"/>
        </w:rPr>
        <w:fldChar w:fldCharType="separate"/>
      </w:r>
      <w:r w:rsidR="00E62976">
        <w:rPr>
          <w:lang w:val="en-GB"/>
        </w:rPr>
        <w:t>[24]</w:t>
      </w:r>
      <w:r w:rsidR="00540773">
        <w:rPr>
          <w:lang w:val="en-GB"/>
        </w:rPr>
        <w:fldChar w:fldCharType="end"/>
      </w:r>
      <w:r w:rsidR="00943D20">
        <w:rPr>
          <w:lang w:val="en-GB"/>
        </w:rPr>
        <w:t xml:space="preserve">, p. 6. </w:t>
      </w:r>
    </w:p>
    <w:p w:rsidR="00A0626D" w:rsidRPr="00E20701" w:rsidRDefault="00A0626D" w:rsidP="00E62976">
      <w:pPr>
        <w:numPr>
          <w:ilvl w:val="0"/>
          <w:numId w:val="26"/>
        </w:numPr>
        <w:rPr>
          <w:lang w:val="en-GB"/>
        </w:rPr>
      </w:pPr>
      <w:r w:rsidRPr="00E20701">
        <w:rPr>
          <w:lang w:val="en-GB"/>
        </w:rPr>
        <w:t xml:space="preserve">NS-G-3.1 </w:t>
      </w:r>
      <w:r w:rsidR="00540773">
        <w:rPr>
          <w:lang w:val="en-GB"/>
        </w:rPr>
        <w:fldChar w:fldCharType="begin"/>
      </w:r>
      <w:r w:rsidR="00540773">
        <w:rPr>
          <w:lang w:val="en-GB"/>
        </w:rPr>
        <w:instrText xml:space="preserve"> REF _Ref384902170 \w \h </w:instrText>
      </w:r>
      <w:r w:rsidR="00540773">
        <w:rPr>
          <w:lang w:val="en-GB"/>
        </w:rPr>
      </w:r>
      <w:r w:rsidR="00540773">
        <w:rPr>
          <w:lang w:val="en-GB"/>
        </w:rPr>
        <w:fldChar w:fldCharType="separate"/>
      </w:r>
      <w:r w:rsidR="00E62976">
        <w:rPr>
          <w:lang w:val="en-GB"/>
        </w:rPr>
        <w:t>[19]</w:t>
      </w:r>
      <w:r w:rsidR="00540773">
        <w:rPr>
          <w:lang w:val="en-GB"/>
        </w:rPr>
        <w:fldChar w:fldCharType="end"/>
      </w:r>
      <w:r w:rsidRPr="00E20701">
        <w:rPr>
          <w:lang w:val="en-GB"/>
        </w:rPr>
        <w:t xml:space="preserve"> </w:t>
      </w:r>
      <w:r w:rsidR="00F90BF1" w:rsidRPr="00E20701">
        <w:rPr>
          <w:lang w:val="en-GB"/>
        </w:rPr>
        <w:t>provides recommendations on external human-induced events.</w:t>
      </w:r>
      <w:r w:rsidR="00D35DD6">
        <w:rPr>
          <w:lang w:val="en-GB"/>
        </w:rPr>
        <w:t xml:space="preserve"> Regarding the investigation of hazards, the guide recommends a comprehensive approach to gathering data on potential hazard sources for potentially hazardous impacts due to “air pressure wave and wind, projectile impact, heat (fire), smoke and dust, toxic and asphyxiant gases, chemical attack by corrosive or radioactive gases, aerosols or liquids, shaking of the ground, flooding or lack of water, ground subsidence (or collapse) and/or landslide, electromagnetic interference, eddy currents into the ground” </w:t>
      </w:r>
      <w:r w:rsidR="00540773">
        <w:rPr>
          <w:lang w:val="en-GB"/>
        </w:rPr>
        <w:fldChar w:fldCharType="begin"/>
      </w:r>
      <w:r w:rsidR="00540773">
        <w:rPr>
          <w:lang w:val="en-GB"/>
        </w:rPr>
        <w:instrText xml:space="preserve"> REF _Ref384902170 \w \h </w:instrText>
      </w:r>
      <w:r w:rsidR="00540773">
        <w:rPr>
          <w:lang w:val="en-GB"/>
        </w:rPr>
      </w:r>
      <w:r w:rsidR="00540773">
        <w:rPr>
          <w:lang w:val="en-GB"/>
        </w:rPr>
        <w:fldChar w:fldCharType="separate"/>
      </w:r>
      <w:r w:rsidR="00E62976">
        <w:rPr>
          <w:lang w:val="en-GB"/>
        </w:rPr>
        <w:t>[19]</w:t>
      </w:r>
      <w:r w:rsidR="00540773">
        <w:rPr>
          <w:lang w:val="en-GB"/>
        </w:rPr>
        <w:fldChar w:fldCharType="end"/>
      </w:r>
      <w:r w:rsidR="00D35DD6">
        <w:rPr>
          <w:lang w:val="en-GB"/>
        </w:rPr>
        <w:t xml:space="preserve">, p. 7f. Moreover, NS-G-3.1 explicitly mentions that different sources will often lead to a combination of impacts and possibly multiple initiating events </w:t>
      </w:r>
      <w:r w:rsidR="00540773">
        <w:rPr>
          <w:lang w:val="en-GB"/>
        </w:rPr>
        <w:fldChar w:fldCharType="begin"/>
      </w:r>
      <w:r w:rsidR="00540773">
        <w:rPr>
          <w:lang w:val="en-GB"/>
        </w:rPr>
        <w:instrText xml:space="preserve"> REF _Ref384902170 \w \h </w:instrText>
      </w:r>
      <w:r w:rsidR="00540773">
        <w:rPr>
          <w:lang w:val="en-GB"/>
        </w:rPr>
      </w:r>
      <w:r w:rsidR="00540773">
        <w:rPr>
          <w:lang w:val="en-GB"/>
        </w:rPr>
        <w:fldChar w:fldCharType="separate"/>
      </w:r>
      <w:r w:rsidR="00E62976">
        <w:rPr>
          <w:lang w:val="en-GB"/>
        </w:rPr>
        <w:t>[19]</w:t>
      </w:r>
      <w:r w:rsidR="00540773">
        <w:rPr>
          <w:lang w:val="en-GB"/>
        </w:rPr>
        <w:fldChar w:fldCharType="end"/>
      </w:r>
      <w:r w:rsidR="00D35DD6">
        <w:rPr>
          <w:lang w:val="en-GB"/>
        </w:rPr>
        <w:t xml:space="preserve">, p. 8ff. </w:t>
      </w:r>
      <w:r w:rsidR="00A63CFA">
        <w:rPr>
          <w:lang w:val="en-GB"/>
        </w:rPr>
        <w:t xml:space="preserve">For screening, the guide recommends to use frequency screening after the initial applicability screening. The screening probability level for </w:t>
      </w:r>
      <w:r w:rsidR="00A63CFA" w:rsidRPr="00A63CFA">
        <w:rPr>
          <w:lang w:val="en-GB"/>
        </w:rPr>
        <w:t>deterministic</w:t>
      </w:r>
      <w:r w:rsidR="00A63CFA">
        <w:rPr>
          <w:lang w:val="en-GB"/>
        </w:rPr>
        <w:t xml:space="preserve"> studies should be set by the regulator, but values of 10</w:t>
      </w:r>
      <w:r w:rsidR="00A63CFA" w:rsidRPr="00C70893">
        <w:rPr>
          <w:vertAlign w:val="superscript"/>
          <w:lang w:val="en-GB"/>
        </w:rPr>
        <w:t>-7</w:t>
      </w:r>
      <w:r w:rsidR="005F1EF2">
        <w:rPr>
          <w:lang w:val="en-GB"/>
        </w:rPr>
        <w:t>/a</w:t>
      </w:r>
      <w:r w:rsidR="00A63CFA">
        <w:rPr>
          <w:lang w:val="en-GB"/>
        </w:rPr>
        <w:t xml:space="preserve"> are mentioned for new NPP </w:t>
      </w:r>
      <w:r w:rsidR="00653081">
        <w:rPr>
          <w:lang w:val="en-GB"/>
        </w:rPr>
        <w:fldChar w:fldCharType="begin"/>
      </w:r>
      <w:r w:rsidR="00653081">
        <w:rPr>
          <w:lang w:val="en-GB"/>
        </w:rPr>
        <w:instrText xml:space="preserve"> REF _Ref384902170 \w \h </w:instrText>
      </w:r>
      <w:r w:rsidR="00653081">
        <w:rPr>
          <w:lang w:val="en-GB"/>
        </w:rPr>
      </w:r>
      <w:r w:rsidR="00653081">
        <w:rPr>
          <w:lang w:val="en-GB"/>
        </w:rPr>
        <w:fldChar w:fldCharType="separate"/>
      </w:r>
      <w:r w:rsidR="00E62976">
        <w:rPr>
          <w:lang w:val="en-GB"/>
        </w:rPr>
        <w:t>[19]</w:t>
      </w:r>
      <w:r w:rsidR="00653081">
        <w:rPr>
          <w:lang w:val="en-GB"/>
        </w:rPr>
        <w:fldChar w:fldCharType="end"/>
      </w:r>
      <w:r w:rsidR="00A63CFA">
        <w:rPr>
          <w:lang w:val="en-GB"/>
        </w:rPr>
        <w:t>, p. 16f</w:t>
      </w:r>
      <w:r w:rsidR="00D35DD6">
        <w:rPr>
          <w:lang w:val="en-GB"/>
        </w:rPr>
        <w:t xml:space="preserve">. </w:t>
      </w:r>
      <w:r w:rsidR="00A63CFA">
        <w:rPr>
          <w:lang w:val="en-GB"/>
        </w:rPr>
        <w:t>For impact assessment, this should be complemented by a screening distance value (SDV). If the plant is outside of the</w:t>
      </w:r>
      <w:r w:rsidR="00765983">
        <w:rPr>
          <w:lang w:val="en-GB"/>
        </w:rPr>
        <w:t xml:space="preserve"> SDV</w:t>
      </w:r>
      <w:r w:rsidR="00A63CFA">
        <w:rPr>
          <w:lang w:val="en-GB"/>
        </w:rPr>
        <w:t xml:space="preserve"> for the source, the maximum impact affecting the plant would not pose a challenge to plant safety (i.e. trigger an event). If events cannot be screened out based on frequency screening or (maximum) impact assessment, the guide recommends a more detailed assessment </w:t>
      </w:r>
      <w:r w:rsidR="00653081">
        <w:rPr>
          <w:lang w:val="en-GB"/>
        </w:rPr>
        <w:fldChar w:fldCharType="begin"/>
      </w:r>
      <w:r w:rsidR="00653081">
        <w:rPr>
          <w:lang w:val="en-GB"/>
        </w:rPr>
        <w:instrText xml:space="preserve"> REF _Ref384902170 \w \h </w:instrText>
      </w:r>
      <w:r w:rsidR="00653081">
        <w:rPr>
          <w:lang w:val="en-GB"/>
        </w:rPr>
      </w:r>
      <w:r w:rsidR="00653081">
        <w:rPr>
          <w:lang w:val="en-GB"/>
        </w:rPr>
        <w:fldChar w:fldCharType="separate"/>
      </w:r>
      <w:r w:rsidR="00E62976">
        <w:rPr>
          <w:lang w:val="en-GB"/>
        </w:rPr>
        <w:t>[19]</w:t>
      </w:r>
      <w:r w:rsidR="00653081">
        <w:rPr>
          <w:lang w:val="en-GB"/>
        </w:rPr>
        <w:fldChar w:fldCharType="end"/>
      </w:r>
      <w:r w:rsidR="00A63CFA">
        <w:rPr>
          <w:lang w:val="en-GB"/>
        </w:rPr>
        <w:t xml:space="preserve">, p. 20f. Furthermore, </w:t>
      </w:r>
      <w:r w:rsidR="00653081">
        <w:rPr>
          <w:lang w:val="en-GB"/>
        </w:rPr>
        <w:fldChar w:fldCharType="begin"/>
      </w:r>
      <w:r w:rsidR="00653081">
        <w:rPr>
          <w:lang w:val="en-GB"/>
        </w:rPr>
        <w:instrText xml:space="preserve"> REF _Ref384902170 \w \h </w:instrText>
      </w:r>
      <w:r w:rsidR="00653081">
        <w:rPr>
          <w:lang w:val="en-GB"/>
        </w:rPr>
      </w:r>
      <w:r w:rsidR="00653081">
        <w:rPr>
          <w:lang w:val="en-GB"/>
        </w:rPr>
        <w:fldChar w:fldCharType="separate"/>
      </w:r>
      <w:r w:rsidR="00E62976">
        <w:rPr>
          <w:lang w:val="en-GB"/>
        </w:rPr>
        <w:t>[19]</w:t>
      </w:r>
      <w:r w:rsidR="00653081">
        <w:rPr>
          <w:lang w:val="en-GB"/>
        </w:rPr>
        <w:fldChar w:fldCharType="end"/>
      </w:r>
      <w:r w:rsidR="00A63CFA">
        <w:rPr>
          <w:lang w:val="en-GB"/>
        </w:rPr>
        <w:t xml:space="preserve"> provides specific recommendations on identification, screening and (deterministic) assessment of aircraft crash, release of hazardous fluids, explosions, and events such as fires, ship collisions, or electromagnetic interference. With regard to probabilistic assessments, there are only some specific recommendation</w:t>
      </w:r>
      <w:r w:rsidR="004B4304">
        <w:rPr>
          <w:lang w:val="en-GB"/>
        </w:rPr>
        <w:t>s</w:t>
      </w:r>
      <w:r w:rsidR="00A63CFA">
        <w:rPr>
          <w:lang w:val="en-GB"/>
        </w:rPr>
        <w:t xml:space="preserve"> on the determining of hazard frequencies</w:t>
      </w:r>
      <w:r w:rsidRPr="00E20701">
        <w:rPr>
          <w:lang w:val="en-GB"/>
        </w:rPr>
        <w:t>.</w:t>
      </w:r>
    </w:p>
    <w:p w:rsidR="00712702" w:rsidRPr="00E20701" w:rsidRDefault="00712702" w:rsidP="00A33C9F">
      <w:pPr>
        <w:rPr>
          <w:lang w:val="en-GB"/>
        </w:rPr>
      </w:pPr>
    </w:p>
    <w:p w:rsidR="00A33C9F" w:rsidRPr="00E20701" w:rsidRDefault="00A33C9F" w:rsidP="00A33C9F">
      <w:pPr>
        <w:rPr>
          <w:lang w:val="en-GB"/>
        </w:rPr>
      </w:pPr>
      <w:r w:rsidRPr="00E20701">
        <w:rPr>
          <w:lang w:val="en-GB"/>
        </w:rPr>
        <w:t xml:space="preserve">At this stage, the initiating event selection process has determined the list of scenarios that should be investigated, because they cannot be screened out. It can be noted that the overall approach is quite comprehensive and in line with the stated goals for an extended PSA. </w:t>
      </w:r>
    </w:p>
    <w:p w:rsidR="00A33C9F" w:rsidRPr="00E20701" w:rsidRDefault="00A33C9F" w:rsidP="00A33C9F">
      <w:pPr>
        <w:rPr>
          <w:lang w:val="en-GB"/>
        </w:rPr>
      </w:pPr>
    </w:p>
    <w:p w:rsidR="00A33C9F" w:rsidRPr="00E20701" w:rsidRDefault="00A33C9F" w:rsidP="00A33C9F">
      <w:pPr>
        <w:rPr>
          <w:lang w:val="en-GB"/>
        </w:rPr>
      </w:pPr>
      <w:r w:rsidRPr="00E20701">
        <w:rPr>
          <w:lang w:val="en-GB"/>
        </w:rPr>
        <w:t xml:space="preserve">The next step in a PSA consists of (probabilistic) bounding analyses for the respective scenarios in order to decide whether a more detailed probabilistic modelling is merited or not. SSG-3 mentions this explicitly for hazard events </w:t>
      </w:r>
      <w:r w:rsidR="00125AF4" w:rsidRPr="00FA7763">
        <w:rPr>
          <w:lang w:val="en-GB"/>
        </w:rPr>
        <w:fldChar w:fldCharType="begin"/>
      </w:r>
      <w:r w:rsidRPr="00E20701">
        <w:rPr>
          <w:lang w:val="en-GB"/>
        </w:rPr>
        <w:instrText xml:space="preserve"> REF _Ref384386913 \r \h </w:instrText>
      </w:r>
      <w:r w:rsidR="00125AF4" w:rsidRPr="00FA7763">
        <w:rPr>
          <w:lang w:val="en-GB"/>
        </w:rPr>
      </w:r>
      <w:r w:rsidR="00125AF4" w:rsidRPr="00FA7763">
        <w:rPr>
          <w:lang w:val="en-GB"/>
        </w:rPr>
        <w:fldChar w:fldCharType="separate"/>
      </w:r>
      <w:r w:rsidR="00E62976">
        <w:rPr>
          <w:lang w:val="en-GB"/>
        </w:rPr>
        <w:t>[4]</w:t>
      </w:r>
      <w:r w:rsidR="00125AF4" w:rsidRPr="00FA7763">
        <w:rPr>
          <w:lang w:val="en-GB"/>
        </w:rPr>
        <w:fldChar w:fldCharType="end"/>
      </w:r>
      <w:r w:rsidRPr="00E20701">
        <w:rPr>
          <w:lang w:val="en-GB"/>
        </w:rPr>
        <w:t>, p. 98, but not for internal events</w:t>
      </w:r>
      <w:r w:rsidRPr="00E20701">
        <w:rPr>
          <w:rStyle w:val="Appelnotedebasdep"/>
          <w:lang w:val="en-GB"/>
        </w:rPr>
        <w:footnoteReference w:id="11"/>
      </w:r>
      <w:r w:rsidRPr="00E20701">
        <w:rPr>
          <w:lang w:val="en-GB"/>
        </w:rPr>
        <w:t>. In bounding analysis, the safety features of the plant are taken into consideration in a simplified manner for the event scenario under investigation. Using the available information on safety system availability (</w:t>
      </w:r>
      <w:r w:rsidR="00125AF4" w:rsidRPr="00FA7763">
        <w:rPr>
          <w:lang w:val="en-GB"/>
        </w:rPr>
        <w:fldChar w:fldCharType="begin"/>
      </w:r>
      <w:r w:rsidRPr="00E20701">
        <w:rPr>
          <w:lang w:val="en-GB"/>
        </w:rPr>
        <w:instrText xml:space="preserve"> REF _Ref384386913 \r \h </w:instrText>
      </w:r>
      <w:r w:rsidR="00125AF4" w:rsidRPr="00FA7763">
        <w:rPr>
          <w:lang w:val="en-GB"/>
        </w:rPr>
      </w:r>
      <w:r w:rsidR="00125AF4" w:rsidRPr="00FA7763">
        <w:rPr>
          <w:lang w:val="en-GB"/>
        </w:rPr>
        <w:fldChar w:fldCharType="separate"/>
      </w:r>
      <w:r w:rsidR="00E62976">
        <w:rPr>
          <w:lang w:val="en-GB"/>
        </w:rPr>
        <w:t>[4]</w:t>
      </w:r>
      <w:r w:rsidR="00125AF4" w:rsidRPr="00FA7763">
        <w:rPr>
          <w:lang w:val="en-GB"/>
        </w:rPr>
        <w:fldChar w:fldCharType="end"/>
      </w:r>
      <w:r w:rsidRPr="00E20701">
        <w:rPr>
          <w:lang w:val="en-GB"/>
        </w:rPr>
        <w:t xml:space="preserve">, p. 65ff &amp; p. 91f) and engineering judgement, e.g. the conditional core damage probability (or an upper limit) is estimated in a conservative way </w:t>
      </w:r>
      <w:r w:rsidR="00125AF4" w:rsidRPr="00FA7763">
        <w:rPr>
          <w:lang w:val="en-GB"/>
        </w:rPr>
        <w:fldChar w:fldCharType="begin"/>
      </w:r>
      <w:r w:rsidRPr="00E20701">
        <w:rPr>
          <w:lang w:val="en-GB"/>
        </w:rPr>
        <w:instrText xml:space="preserve"> REF _Ref384386913 \r \h </w:instrText>
      </w:r>
      <w:r w:rsidR="00125AF4" w:rsidRPr="00FA7763">
        <w:rPr>
          <w:lang w:val="en-GB"/>
        </w:rPr>
      </w:r>
      <w:r w:rsidR="00125AF4" w:rsidRPr="00FA7763">
        <w:rPr>
          <w:lang w:val="en-GB"/>
        </w:rPr>
        <w:fldChar w:fldCharType="separate"/>
      </w:r>
      <w:r w:rsidR="00E62976">
        <w:rPr>
          <w:lang w:val="en-GB"/>
        </w:rPr>
        <w:t>[4]</w:t>
      </w:r>
      <w:r w:rsidR="00125AF4" w:rsidRPr="00FA7763">
        <w:rPr>
          <w:lang w:val="en-GB"/>
        </w:rPr>
        <w:fldChar w:fldCharType="end"/>
      </w:r>
      <w:r w:rsidRPr="00E20701">
        <w:rPr>
          <w:lang w:val="en-GB"/>
        </w:rPr>
        <w:t>, p. 66 &amp; p. 91f. Thus, an upper limit for the contribution of the hazard scenario to the PSA results</w:t>
      </w:r>
      <w:r w:rsidRPr="00E20701">
        <w:rPr>
          <w:rStyle w:val="Appelnotedebasdep"/>
          <w:lang w:val="en-GB"/>
        </w:rPr>
        <w:footnoteReference w:id="12"/>
      </w:r>
      <w:r w:rsidRPr="00E20701">
        <w:rPr>
          <w:lang w:val="en-GB"/>
        </w:rPr>
        <w:t xml:space="preserve"> is arrived at. If the bounding analysis demonstrates that contributions from the respective scenario are not significant with relation to other (similar) scenarios, a more detailed probabilistic </w:t>
      </w:r>
      <w:r w:rsidR="002F363E">
        <w:rPr>
          <w:rFonts w:hint="eastAsia"/>
          <w:lang w:val="en-GB" w:eastAsia="ja-JP"/>
        </w:rPr>
        <w:t>model</w:t>
      </w:r>
      <w:r w:rsidR="002F363E" w:rsidRPr="00E20701">
        <w:rPr>
          <w:lang w:val="en-GB"/>
        </w:rPr>
        <w:t xml:space="preserve"> </w:t>
      </w:r>
      <w:r w:rsidRPr="00E20701">
        <w:rPr>
          <w:lang w:val="en-GB"/>
        </w:rPr>
        <w:t>is not required. Nonetheless, SSG-3 cautions that (at least) the cumulative contribution from bounding analysis should be “retained in the final results of the Level 1 PSA</w:t>
      </w:r>
      <w:r w:rsidR="002A23CB" w:rsidRPr="00E20701">
        <w:rPr>
          <w:lang w:val="en-GB"/>
        </w:rPr>
        <w:t>”</w:t>
      </w:r>
      <w:r w:rsidRPr="00E20701">
        <w:rPr>
          <w:rStyle w:val="Appelnotedebasdep"/>
          <w:lang w:val="en-GB"/>
        </w:rPr>
        <w:footnoteReference w:id="13"/>
      </w:r>
      <w:r w:rsidRPr="00E20701">
        <w:rPr>
          <w:lang w:val="en-GB"/>
        </w:rPr>
        <w:t xml:space="preserve"> </w:t>
      </w:r>
      <w:r w:rsidR="00125AF4" w:rsidRPr="00FA7763">
        <w:rPr>
          <w:lang w:val="en-GB"/>
        </w:rPr>
        <w:fldChar w:fldCharType="begin"/>
      </w:r>
      <w:r w:rsidRPr="00E20701">
        <w:rPr>
          <w:lang w:val="en-GB"/>
        </w:rPr>
        <w:instrText xml:space="preserve"> REF _Ref384386913 \r \h </w:instrText>
      </w:r>
      <w:r w:rsidR="00125AF4" w:rsidRPr="00FA7763">
        <w:rPr>
          <w:lang w:val="en-GB"/>
        </w:rPr>
      </w:r>
      <w:r w:rsidR="00125AF4" w:rsidRPr="00FA7763">
        <w:rPr>
          <w:lang w:val="en-GB"/>
        </w:rPr>
        <w:fldChar w:fldCharType="separate"/>
      </w:r>
      <w:r w:rsidR="00E62976">
        <w:rPr>
          <w:lang w:val="en-GB"/>
        </w:rPr>
        <w:t>[4]</w:t>
      </w:r>
      <w:r w:rsidR="00125AF4" w:rsidRPr="00FA7763">
        <w:rPr>
          <w:lang w:val="en-GB"/>
        </w:rPr>
        <w:fldChar w:fldCharType="end"/>
      </w:r>
      <w:r w:rsidRPr="00E20701">
        <w:rPr>
          <w:lang w:val="en-GB"/>
        </w:rPr>
        <w:t>, p. 91.</w:t>
      </w:r>
    </w:p>
    <w:p w:rsidR="00AE79D6" w:rsidRPr="00E20701" w:rsidRDefault="00A33C9F" w:rsidP="00A33C9F">
      <w:pPr>
        <w:rPr>
          <w:lang w:val="en-GB"/>
        </w:rPr>
      </w:pPr>
      <w:r w:rsidRPr="00E20701">
        <w:rPr>
          <w:lang w:val="en-GB"/>
        </w:rPr>
        <w:t xml:space="preserve">The use of bounding analysis is seen as an important step for limiting the resources needed for </w:t>
      </w:r>
      <w:r w:rsidR="00C9037C" w:rsidRPr="00E20701">
        <w:rPr>
          <w:lang w:val="en-GB"/>
        </w:rPr>
        <w:t>a</w:t>
      </w:r>
      <w:r w:rsidRPr="00E20701">
        <w:rPr>
          <w:lang w:val="en-GB"/>
        </w:rPr>
        <w:t xml:space="preserve"> PSA. </w:t>
      </w:r>
    </w:p>
    <w:p w:rsidR="008F2494" w:rsidRDefault="008F2494" w:rsidP="00A33C9F">
      <w:pPr>
        <w:rPr>
          <w:lang w:val="en-GB"/>
        </w:rPr>
      </w:pPr>
    </w:p>
    <w:p w:rsidR="00D17DE8" w:rsidRPr="00363700" w:rsidRDefault="00363700" w:rsidP="00363700">
      <w:pPr>
        <w:pStyle w:val="Titre4"/>
        <w:rPr>
          <w:lang w:val="en-GB"/>
        </w:rPr>
      </w:pPr>
      <w:r w:rsidRPr="00363700">
        <w:rPr>
          <w:lang w:val="en-GB"/>
        </w:rPr>
        <w:t>Fault Sequence Analysis Method</w:t>
      </w:r>
    </w:p>
    <w:p w:rsidR="00D021A2" w:rsidRPr="00363700" w:rsidRDefault="00D021A2" w:rsidP="00D021A2">
      <w:pPr>
        <w:rPr>
          <w:lang w:val="en-GB"/>
        </w:rPr>
      </w:pPr>
      <w:r w:rsidRPr="00363700">
        <w:rPr>
          <w:lang w:val="en-GB"/>
        </w:rPr>
        <w:t xml:space="preserve">In response to the Fukushima Dai-ichi accident, IAEA has developed the Fault Sequence Analysis </w:t>
      </w:r>
      <w:r w:rsidR="00BD7E9B" w:rsidRPr="00363700">
        <w:rPr>
          <w:lang w:val="en-GB"/>
        </w:rPr>
        <w:t xml:space="preserve">Method. </w:t>
      </w:r>
      <w:r w:rsidRPr="00363700">
        <w:rPr>
          <w:lang w:val="en-GB"/>
        </w:rPr>
        <w:t xml:space="preserve">While that method is not reflected in official guidelines of the agency, it nonetheless merits some further discussion. The approach </w:t>
      </w:r>
      <w:r w:rsidR="00653081">
        <w:rPr>
          <w:lang w:val="en-GB"/>
        </w:rPr>
        <w:fldChar w:fldCharType="begin"/>
      </w:r>
      <w:r w:rsidR="00653081">
        <w:rPr>
          <w:lang w:val="en-GB"/>
        </w:rPr>
        <w:instrText xml:space="preserve"> REF _Ref413682601 \w \h </w:instrText>
      </w:r>
      <w:r w:rsidR="00653081">
        <w:rPr>
          <w:lang w:val="en-GB"/>
        </w:rPr>
      </w:r>
      <w:r w:rsidR="00653081">
        <w:rPr>
          <w:lang w:val="en-GB"/>
        </w:rPr>
        <w:fldChar w:fldCharType="separate"/>
      </w:r>
      <w:r w:rsidR="00E62976">
        <w:rPr>
          <w:lang w:val="en-GB"/>
        </w:rPr>
        <w:t>[67]</w:t>
      </w:r>
      <w:r w:rsidR="00653081">
        <w:rPr>
          <w:lang w:val="en-GB"/>
        </w:rPr>
        <w:fldChar w:fldCharType="end"/>
      </w:r>
      <w:r w:rsidRPr="00363700">
        <w:rPr>
          <w:lang w:val="en-GB"/>
        </w:rPr>
        <w:t xml:space="preserve">, </w:t>
      </w:r>
      <w:r w:rsidR="00653081">
        <w:rPr>
          <w:lang w:val="en-GB"/>
        </w:rPr>
        <w:fldChar w:fldCharType="begin"/>
      </w:r>
      <w:r w:rsidR="00653081">
        <w:rPr>
          <w:lang w:val="en-GB"/>
        </w:rPr>
        <w:instrText xml:space="preserve"> REF _Ref413682602 \w \h </w:instrText>
      </w:r>
      <w:r w:rsidR="00653081">
        <w:rPr>
          <w:lang w:val="en-GB"/>
        </w:rPr>
      </w:r>
      <w:r w:rsidR="00653081">
        <w:rPr>
          <w:lang w:val="en-GB"/>
        </w:rPr>
        <w:fldChar w:fldCharType="separate"/>
      </w:r>
      <w:r w:rsidR="00E62976">
        <w:rPr>
          <w:lang w:val="en-GB"/>
        </w:rPr>
        <w:t>[68]</w:t>
      </w:r>
      <w:r w:rsidR="00653081">
        <w:rPr>
          <w:lang w:val="en-GB"/>
        </w:rPr>
        <w:fldChar w:fldCharType="end"/>
      </w:r>
      <w:r w:rsidRPr="00363700">
        <w:rPr>
          <w:lang w:val="en-GB"/>
        </w:rPr>
        <w:t xml:space="preserve"> uses existing PSA models (event &amp; fault trees for internal events, basic events, etc.) and processes the minimum cut set list(s) determined for specific (internal) events. Then, the analyst has to assign to each element in the list of PSA components (i.e. basic events, initiating events, and possible logical switches) and for each hazard under consideration a threshold value, at which the component is assumed to be disabled or malfunctioning. For initiating events, the respective event is triggered. Conceptually, these threshold values should be taken from the design basis of the plant for the respective systems, structures and components.</w:t>
      </w:r>
    </w:p>
    <w:p w:rsidR="00D021A2" w:rsidRPr="00363700" w:rsidRDefault="00D021A2" w:rsidP="00D021A2">
      <w:pPr>
        <w:rPr>
          <w:lang w:val="en-GB"/>
        </w:rPr>
      </w:pPr>
      <w:r w:rsidRPr="00363700">
        <w:rPr>
          <w:lang w:val="en-GB"/>
        </w:rPr>
        <w:t xml:space="preserve">In the following step </w:t>
      </w:r>
      <w:r w:rsidR="00224F4D">
        <w:rPr>
          <w:lang w:val="en-GB"/>
        </w:rPr>
        <w:fldChar w:fldCharType="begin"/>
      </w:r>
      <w:r w:rsidR="00224F4D">
        <w:rPr>
          <w:lang w:val="en-GB"/>
        </w:rPr>
        <w:instrText xml:space="preserve"> REF _Ref413682601 \w \h </w:instrText>
      </w:r>
      <w:r w:rsidR="00224F4D">
        <w:rPr>
          <w:lang w:val="en-GB"/>
        </w:rPr>
      </w:r>
      <w:r w:rsidR="00224F4D">
        <w:rPr>
          <w:lang w:val="en-GB"/>
        </w:rPr>
        <w:fldChar w:fldCharType="separate"/>
      </w:r>
      <w:r w:rsidR="00E62976">
        <w:rPr>
          <w:lang w:val="en-GB"/>
        </w:rPr>
        <w:t>[67]</w:t>
      </w:r>
      <w:r w:rsidR="00224F4D">
        <w:rPr>
          <w:lang w:val="en-GB"/>
        </w:rPr>
        <w:fldChar w:fldCharType="end"/>
      </w:r>
      <w:r w:rsidRPr="00363700">
        <w:rPr>
          <w:lang w:val="en-GB"/>
        </w:rPr>
        <w:t xml:space="preserve">, </w:t>
      </w:r>
      <w:r w:rsidR="00224F4D">
        <w:rPr>
          <w:lang w:val="en-GB"/>
        </w:rPr>
        <w:fldChar w:fldCharType="begin"/>
      </w:r>
      <w:r w:rsidR="00224F4D">
        <w:rPr>
          <w:lang w:val="en-GB"/>
        </w:rPr>
        <w:instrText xml:space="preserve"> REF _Ref413682602 \w \h </w:instrText>
      </w:r>
      <w:r w:rsidR="00224F4D">
        <w:rPr>
          <w:lang w:val="en-GB"/>
        </w:rPr>
      </w:r>
      <w:r w:rsidR="00224F4D">
        <w:rPr>
          <w:lang w:val="en-GB"/>
        </w:rPr>
        <w:fldChar w:fldCharType="separate"/>
      </w:r>
      <w:r w:rsidR="00E62976">
        <w:rPr>
          <w:lang w:val="en-GB"/>
        </w:rPr>
        <w:t>[68]</w:t>
      </w:r>
      <w:r w:rsidR="00224F4D">
        <w:rPr>
          <w:lang w:val="en-GB"/>
        </w:rPr>
        <w:fldChar w:fldCharType="end"/>
      </w:r>
      <w:r w:rsidRPr="00363700">
        <w:rPr>
          <w:lang w:val="en-GB"/>
        </w:rPr>
        <w:t xml:space="preserve">, the analyst can then vary the hazard impact for each hazard in the matrix. The analysis tool will determine all components, for which at least one hazard impact exceeds the threshold values. Related basic events will be set to unavailable in the cut set list. If all elements of at least one cut set in the list are established as failed, then it will be assumed that the scenario could not be controlled by the safety systems. By systematically varying the impact magnitudes for each considered hazard (in steps), it is possible to determine so called “limiting extreme events” </w:t>
      </w:r>
      <w:r w:rsidR="00224F4D">
        <w:rPr>
          <w:lang w:val="en-GB"/>
        </w:rPr>
        <w:fldChar w:fldCharType="begin"/>
      </w:r>
      <w:r w:rsidR="00224F4D">
        <w:rPr>
          <w:lang w:val="en-GB"/>
        </w:rPr>
        <w:instrText xml:space="preserve"> REF _Ref413682601 \w \h </w:instrText>
      </w:r>
      <w:r w:rsidR="00224F4D">
        <w:rPr>
          <w:lang w:val="en-GB"/>
        </w:rPr>
      </w:r>
      <w:r w:rsidR="00224F4D">
        <w:rPr>
          <w:lang w:val="en-GB"/>
        </w:rPr>
        <w:fldChar w:fldCharType="separate"/>
      </w:r>
      <w:r w:rsidR="00E62976">
        <w:rPr>
          <w:lang w:val="en-GB"/>
        </w:rPr>
        <w:t>[67]</w:t>
      </w:r>
      <w:r w:rsidR="00224F4D">
        <w:rPr>
          <w:lang w:val="en-GB"/>
        </w:rPr>
        <w:fldChar w:fldCharType="end"/>
      </w:r>
      <w:r w:rsidRPr="00363700">
        <w:rPr>
          <w:lang w:val="en-GB"/>
        </w:rPr>
        <w:t xml:space="preserve"> (including combinations of hazard event impacts).</w:t>
      </w:r>
    </w:p>
    <w:p w:rsidR="00D021A2" w:rsidRPr="00363700" w:rsidRDefault="00D021A2" w:rsidP="00D021A2">
      <w:pPr>
        <w:rPr>
          <w:lang w:val="en-GB"/>
        </w:rPr>
      </w:pPr>
      <w:r w:rsidRPr="00363700">
        <w:rPr>
          <w:lang w:val="en-GB"/>
        </w:rPr>
        <w:t xml:space="preserve">With respect to PSA, this method at least allows for some evaluation of plant behaviour in case of hazard impact and particularly of multiple hazard impact. It could therefore be considered e.g. for support in hazard impact and bounding assessments within an extended PSA. However, the method provides assistance </w:t>
      </w:r>
      <w:r w:rsidR="00EF0965" w:rsidRPr="00363700">
        <w:rPr>
          <w:lang w:val="en-GB"/>
        </w:rPr>
        <w:t xml:space="preserve">neither </w:t>
      </w:r>
      <w:r w:rsidRPr="00363700">
        <w:rPr>
          <w:lang w:val="en-GB"/>
        </w:rPr>
        <w:t>on hazard frequency determinations, nor on (quantitative descriptions of) correlations of hazards, nor on detailed hazard impact and plant response modelling.</w:t>
      </w:r>
    </w:p>
    <w:p w:rsidR="00A33C9F" w:rsidRPr="00E20701" w:rsidRDefault="00A33C9F" w:rsidP="00EE6012">
      <w:pPr>
        <w:rPr>
          <w:lang w:val="en-GB"/>
        </w:rPr>
      </w:pPr>
    </w:p>
    <w:p w:rsidR="006E19F5" w:rsidRPr="00E20701" w:rsidRDefault="0023630E" w:rsidP="00FE10EC">
      <w:pPr>
        <w:pStyle w:val="Titre3"/>
        <w:rPr>
          <w:lang w:val="en-GB"/>
        </w:rPr>
      </w:pPr>
      <w:bookmarkStart w:id="393" w:name="_Toc473303548"/>
      <w:r w:rsidRPr="00E20701">
        <w:rPr>
          <w:lang w:val="en-GB"/>
        </w:rPr>
        <w:t>Western European Nuclear Regulators Association (</w:t>
      </w:r>
      <w:r w:rsidR="001A0D3A" w:rsidRPr="00E20701">
        <w:rPr>
          <w:lang w:val="en-GB"/>
        </w:rPr>
        <w:t>WENRA</w:t>
      </w:r>
      <w:r w:rsidRPr="00E20701">
        <w:rPr>
          <w:lang w:val="en-GB"/>
        </w:rPr>
        <w:t>)</w:t>
      </w:r>
      <w:bookmarkEnd w:id="393"/>
    </w:p>
    <w:p w:rsidR="00061871" w:rsidRPr="00061871" w:rsidRDefault="00061871" w:rsidP="00061871">
      <w:pPr>
        <w:rPr>
          <w:lang w:val="en-US"/>
        </w:rPr>
      </w:pPr>
      <w:r w:rsidRPr="00061871">
        <w:rPr>
          <w:lang w:val="en-US"/>
        </w:rPr>
        <w:t>A principal aim of the Western European Nuclear Regulators’ Association (WENRA) is to develop a harmonized approach to nuclear safety within the member countries. One of the major achievements was set of safety reference levels (RLs) for operating nuclear power plants (NPPs). The RLs are agreed by the WENRA members. They reflect expected practices to be implemented in the WENRA countries. For some of the issues highlighted by the RLs specific guidance was also developed by WENRA.</w:t>
      </w:r>
    </w:p>
    <w:p w:rsidR="00061871" w:rsidRPr="00061871" w:rsidRDefault="00061871" w:rsidP="00061871">
      <w:pPr>
        <w:rPr>
          <w:lang w:val="en-GB"/>
        </w:rPr>
      </w:pPr>
      <w:r w:rsidRPr="00061871">
        <w:rPr>
          <w:lang w:val="en-GB"/>
        </w:rPr>
        <w:t xml:space="preserve">Since then, the construction of new nuclear power plants has begun or is being envisaged in several European countries, WENRA developed also safety objectives for new nuclear power plants. </w:t>
      </w:r>
    </w:p>
    <w:p w:rsidR="00061871" w:rsidRPr="00061871" w:rsidRDefault="00061871" w:rsidP="00061871">
      <w:pPr>
        <w:rPr>
          <w:lang w:val="en-GB"/>
        </w:rPr>
      </w:pPr>
      <w:r w:rsidRPr="00061871">
        <w:rPr>
          <w:lang w:val="en-GB"/>
        </w:rPr>
        <w:t>In the following paragraphs are presented the specific PSA aspects include</w:t>
      </w:r>
      <w:r w:rsidR="00121477">
        <w:rPr>
          <w:lang w:val="en-GB"/>
        </w:rPr>
        <w:t>d</w:t>
      </w:r>
      <w:r w:rsidRPr="00061871">
        <w:rPr>
          <w:lang w:val="en-GB"/>
        </w:rPr>
        <w:t xml:space="preserve"> into:</w:t>
      </w:r>
    </w:p>
    <w:p w:rsidR="00061871" w:rsidRPr="00061871" w:rsidRDefault="00061871" w:rsidP="00E62976">
      <w:pPr>
        <w:numPr>
          <w:ilvl w:val="0"/>
          <w:numId w:val="49"/>
        </w:numPr>
        <w:rPr>
          <w:lang w:val="en-GB"/>
        </w:rPr>
      </w:pPr>
      <w:r w:rsidRPr="00061871">
        <w:rPr>
          <w:lang w:val="en-GB"/>
        </w:rPr>
        <w:t>Safety of new NPP designs</w:t>
      </w:r>
      <w:r w:rsidR="00121477">
        <w:rPr>
          <w:lang w:val="en-GB"/>
        </w:rPr>
        <w:t>,</w:t>
      </w:r>
    </w:p>
    <w:p w:rsidR="00061871" w:rsidRPr="00061871" w:rsidRDefault="00061871" w:rsidP="00E62976">
      <w:pPr>
        <w:numPr>
          <w:ilvl w:val="0"/>
          <w:numId w:val="49"/>
        </w:numPr>
        <w:rPr>
          <w:lang w:val="en-GB"/>
        </w:rPr>
      </w:pPr>
      <w:r w:rsidRPr="00061871">
        <w:rPr>
          <w:lang w:val="en-GB"/>
        </w:rPr>
        <w:t>Safety reference levels for existing reactors</w:t>
      </w:r>
      <w:r w:rsidR="00121477">
        <w:rPr>
          <w:lang w:val="en-GB"/>
        </w:rPr>
        <w:t>,</w:t>
      </w:r>
    </w:p>
    <w:p w:rsidR="00061871" w:rsidRPr="00061871" w:rsidRDefault="00061871" w:rsidP="00E62976">
      <w:pPr>
        <w:numPr>
          <w:ilvl w:val="0"/>
          <w:numId w:val="49"/>
        </w:numPr>
        <w:rPr>
          <w:lang w:val="en-GB"/>
        </w:rPr>
      </w:pPr>
      <w:r w:rsidRPr="00061871">
        <w:rPr>
          <w:lang w:val="en-GB"/>
        </w:rPr>
        <w:t>Exi</w:t>
      </w:r>
      <w:r w:rsidR="006554B6">
        <w:rPr>
          <w:lang w:val="en-GB"/>
        </w:rPr>
        <w:t>s</w:t>
      </w:r>
      <w:r w:rsidRPr="00061871">
        <w:rPr>
          <w:lang w:val="en-GB"/>
        </w:rPr>
        <w:t>ting guidance for safety reference levels</w:t>
      </w:r>
      <w:r w:rsidR="00121477">
        <w:rPr>
          <w:lang w:val="en-GB"/>
        </w:rPr>
        <w:t>.</w:t>
      </w:r>
    </w:p>
    <w:p w:rsidR="00061871" w:rsidRPr="00061871" w:rsidRDefault="00061871" w:rsidP="00061871">
      <w:pPr>
        <w:rPr>
          <w:lang w:val="en-GB"/>
        </w:rPr>
      </w:pPr>
    </w:p>
    <w:p w:rsidR="00061871" w:rsidRPr="00061871" w:rsidRDefault="00061871" w:rsidP="00E62976">
      <w:pPr>
        <w:numPr>
          <w:ilvl w:val="0"/>
          <w:numId w:val="50"/>
        </w:numPr>
        <w:rPr>
          <w:b/>
          <w:u w:val="single"/>
          <w:lang w:val="en-GB"/>
        </w:rPr>
      </w:pPr>
      <w:r w:rsidRPr="00061871">
        <w:rPr>
          <w:b/>
          <w:u w:val="single"/>
          <w:lang w:val="en-GB"/>
        </w:rPr>
        <w:t>Safety of new NPP design</w:t>
      </w:r>
    </w:p>
    <w:p w:rsidR="00061871" w:rsidRPr="00061871" w:rsidRDefault="00061871" w:rsidP="00061871">
      <w:pPr>
        <w:rPr>
          <w:lang w:val="en-GB"/>
        </w:rPr>
      </w:pPr>
    </w:p>
    <w:p w:rsidR="00061871" w:rsidRPr="00061871" w:rsidRDefault="00061871" w:rsidP="00061871">
      <w:pPr>
        <w:rPr>
          <w:i/>
          <w:u w:val="single"/>
          <w:lang w:val="en-GB"/>
        </w:rPr>
      </w:pPr>
      <w:r w:rsidRPr="00061871">
        <w:rPr>
          <w:u w:val="single"/>
          <w:lang w:val="en-GB"/>
        </w:rPr>
        <w:t>Report - Safety of new NPP designs, March 2013</w:t>
      </w:r>
    </w:p>
    <w:p w:rsidR="00061871" w:rsidRPr="00061871" w:rsidRDefault="00061871" w:rsidP="00061871">
      <w:pPr>
        <w:rPr>
          <w:lang w:val="en-GB"/>
        </w:rPr>
      </w:pPr>
    </w:p>
    <w:p w:rsidR="00061871" w:rsidRPr="00061871" w:rsidRDefault="00061871" w:rsidP="00061871">
      <w:pPr>
        <w:rPr>
          <w:lang w:val="en-GB"/>
        </w:rPr>
      </w:pPr>
      <w:r w:rsidRPr="00061871">
        <w:rPr>
          <w:lang w:val="en-GB"/>
        </w:rPr>
        <w:t>The report presents WENRA safety expectations for the design of new NPPs. A Generic list of External Hazard is also provided in this document.</w:t>
      </w:r>
    </w:p>
    <w:p w:rsidR="00061871" w:rsidRPr="00061871" w:rsidRDefault="00061871" w:rsidP="00061871">
      <w:pPr>
        <w:rPr>
          <w:lang w:val="en-GB"/>
        </w:rPr>
      </w:pPr>
      <w:r w:rsidRPr="00061871">
        <w:rPr>
          <w:lang w:val="en-GB"/>
        </w:rPr>
        <w:t>Some important items related to the external hazards are:</w:t>
      </w:r>
    </w:p>
    <w:p w:rsidR="00061871" w:rsidRPr="00061871" w:rsidRDefault="00061871" w:rsidP="00061871">
      <w:pPr>
        <w:rPr>
          <w:i/>
          <w:lang w:val="en-GB"/>
        </w:rPr>
      </w:pPr>
      <w:r w:rsidRPr="00061871">
        <w:rPr>
          <w:i/>
          <w:lang w:val="en-GB"/>
        </w:rPr>
        <w:t>The safety assessment for new reactors should demonstrate that threats from external hazards are either removed or minimized as far as reasonably practicable. This may be done by showing that all relevant SSCs required to cope with an external hazard are designed and adequately qualified to withstand the conditions related to that external hazards.</w:t>
      </w:r>
    </w:p>
    <w:p w:rsidR="00061871" w:rsidRPr="00061871" w:rsidRDefault="00061871" w:rsidP="00061871">
      <w:pPr>
        <w:rPr>
          <w:i/>
          <w:lang w:val="en-GB"/>
        </w:rPr>
      </w:pPr>
      <w:r w:rsidRPr="00061871">
        <w:rPr>
          <w:i/>
          <w:lang w:val="en-GB"/>
        </w:rPr>
        <w:t xml:space="preserve">External Hazards considered in the </w:t>
      </w:r>
      <w:r w:rsidRPr="00061871">
        <w:rPr>
          <w:i/>
          <w:iCs/>
          <w:lang w:val="en-GB"/>
        </w:rPr>
        <w:t xml:space="preserve">general design basis </w:t>
      </w:r>
      <w:r w:rsidRPr="00061871">
        <w:rPr>
          <w:i/>
          <w:lang w:val="en-GB"/>
        </w:rPr>
        <w:t>of the plant should not lead to a core melt accident. Accident sequences with core melt resulting from external hazards which would lead to early or large releases should be practically eliminated. For that reason</w:t>
      </w:r>
      <w:r w:rsidRPr="00061871">
        <w:rPr>
          <w:i/>
          <w:iCs/>
          <w:lang w:val="en-GB"/>
        </w:rPr>
        <w:t>, rare and severe external hazards</w:t>
      </w:r>
      <w:r w:rsidRPr="00061871">
        <w:rPr>
          <w:i/>
          <w:lang w:val="en-GB"/>
        </w:rPr>
        <w:t xml:space="preserve">, which may be additional to the </w:t>
      </w:r>
      <w:r w:rsidRPr="00061871">
        <w:rPr>
          <w:i/>
          <w:iCs/>
          <w:lang w:val="en-GB"/>
        </w:rPr>
        <w:t>general design basis</w:t>
      </w:r>
      <w:r w:rsidRPr="00061871">
        <w:rPr>
          <w:i/>
          <w:lang w:val="en-GB"/>
        </w:rPr>
        <w:t>, unless screened out, need to be taken into account in the overall safety analysis.</w:t>
      </w:r>
    </w:p>
    <w:p w:rsidR="00061871" w:rsidRPr="00061871" w:rsidRDefault="00061871" w:rsidP="00061871">
      <w:pPr>
        <w:rPr>
          <w:i/>
          <w:lang w:val="en-GB"/>
        </w:rPr>
      </w:pPr>
      <w:r w:rsidRPr="00061871">
        <w:rPr>
          <w:i/>
          <w:lang w:val="en-GB"/>
        </w:rPr>
        <w:t>For new reactors external hazards should be considered as an integral part of the design and the level of detail and analysis provided should be proportionate to the contribution to the overall risk.</w:t>
      </w:r>
    </w:p>
    <w:p w:rsidR="00061871" w:rsidRPr="00061871" w:rsidRDefault="00061871" w:rsidP="00061871">
      <w:pPr>
        <w:rPr>
          <w:i/>
          <w:lang w:val="en-GB"/>
        </w:rPr>
      </w:pPr>
      <w:r w:rsidRPr="00061871">
        <w:rPr>
          <w:i/>
          <w:lang w:val="en-GB"/>
        </w:rPr>
        <w:t>The first step in addressing the threats from external hazards is to identify those that are of relevance to the site and facility under consideration. Any identified external hazard that could affect a facility should be treated as an event that can give rise to possible initiating events.</w:t>
      </w:r>
    </w:p>
    <w:p w:rsidR="00061871" w:rsidRPr="00061871" w:rsidRDefault="00061871" w:rsidP="00061871">
      <w:pPr>
        <w:rPr>
          <w:i/>
          <w:lang w:val="en-GB"/>
        </w:rPr>
      </w:pPr>
      <w:r w:rsidRPr="00061871">
        <w:rPr>
          <w:i/>
          <w:lang w:val="en-GB"/>
        </w:rPr>
        <w:t>The list of external hazards to be considered should be as complete as possible and include all of the hazards mentioned in the relevant IAEA sources. These sources have been combined to produce a consistent and coherent list which is included in the end of this section. This generic list is a starting point and it is expected that it would be augmented by any site specific hazards not included. The overall demonstration should include justification that the list (generic + site specific) is complete and relevant to the local site.</w:t>
      </w:r>
    </w:p>
    <w:p w:rsidR="00061871" w:rsidRPr="00061871" w:rsidRDefault="00061871" w:rsidP="00061871">
      <w:pPr>
        <w:rPr>
          <w:i/>
          <w:lang w:val="en-GB"/>
        </w:rPr>
      </w:pPr>
      <w:r w:rsidRPr="00061871">
        <w:rPr>
          <w:i/>
          <w:lang w:val="en-GB"/>
        </w:rPr>
        <w:t>Screening is used to select the External Hazards that should be analysed. The screening process should take as a starting point the complete list discussed in the previous section. Each external hazard on the list should be considered and selected for analysis if:</w:t>
      </w:r>
    </w:p>
    <w:p w:rsidR="00061871" w:rsidRPr="00061871" w:rsidRDefault="00061871" w:rsidP="001B7918">
      <w:pPr>
        <w:ind w:left="709"/>
        <w:rPr>
          <w:i/>
          <w:lang w:val="en-GB"/>
        </w:rPr>
      </w:pPr>
      <w:r w:rsidRPr="00061871">
        <w:rPr>
          <w:i/>
          <w:lang w:val="en-GB"/>
        </w:rPr>
        <w:t>a. It is physically capable of posing a threat to nuclear safety, and</w:t>
      </w:r>
    </w:p>
    <w:p w:rsidR="00061871" w:rsidRPr="00061871" w:rsidRDefault="00061871" w:rsidP="001B7918">
      <w:pPr>
        <w:ind w:left="709"/>
        <w:rPr>
          <w:i/>
          <w:lang w:val="en-GB"/>
        </w:rPr>
      </w:pPr>
      <w:r w:rsidRPr="00061871">
        <w:rPr>
          <w:i/>
          <w:lang w:val="en-GB"/>
        </w:rPr>
        <w:t>b. the frequency of occurrence of the external hazard is higher than pre-set criteria.</w:t>
      </w:r>
    </w:p>
    <w:p w:rsidR="00061871" w:rsidRPr="00061871" w:rsidRDefault="00061871" w:rsidP="00061871">
      <w:pPr>
        <w:rPr>
          <w:i/>
          <w:lang w:val="en-GB"/>
        </w:rPr>
      </w:pPr>
      <w:r w:rsidRPr="00061871">
        <w:rPr>
          <w:i/>
          <w:lang w:val="en-GB"/>
        </w:rPr>
        <w:t xml:space="preserve">The pre-set frequency criteria may differ depending on the nature of the analysis that is to be undertaken. Typically for the </w:t>
      </w:r>
      <w:r w:rsidRPr="00061871">
        <w:rPr>
          <w:i/>
          <w:iCs/>
          <w:lang w:val="en-GB"/>
        </w:rPr>
        <w:t>general design basis</w:t>
      </w:r>
      <w:r w:rsidRPr="00061871">
        <w:rPr>
          <w:i/>
          <w:lang w:val="en-GB"/>
        </w:rPr>
        <w:t xml:space="preserve">, where the analysis will be done using traditional conservative methods, assumptions and data, the criterion will be higher than the frequency criteria used for analyses of </w:t>
      </w:r>
      <w:r w:rsidRPr="00061871">
        <w:rPr>
          <w:i/>
          <w:iCs/>
          <w:lang w:val="en-GB"/>
        </w:rPr>
        <w:t xml:space="preserve">rare and severe external hazards </w:t>
      </w:r>
      <w:r w:rsidRPr="00061871">
        <w:rPr>
          <w:i/>
          <w:lang w:val="en-GB"/>
        </w:rPr>
        <w:t>or PSA that could employ realistic, best estimate methods and data. Therefore the screening process may lead to separate, but compatible lists of external hazards for the range of analyses to be undertaken and there should be a clear and consistent rationale for the differences in the lists. In all cases the pre-set frequency criteria used should be stated and justified taking into account the way the hazards are going to be analysed in the safety demonstration. The degree of confidence of the estimated frequency of occurrence should be stated and justified taking into account the related uncertainties according to the state of knowledge.</w:t>
      </w:r>
    </w:p>
    <w:p w:rsidR="00061871" w:rsidRPr="00061871" w:rsidRDefault="00061871" w:rsidP="00061871">
      <w:pPr>
        <w:rPr>
          <w:i/>
          <w:lang w:val="en-GB"/>
        </w:rPr>
      </w:pPr>
      <w:r w:rsidRPr="00061871">
        <w:rPr>
          <w:i/>
          <w:lang w:val="en-GB"/>
        </w:rPr>
        <w:t>The screening process should explicitly consider correlated events and combinations of events.</w:t>
      </w:r>
    </w:p>
    <w:p w:rsidR="00061871" w:rsidRPr="00061871" w:rsidRDefault="00061871" w:rsidP="00061871">
      <w:pPr>
        <w:rPr>
          <w:i/>
          <w:lang w:val="en-GB"/>
        </w:rPr>
      </w:pPr>
      <w:r w:rsidRPr="00061871">
        <w:rPr>
          <w:i/>
          <w:lang w:val="en-GB"/>
        </w:rPr>
        <w:t xml:space="preserve">The external hazards analysis includes the design of SSCs which are relevant to ensuring that the fundamental safety functions are fulfilled, development of probabilistic models where necessary, and the consideration of </w:t>
      </w:r>
      <w:r w:rsidRPr="00061871">
        <w:rPr>
          <w:i/>
          <w:iCs/>
          <w:lang w:val="en-GB"/>
        </w:rPr>
        <w:t>rare and severe external hazards</w:t>
      </w:r>
      <w:r w:rsidRPr="00061871">
        <w:rPr>
          <w:i/>
          <w:lang w:val="en-GB"/>
        </w:rPr>
        <w:t>.</w:t>
      </w:r>
      <w:r w:rsidR="00770BC1">
        <w:rPr>
          <w:i/>
          <w:lang w:val="en-GB"/>
        </w:rPr>
        <w:t xml:space="preserve"> </w:t>
      </w:r>
      <w:r w:rsidR="00770BC1">
        <w:rPr>
          <w:lang w:val="en-GB"/>
        </w:rPr>
        <w:fldChar w:fldCharType="begin"/>
      </w:r>
      <w:r w:rsidR="00770BC1">
        <w:rPr>
          <w:lang w:val="en-GB"/>
        </w:rPr>
        <w:instrText xml:space="preserve"> REF _Ref392859457 \r \h </w:instrText>
      </w:r>
      <w:r w:rsidR="00770BC1">
        <w:rPr>
          <w:lang w:val="en-GB"/>
        </w:rPr>
      </w:r>
      <w:r w:rsidR="00770BC1">
        <w:rPr>
          <w:lang w:val="en-GB"/>
        </w:rPr>
        <w:fldChar w:fldCharType="separate"/>
      </w:r>
      <w:r w:rsidR="00E62976">
        <w:rPr>
          <w:lang w:val="en-GB"/>
        </w:rPr>
        <w:t>[35]</w:t>
      </w:r>
      <w:r w:rsidR="00770BC1">
        <w:rPr>
          <w:lang w:val="en-GB"/>
        </w:rPr>
        <w:fldChar w:fldCharType="end"/>
      </w:r>
    </w:p>
    <w:p w:rsidR="00061871" w:rsidRPr="00061871" w:rsidRDefault="00061871" w:rsidP="00061871">
      <w:pPr>
        <w:rPr>
          <w:lang w:val="en-GB"/>
        </w:rPr>
      </w:pPr>
    </w:p>
    <w:p w:rsidR="00061871" w:rsidRPr="00061871" w:rsidRDefault="00061871" w:rsidP="00E62976">
      <w:pPr>
        <w:numPr>
          <w:ilvl w:val="0"/>
          <w:numId w:val="50"/>
        </w:numPr>
        <w:rPr>
          <w:b/>
          <w:u w:val="single"/>
          <w:lang w:val="en-GB"/>
        </w:rPr>
      </w:pPr>
      <w:r w:rsidRPr="00061871">
        <w:rPr>
          <w:b/>
          <w:u w:val="single"/>
          <w:lang w:val="en-GB"/>
        </w:rPr>
        <w:t>References levels for existing reactors and associated guides</w:t>
      </w:r>
    </w:p>
    <w:p w:rsidR="00061871" w:rsidRPr="00061871" w:rsidRDefault="00061871" w:rsidP="00061871">
      <w:pPr>
        <w:rPr>
          <w:u w:val="single"/>
          <w:lang w:val="en-GB"/>
        </w:rPr>
      </w:pPr>
    </w:p>
    <w:p w:rsidR="00061871" w:rsidRPr="00061871" w:rsidRDefault="00061871" w:rsidP="00E62976">
      <w:pPr>
        <w:numPr>
          <w:ilvl w:val="0"/>
          <w:numId w:val="51"/>
        </w:numPr>
        <w:rPr>
          <w:u w:val="single"/>
          <w:lang w:val="en-GB"/>
        </w:rPr>
      </w:pPr>
      <w:r w:rsidRPr="00061871">
        <w:rPr>
          <w:u w:val="single"/>
          <w:lang w:val="en-GB"/>
        </w:rPr>
        <w:t>Report - Safety Reference Levels for Existing Reactors, September 2014</w:t>
      </w:r>
    </w:p>
    <w:p w:rsidR="00061871" w:rsidRPr="00061871" w:rsidRDefault="00061871" w:rsidP="00061871">
      <w:pPr>
        <w:rPr>
          <w:lang w:val="en-GB"/>
        </w:rPr>
      </w:pPr>
    </w:p>
    <w:p w:rsidR="00061871" w:rsidRPr="00061871" w:rsidRDefault="00061871" w:rsidP="00061871">
      <w:pPr>
        <w:rPr>
          <w:lang w:val="en-GB"/>
        </w:rPr>
      </w:pPr>
      <w:r w:rsidRPr="00061871">
        <w:rPr>
          <w:lang w:val="en-GB"/>
        </w:rPr>
        <w:t>The document presents WENRA safety expectation related to the exiting reactors. The relevant issues for extended PSA are the following:</w:t>
      </w:r>
    </w:p>
    <w:p w:rsidR="00061871" w:rsidRPr="00061871" w:rsidRDefault="00061871" w:rsidP="00061871">
      <w:pPr>
        <w:rPr>
          <w:lang w:val="en-GB"/>
        </w:rPr>
      </w:pPr>
    </w:p>
    <w:p w:rsidR="00061871" w:rsidRPr="00061871" w:rsidRDefault="00061871" w:rsidP="00061871">
      <w:pPr>
        <w:rPr>
          <w:i/>
          <w:u w:val="single"/>
          <w:lang w:val="en-GB"/>
        </w:rPr>
      </w:pPr>
      <w:r w:rsidRPr="00061871">
        <w:rPr>
          <w:i/>
          <w:u w:val="single"/>
          <w:lang w:val="en-GB"/>
        </w:rPr>
        <w:t>Issue F: Design Extension of Existing Reactors</w:t>
      </w:r>
    </w:p>
    <w:p w:rsidR="00061871" w:rsidRPr="00061871" w:rsidRDefault="00061871" w:rsidP="00061871">
      <w:pPr>
        <w:rPr>
          <w:i/>
          <w:lang w:val="en-GB"/>
        </w:rPr>
      </w:pPr>
      <w:r w:rsidRPr="00061871">
        <w:rPr>
          <w:i/>
          <w:lang w:val="en-GB"/>
        </w:rPr>
        <w:t>A set of DECs shall be derived and justified as representative, based on a combination of deterministic and probabilistic assessments as well as engineering judgement.</w:t>
      </w:r>
    </w:p>
    <w:p w:rsidR="00061871" w:rsidRPr="00061871" w:rsidRDefault="00061871" w:rsidP="00061871">
      <w:pPr>
        <w:rPr>
          <w:i/>
          <w:lang w:val="en-US"/>
        </w:rPr>
      </w:pPr>
      <w:r w:rsidRPr="00061871">
        <w:rPr>
          <w:i/>
          <w:lang w:val="en-US"/>
        </w:rPr>
        <w:t>The selection process for DEC A shall start by considering those events and combinations of events, which cannot be considered with a high degree of confidence to be extremely unlikely to occur and which may lead to severe fuel damage in the core or in the spent fuel storage. It shall cover:</w:t>
      </w:r>
    </w:p>
    <w:p w:rsidR="00061871" w:rsidRPr="00061871" w:rsidRDefault="00061871" w:rsidP="00E62976">
      <w:pPr>
        <w:numPr>
          <w:ilvl w:val="0"/>
          <w:numId w:val="52"/>
        </w:numPr>
        <w:rPr>
          <w:i/>
          <w:lang w:val="en-GB"/>
        </w:rPr>
      </w:pPr>
      <w:r w:rsidRPr="00061871">
        <w:rPr>
          <w:i/>
          <w:lang w:val="en-GB"/>
        </w:rPr>
        <w:t>Events occurring during the defined operational states of the plant;</w:t>
      </w:r>
    </w:p>
    <w:p w:rsidR="00061871" w:rsidRPr="00061871" w:rsidRDefault="00061871" w:rsidP="00E62976">
      <w:pPr>
        <w:numPr>
          <w:ilvl w:val="0"/>
          <w:numId w:val="52"/>
        </w:numPr>
        <w:rPr>
          <w:i/>
          <w:lang w:val="en-GB"/>
        </w:rPr>
      </w:pPr>
      <w:r w:rsidRPr="00061871">
        <w:rPr>
          <w:i/>
          <w:lang w:val="en-GB"/>
        </w:rPr>
        <w:t>Events resulting from internal or external hazards;</w:t>
      </w:r>
    </w:p>
    <w:p w:rsidR="00061871" w:rsidRPr="00061871" w:rsidRDefault="00061871" w:rsidP="00E62976">
      <w:pPr>
        <w:numPr>
          <w:ilvl w:val="0"/>
          <w:numId w:val="52"/>
        </w:numPr>
        <w:rPr>
          <w:i/>
          <w:lang w:val="en-GB"/>
        </w:rPr>
      </w:pPr>
      <w:r w:rsidRPr="00061871">
        <w:rPr>
          <w:i/>
          <w:lang w:val="en-GB"/>
        </w:rPr>
        <w:t>Common cause failures.</w:t>
      </w:r>
    </w:p>
    <w:p w:rsidR="00061871" w:rsidRPr="00061871" w:rsidRDefault="00061871" w:rsidP="00061871">
      <w:pPr>
        <w:rPr>
          <w:i/>
          <w:lang w:val="en-US"/>
        </w:rPr>
      </w:pPr>
      <w:r w:rsidRPr="00061871">
        <w:rPr>
          <w:i/>
          <w:lang w:val="en-US"/>
        </w:rPr>
        <w:t>Where applicable, all reactors and spent fuel storages on the site have to be taken into account. Events potentially affecting all units on the site, potential interactions between units as well as interactions with other sites in the vicinity shall be covered.</w:t>
      </w:r>
    </w:p>
    <w:p w:rsidR="00061871" w:rsidRPr="00061871" w:rsidRDefault="00061871" w:rsidP="00061871">
      <w:pPr>
        <w:rPr>
          <w:i/>
          <w:lang w:val="en-US"/>
        </w:rPr>
      </w:pPr>
      <w:r w:rsidRPr="00061871">
        <w:rPr>
          <w:i/>
          <w:lang w:val="en-US"/>
        </w:rPr>
        <w:t>The DEC analysis shall reflect insights from PSA level 1 and 2.</w:t>
      </w:r>
    </w:p>
    <w:p w:rsidR="00061871" w:rsidRPr="00061871" w:rsidRDefault="00061871" w:rsidP="00061871">
      <w:pPr>
        <w:rPr>
          <w:i/>
          <w:lang w:val="en-US"/>
        </w:rPr>
      </w:pPr>
      <w:r w:rsidRPr="00061871">
        <w:rPr>
          <w:i/>
          <w:lang w:val="en-GB"/>
        </w:rPr>
        <w:t>The design extension conditions shall regularly, and when relevant as a result of operating experience and significant new safety information, be reviewed, using both a deterministic and a probabilistic approach as well as engineering judgement to determine whether the selection of design extension conditions is still appropriate.</w:t>
      </w:r>
    </w:p>
    <w:p w:rsidR="00061871" w:rsidRPr="00061871" w:rsidRDefault="00061871" w:rsidP="00061871">
      <w:pPr>
        <w:rPr>
          <w:i/>
          <w:u w:val="single"/>
          <w:lang w:val="en-US"/>
        </w:rPr>
      </w:pPr>
    </w:p>
    <w:p w:rsidR="00061871" w:rsidRPr="00061871" w:rsidRDefault="00061871" w:rsidP="00061871">
      <w:pPr>
        <w:rPr>
          <w:i/>
          <w:u w:val="single"/>
          <w:lang w:val="en-GB"/>
        </w:rPr>
      </w:pPr>
      <w:r w:rsidRPr="00061871">
        <w:rPr>
          <w:i/>
          <w:u w:val="single"/>
          <w:lang w:val="en-GB"/>
        </w:rPr>
        <w:t>Issue O: Probabilistic Safety Analysis (PSA)</w:t>
      </w:r>
    </w:p>
    <w:p w:rsidR="00061871" w:rsidRPr="00061871" w:rsidRDefault="00061871" w:rsidP="00061871">
      <w:pPr>
        <w:rPr>
          <w:i/>
          <w:lang w:val="en-GB"/>
        </w:rPr>
      </w:pPr>
      <w:r w:rsidRPr="00061871">
        <w:rPr>
          <w:i/>
          <w:lang w:val="en-GB"/>
        </w:rPr>
        <w:t>For each plant design, a specific PSA shall be developed for level 1 and level 2, considering all relevant operational states, covering fuel in the core and in the spent fuel storage and all relevant internal and external initiating events. External hazards shall be included in the PSA for level 1 and level 2 as far as practicable, taking into account the current state of science and technology. If not practicable, other justified methodologies shall be used to evaluate the contribution of external hazards to the overall risk profile of the plant.</w:t>
      </w:r>
    </w:p>
    <w:p w:rsidR="00061871" w:rsidRPr="00061871" w:rsidRDefault="00061871" w:rsidP="00E62976">
      <w:pPr>
        <w:numPr>
          <w:ilvl w:val="0"/>
          <w:numId w:val="52"/>
        </w:numPr>
        <w:rPr>
          <w:i/>
          <w:lang w:val="en-GB"/>
        </w:rPr>
      </w:pPr>
      <w:r w:rsidRPr="00061871">
        <w:rPr>
          <w:i/>
          <w:lang w:val="en-GB"/>
        </w:rPr>
        <w:t>PSA shall be used to support safety management. The role of PSA in the decision making process shall be defined.</w:t>
      </w:r>
    </w:p>
    <w:p w:rsidR="00061871" w:rsidRPr="00061871" w:rsidRDefault="00061871" w:rsidP="00E62976">
      <w:pPr>
        <w:numPr>
          <w:ilvl w:val="0"/>
          <w:numId w:val="52"/>
        </w:numPr>
        <w:rPr>
          <w:i/>
          <w:lang w:val="en-GB"/>
        </w:rPr>
      </w:pPr>
      <w:r w:rsidRPr="00061871">
        <w:rPr>
          <w:i/>
          <w:lang w:val="en-GB"/>
        </w:rPr>
        <w:t>PSA shall be used to identify the need for modifications to the plant and its procedures, including for severe accident management measures, in order to reduce the risk from the plant.</w:t>
      </w:r>
    </w:p>
    <w:p w:rsidR="00061871" w:rsidRPr="00061871" w:rsidRDefault="00061871" w:rsidP="00E62976">
      <w:pPr>
        <w:numPr>
          <w:ilvl w:val="0"/>
          <w:numId w:val="52"/>
        </w:numPr>
        <w:rPr>
          <w:i/>
          <w:lang w:val="en-GB"/>
        </w:rPr>
      </w:pPr>
      <w:r w:rsidRPr="00061871">
        <w:rPr>
          <w:i/>
          <w:lang w:val="en-GB"/>
        </w:rPr>
        <w:t>PSA shall be used to assess the overall risk from the plant, to demonstrate that a balanced design has been achieved, and to provide confidence that there are no "cliff-edge effects".</w:t>
      </w:r>
    </w:p>
    <w:p w:rsidR="00061871" w:rsidRPr="00061871" w:rsidRDefault="00061871" w:rsidP="00E62976">
      <w:pPr>
        <w:numPr>
          <w:ilvl w:val="0"/>
          <w:numId w:val="52"/>
        </w:numPr>
        <w:rPr>
          <w:i/>
          <w:lang w:val="en-GB"/>
        </w:rPr>
      </w:pPr>
      <w:r w:rsidRPr="00061871">
        <w:rPr>
          <w:i/>
          <w:lang w:val="en-GB"/>
        </w:rPr>
        <w:t>PSA shall be used to assess the adequacy of plant modifications, changes to operational limits and conditions and procedures and to assess the significance of operational occurrences.</w:t>
      </w:r>
    </w:p>
    <w:p w:rsidR="00061871" w:rsidRPr="00061871" w:rsidRDefault="00061871" w:rsidP="00E62976">
      <w:pPr>
        <w:numPr>
          <w:ilvl w:val="0"/>
          <w:numId w:val="52"/>
        </w:numPr>
        <w:rPr>
          <w:i/>
          <w:lang w:val="en-GB"/>
        </w:rPr>
      </w:pPr>
      <w:r w:rsidRPr="00061871">
        <w:rPr>
          <w:i/>
          <w:lang w:val="en-GB"/>
        </w:rPr>
        <w:t>Insights from PSA shall be used as input to development and validation of the safety significant training programmes of the licensee, including simulator training of control room operators.</w:t>
      </w:r>
    </w:p>
    <w:p w:rsidR="00061871" w:rsidRPr="00061871" w:rsidRDefault="00061871" w:rsidP="00E62976">
      <w:pPr>
        <w:numPr>
          <w:ilvl w:val="0"/>
          <w:numId w:val="52"/>
        </w:numPr>
        <w:rPr>
          <w:i/>
          <w:lang w:val="en-GB"/>
        </w:rPr>
      </w:pPr>
      <w:r w:rsidRPr="00061871">
        <w:rPr>
          <w:i/>
          <w:lang w:val="en-GB"/>
        </w:rPr>
        <w:t>The results of PSA shall be used to ensure that the items are included in the verification and test programmes if they contribute significantly to risk.</w:t>
      </w:r>
    </w:p>
    <w:p w:rsidR="00061871" w:rsidRPr="00061871" w:rsidRDefault="00061871" w:rsidP="00061871">
      <w:pPr>
        <w:rPr>
          <w:i/>
          <w:lang w:val="en-GB"/>
        </w:rPr>
      </w:pPr>
    </w:p>
    <w:p w:rsidR="00061871" w:rsidRPr="00061871" w:rsidRDefault="00061871" w:rsidP="00061871">
      <w:pPr>
        <w:rPr>
          <w:i/>
          <w:u w:val="single"/>
          <w:lang w:val="en-GB"/>
        </w:rPr>
      </w:pPr>
      <w:r w:rsidRPr="00061871">
        <w:rPr>
          <w:i/>
          <w:u w:val="single"/>
          <w:lang w:val="en-GB"/>
        </w:rPr>
        <w:t>Issue S: Protection against Internal Fires</w:t>
      </w:r>
    </w:p>
    <w:p w:rsidR="00061871" w:rsidRPr="00061871" w:rsidRDefault="00061871" w:rsidP="00061871">
      <w:pPr>
        <w:rPr>
          <w:i/>
          <w:lang w:val="en-GB"/>
        </w:rPr>
      </w:pPr>
      <w:r w:rsidRPr="00061871">
        <w:rPr>
          <w:i/>
          <w:lang w:val="en-GB"/>
        </w:rPr>
        <w:t>The fire hazard analysis shall be complemented by probabilistic fire analysis. In PSA level 1, the fires shall be assessed in order to evaluate the fire protection arrangements and to identify risks caused by fires.</w:t>
      </w:r>
    </w:p>
    <w:p w:rsidR="00061871" w:rsidRPr="00061871" w:rsidRDefault="00061871" w:rsidP="00061871">
      <w:pPr>
        <w:rPr>
          <w:lang w:val="en-GB"/>
        </w:rPr>
      </w:pPr>
    </w:p>
    <w:p w:rsidR="00061871" w:rsidRPr="00061871" w:rsidRDefault="00061871" w:rsidP="00061871">
      <w:pPr>
        <w:rPr>
          <w:i/>
          <w:u w:val="single"/>
          <w:lang w:val="en-GB"/>
        </w:rPr>
      </w:pPr>
      <w:r w:rsidRPr="00061871">
        <w:rPr>
          <w:i/>
          <w:u w:val="single"/>
          <w:lang w:val="en-GB"/>
        </w:rPr>
        <w:t>Issue T: Natural Hazards</w:t>
      </w:r>
    </w:p>
    <w:p w:rsidR="00061871" w:rsidRPr="00061871" w:rsidRDefault="00061871" w:rsidP="00061871">
      <w:pPr>
        <w:rPr>
          <w:i/>
          <w:lang w:val="en-GB"/>
        </w:rPr>
      </w:pPr>
      <w:r w:rsidRPr="00061871">
        <w:rPr>
          <w:i/>
          <w:lang w:val="en-GB"/>
        </w:rPr>
        <w:t xml:space="preserve">Natural hazards shall be considered an integral part of the safety demonstration of the plant (including spent fuel storage). Threats from natural hazards shall be removed or minimised as far as reasonably practicable for all operational plant states. The safety demonstration in relation to natural hazards shall include assessments of the design basis and design extension conditions with the aim to identify needs and opportunities for improvement. </w:t>
      </w:r>
    </w:p>
    <w:p w:rsidR="00061871" w:rsidRPr="00061871" w:rsidRDefault="00061871" w:rsidP="00061871">
      <w:pPr>
        <w:rPr>
          <w:i/>
          <w:lang w:val="en-US"/>
        </w:rPr>
      </w:pPr>
      <w:r w:rsidRPr="00061871">
        <w:rPr>
          <w:i/>
          <w:lang w:val="en-US"/>
        </w:rPr>
        <w:t>All natural hazards that might affect the site shall be identified, including any related hazards (e.g. earthquake and tsunami). Justification shall be provided that the compiled list of natural hazards is complete and relevant to the site.</w:t>
      </w:r>
    </w:p>
    <w:p w:rsidR="00061871" w:rsidRPr="00061871" w:rsidRDefault="00061871" w:rsidP="00061871">
      <w:pPr>
        <w:rPr>
          <w:i/>
          <w:lang w:val="en-US"/>
        </w:rPr>
      </w:pPr>
      <w:r w:rsidRPr="00061871">
        <w:rPr>
          <w:i/>
          <w:lang w:val="en-US"/>
        </w:rPr>
        <w:t>Natural hazards shall include:</w:t>
      </w:r>
    </w:p>
    <w:p w:rsidR="00061871" w:rsidRPr="00061871" w:rsidRDefault="00061871" w:rsidP="00E62976">
      <w:pPr>
        <w:numPr>
          <w:ilvl w:val="0"/>
          <w:numId w:val="53"/>
        </w:numPr>
        <w:rPr>
          <w:i/>
          <w:lang w:val="en-US"/>
        </w:rPr>
      </w:pPr>
      <w:r w:rsidRPr="00061871">
        <w:rPr>
          <w:i/>
          <w:lang w:val="en-US"/>
        </w:rPr>
        <w:t>Geological hazards;</w:t>
      </w:r>
    </w:p>
    <w:p w:rsidR="00061871" w:rsidRPr="00061871" w:rsidRDefault="00061871" w:rsidP="00E62976">
      <w:pPr>
        <w:numPr>
          <w:ilvl w:val="0"/>
          <w:numId w:val="53"/>
        </w:numPr>
        <w:rPr>
          <w:i/>
          <w:lang w:val="en-US"/>
        </w:rPr>
      </w:pPr>
      <w:r w:rsidRPr="00061871">
        <w:rPr>
          <w:i/>
          <w:lang w:val="en-US"/>
        </w:rPr>
        <w:t>Seismotectonic hazards;</w:t>
      </w:r>
    </w:p>
    <w:p w:rsidR="00061871" w:rsidRPr="00061871" w:rsidRDefault="00061871" w:rsidP="00E62976">
      <w:pPr>
        <w:numPr>
          <w:ilvl w:val="0"/>
          <w:numId w:val="53"/>
        </w:numPr>
        <w:rPr>
          <w:i/>
          <w:lang w:val="en-US"/>
        </w:rPr>
      </w:pPr>
      <w:r w:rsidRPr="00061871">
        <w:rPr>
          <w:i/>
          <w:lang w:val="en-US"/>
        </w:rPr>
        <w:t>Meteorological hazards;</w:t>
      </w:r>
    </w:p>
    <w:p w:rsidR="00061871" w:rsidRPr="00061871" w:rsidRDefault="00061871" w:rsidP="00E62976">
      <w:pPr>
        <w:numPr>
          <w:ilvl w:val="0"/>
          <w:numId w:val="53"/>
        </w:numPr>
        <w:rPr>
          <w:i/>
          <w:lang w:val="en-US"/>
        </w:rPr>
      </w:pPr>
      <w:r w:rsidRPr="00061871">
        <w:rPr>
          <w:i/>
          <w:lang w:val="en-US"/>
        </w:rPr>
        <w:t>Hydrological hazards;</w:t>
      </w:r>
    </w:p>
    <w:p w:rsidR="00061871" w:rsidRPr="00061871" w:rsidRDefault="00061871" w:rsidP="00E62976">
      <w:pPr>
        <w:numPr>
          <w:ilvl w:val="0"/>
          <w:numId w:val="53"/>
        </w:numPr>
        <w:rPr>
          <w:i/>
          <w:lang w:val="en-US"/>
        </w:rPr>
      </w:pPr>
      <w:r w:rsidRPr="00061871">
        <w:rPr>
          <w:i/>
          <w:lang w:val="en-US"/>
        </w:rPr>
        <w:t>Biological phenomena;</w:t>
      </w:r>
    </w:p>
    <w:p w:rsidR="00061871" w:rsidRPr="00061871" w:rsidRDefault="00061871" w:rsidP="00E62976">
      <w:pPr>
        <w:numPr>
          <w:ilvl w:val="0"/>
          <w:numId w:val="53"/>
        </w:numPr>
        <w:rPr>
          <w:i/>
          <w:lang w:val="en-US"/>
        </w:rPr>
      </w:pPr>
      <w:r w:rsidRPr="00061871">
        <w:rPr>
          <w:i/>
          <w:lang w:val="en-US"/>
        </w:rPr>
        <w:t>Forest fire.</w:t>
      </w:r>
    </w:p>
    <w:p w:rsidR="00061871" w:rsidRPr="00061871" w:rsidRDefault="00061871" w:rsidP="00061871">
      <w:pPr>
        <w:rPr>
          <w:lang w:val="en-GB"/>
        </w:rPr>
      </w:pPr>
    </w:p>
    <w:p w:rsidR="00061871" w:rsidRPr="00061871" w:rsidRDefault="00061871" w:rsidP="00061871">
      <w:pPr>
        <w:rPr>
          <w:i/>
          <w:lang w:val="en-GB"/>
        </w:rPr>
      </w:pPr>
      <w:r w:rsidRPr="00061871">
        <w:rPr>
          <w:i/>
          <w:lang w:val="en-GB"/>
        </w:rPr>
        <w:t>Natural hazards identified as potentially affecting the site can be screened out on the basis of being incapable of posing a physical threat or being extremely unlikely with a high degree of confidence. Care shall be taken not to exclude hazards which in combination with other hazards have the potential to pose a threat to the facility. The screening process shall be based on conservative assumptions. The arguments in support of the screening process shall be justified.</w:t>
      </w:r>
    </w:p>
    <w:p w:rsidR="00061871" w:rsidRPr="00061871" w:rsidRDefault="00061871" w:rsidP="00061871">
      <w:pPr>
        <w:rPr>
          <w:i/>
          <w:lang w:val="en-GB"/>
        </w:rPr>
      </w:pPr>
      <w:r w:rsidRPr="00061871">
        <w:rPr>
          <w:i/>
          <w:lang w:val="en-GB"/>
        </w:rPr>
        <w:t>The exceedance frequencies of design basis events shall be low enough to ensure a high degree of protection with respect to natural hazards. A common target value of frequency, not higher than 10</w:t>
      </w:r>
      <w:r w:rsidRPr="00061871">
        <w:rPr>
          <w:i/>
          <w:vertAlign w:val="superscript"/>
          <w:lang w:val="en-GB"/>
        </w:rPr>
        <w:t>-4</w:t>
      </w:r>
      <w:r w:rsidRPr="00061871">
        <w:rPr>
          <w:i/>
          <w:lang w:val="en-GB"/>
        </w:rPr>
        <w:t xml:space="preserve"> per annum, shall be used for each design basis event. Where it is not possible to calculate these probabilities with an acceptable degree of certainty, an event shall be chosen and justified to reach an equivalent level of safety. For the specific case of seismic loading, as a minimum, a horizontal peak ground acceleration value of 0.1g (where ‘g’ is the acceleration due to gravity) shall be applied, even if its exceedance frequency would be below the common target value. </w:t>
      </w:r>
    </w:p>
    <w:p w:rsidR="00061871" w:rsidRPr="00061871" w:rsidRDefault="00061871" w:rsidP="00061871">
      <w:pPr>
        <w:rPr>
          <w:i/>
          <w:lang w:val="en-GB"/>
        </w:rPr>
      </w:pPr>
      <w:r w:rsidRPr="00061871">
        <w:rPr>
          <w:i/>
          <w:lang w:val="en-GB"/>
        </w:rPr>
        <w:t xml:space="preserve">Events that are more severe than the design basis events shall be identified as part of DEC analysis. Their selection shall be justified. Further detailed analysis of an event will not be necessary, if it is shown that its occurrence can be considered with a high degree of confidence to be extremely unlikely. </w:t>
      </w:r>
      <w:r w:rsidR="00ED4B5B" w:rsidRPr="00ED4B5B">
        <w:rPr>
          <w:lang w:val="en-GB"/>
        </w:rPr>
        <w:fldChar w:fldCharType="begin"/>
      </w:r>
      <w:r w:rsidR="00ED4B5B" w:rsidRPr="00ED4B5B">
        <w:rPr>
          <w:lang w:val="en-GB"/>
        </w:rPr>
        <w:instrText xml:space="preserve"> REF _Ref384812549 \r \h </w:instrText>
      </w:r>
      <w:r w:rsidR="00ED4B5B">
        <w:rPr>
          <w:lang w:val="en-GB"/>
        </w:rPr>
        <w:instrText xml:space="preserve"> \* MERGEFORMAT </w:instrText>
      </w:r>
      <w:r w:rsidR="00ED4B5B" w:rsidRPr="00ED4B5B">
        <w:rPr>
          <w:lang w:val="en-GB"/>
        </w:rPr>
      </w:r>
      <w:r w:rsidR="00ED4B5B" w:rsidRPr="00ED4B5B">
        <w:rPr>
          <w:lang w:val="en-GB"/>
        </w:rPr>
        <w:fldChar w:fldCharType="separate"/>
      </w:r>
      <w:r w:rsidR="00E62976">
        <w:rPr>
          <w:lang w:val="en-GB"/>
        </w:rPr>
        <w:t>[11]</w:t>
      </w:r>
      <w:r w:rsidR="00ED4B5B" w:rsidRPr="00ED4B5B">
        <w:rPr>
          <w:lang w:val="en-GB"/>
        </w:rPr>
        <w:fldChar w:fldCharType="end"/>
      </w:r>
    </w:p>
    <w:p w:rsidR="00061871" w:rsidRPr="001B7918" w:rsidRDefault="00061871" w:rsidP="00FE10EC">
      <w:pPr>
        <w:rPr>
          <w:lang w:val="en-US"/>
        </w:rPr>
      </w:pPr>
    </w:p>
    <w:p w:rsidR="00FE10EC" w:rsidRPr="00E20701" w:rsidRDefault="00FE10EC" w:rsidP="00FE10EC">
      <w:pPr>
        <w:pStyle w:val="Titre3"/>
        <w:rPr>
          <w:lang w:val="en-GB"/>
        </w:rPr>
      </w:pPr>
      <w:bookmarkStart w:id="394" w:name="_Toc473303549"/>
      <w:r w:rsidRPr="00E20701">
        <w:rPr>
          <w:lang w:val="en-GB"/>
        </w:rPr>
        <w:t>Organisation for Economic Co-operation and Development/ Nuclear Energy Agency (OECD/NEA)</w:t>
      </w:r>
      <w:bookmarkEnd w:id="394"/>
    </w:p>
    <w:p w:rsidR="009B35B6" w:rsidRPr="009803F6" w:rsidRDefault="0071318D" w:rsidP="0071318D">
      <w:pPr>
        <w:rPr>
          <w:lang w:val="en-US"/>
        </w:rPr>
      </w:pPr>
      <w:r w:rsidRPr="009803F6">
        <w:rPr>
          <w:lang w:val="en-US"/>
        </w:rPr>
        <w:t>OECD/NEA working groups have not developed specific guidance</w:t>
      </w:r>
      <w:r w:rsidR="00F61B0B">
        <w:rPr>
          <w:lang w:val="en-US"/>
        </w:rPr>
        <w:t xml:space="preserve"> report</w:t>
      </w:r>
      <w:r w:rsidRPr="009803F6">
        <w:rPr>
          <w:lang w:val="en-US"/>
        </w:rPr>
        <w:t xml:space="preserve"> on screening criteria but they recognize the importance of this topic. For example, during the 2014 workshop on external events </w:t>
      </w:r>
      <w:r w:rsidR="00F61B0B" w:rsidRPr="00A0755F">
        <w:rPr>
          <w:lang w:val="en-US"/>
        </w:rPr>
        <w:fldChar w:fldCharType="begin"/>
      </w:r>
      <w:r w:rsidR="00F61B0B" w:rsidRPr="00A0755F">
        <w:rPr>
          <w:lang w:val="en-US"/>
        </w:rPr>
        <w:instrText xml:space="preserve"> REF _Ref450205827 \r \h  \* MERGEFORMAT </w:instrText>
      </w:r>
      <w:r w:rsidR="00F61B0B" w:rsidRPr="00A0755F">
        <w:rPr>
          <w:lang w:val="en-US"/>
        </w:rPr>
      </w:r>
      <w:r w:rsidR="00F61B0B" w:rsidRPr="00A0755F">
        <w:rPr>
          <w:lang w:val="en-US"/>
        </w:rPr>
        <w:fldChar w:fldCharType="separate"/>
      </w:r>
      <w:r w:rsidR="00E62976">
        <w:rPr>
          <w:lang w:val="en-US"/>
        </w:rPr>
        <w:t>[58]</w:t>
      </w:r>
      <w:r w:rsidR="00F61B0B" w:rsidRPr="00A0755F">
        <w:rPr>
          <w:lang w:val="en-US"/>
        </w:rPr>
        <w:fldChar w:fldCharType="end"/>
      </w:r>
      <w:r w:rsidR="00F61B0B" w:rsidRPr="009803F6">
        <w:rPr>
          <w:lang w:val="en-US"/>
        </w:rPr>
        <w:t xml:space="preserve">, </w:t>
      </w:r>
      <w:r w:rsidRPr="009803F6">
        <w:rPr>
          <w:lang w:val="en-US"/>
        </w:rPr>
        <w:t xml:space="preserve">it was concluded </w:t>
      </w:r>
      <w:r w:rsidR="00F61B0B">
        <w:rPr>
          <w:lang w:val="en-US"/>
        </w:rPr>
        <w:t>the following.</w:t>
      </w:r>
    </w:p>
    <w:p w:rsidR="009B35B6" w:rsidRPr="009803F6" w:rsidRDefault="009B35B6" w:rsidP="0071318D">
      <w:pPr>
        <w:rPr>
          <w:i/>
          <w:lang w:val="en-US"/>
        </w:rPr>
      </w:pPr>
      <w:r w:rsidRPr="009803F6">
        <w:rPr>
          <w:i/>
          <w:lang w:val="en-US"/>
        </w:rPr>
        <w:t>“Some methods and guides are available for seismic hazard determination, identification of external hazards, screening of external events for detailed consequence analysis, including several lists of screening criteria. However, additional development is also needed in area of consensus standards and guides; for example IAEA continues developing the methodological support for external hazards analysis.”</w:t>
      </w:r>
    </w:p>
    <w:p w:rsidR="009B35B6" w:rsidRPr="009803F6" w:rsidRDefault="009B35B6" w:rsidP="003A5817">
      <w:pPr>
        <w:spacing w:after="240"/>
        <w:ind w:right="397"/>
        <w:rPr>
          <w:i/>
          <w:lang w:val="en-US"/>
        </w:rPr>
      </w:pPr>
      <w:r w:rsidRPr="009803F6">
        <w:rPr>
          <w:i/>
          <w:lang w:val="en-US"/>
        </w:rPr>
        <w:t>“Screening methods play a large role in external events PSA. Systematic approaches that search for and then screen, as appropriate, potentially important combinations of external hazards are needed.”</w:t>
      </w:r>
    </w:p>
    <w:p w:rsidR="000E7B93" w:rsidRPr="00E20701" w:rsidRDefault="000E7B93" w:rsidP="000E7B93">
      <w:pPr>
        <w:pStyle w:val="Titre3"/>
        <w:rPr>
          <w:lang w:val="en-GB"/>
        </w:rPr>
      </w:pPr>
      <w:bookmarkStart w:id="395" w:name="_Toc450206640"/>
      <w:bookmarkStart w:id="396" w:name="_Toc450207674"/>
      <w:bookmarkStart w:id="397" w:name="_Ref423507037"/>
      <w:bookmarkStart w:id="398" w:name="_Toc473303550"/>
      <w:bookmarkEnd w:id="395"/>
      <w:bookmarkEnd w:id="396"/>
      <w:r w:rsidRPr="00E20701">
        <w:rPr>
          <w:lang w:val="en-GB"/>
        </w:rPr>
        <w:t>ASME/ANS</w:t>
      </w:r>
      <w:bookmarkEnd w:id="397"/>
      <w:bookmarkEnd w:id="398"/>
    </w:p>
    <w:p w:rsidR="005C4E11" w:rsidRPr="00E20701" w:rsidRDefault="005C4E11" w:rsidP="005C4E11">
      <w:pPr>
        <w:rPr>
          <w:lang w:val="en-GB"/>
        </w:rPr>
      </w:pPr>
      <w:r w:rsidRPr="00E20701">
        <w:rPr>
          <w:lang w:val="en-GB"/>
        </w:rPr>
        <w:t xml:space="preserve">The </w:t>
      </w:r>
      <w:r w:rsidR="00E33DE5" w:rsidRPr="00E20701">
        <w:rPr>
          <w:lang w:val="en-GB"/>
        </w:rPr>
        <w:t>standard ASME/ANS RA-</w:t>
      </w:r>
      <w:r w:rsidRPr="00E20701">
        <w:rPr>
          <w:lang w:val="en-GB"/>
        </w:rPr>
        <w:t xml:space="preserve">S </w:t>
      </w:r>
      <w:r w:rsidR="00A0755F">
        <w:rPr>
          <w:lang w:val="en-GB"/>
        </w:rPr>
        <w:fldChar w:fldCharType="begin"/>
      </w:r>
      <w:r w:rsidR="00A0755F">
        <w:rPr>
          <w:lang w:val="en-GB"/>
        </w:rPr>
        <w:instrText xml:space="preserve"> REF _Ref408832490 \w \h </w:instrText>
      </w:r>
      <w:r w:rsidR="00A0755F">
        <w:rPr>
          <w:lang w:val="en-GB"/>
        </w:rPr>
      </w:r>
      <w:r w:rsidR="00A0755F">
        <w:rPr>
          <w:lang w:val="en-GB"/>
        </w:rPr>
        <w:fldChar w:fldCharType="separate"/>
      </w:r>
      <w:r w:rsidR="00E62976">
        <w:rPr>
          <w:lang w:val="en-GB"/>
        </w:rPr>
        <w:t>[54]</w:t>
      </w:r>
      <w:r w:rsidR="00A0755F">
        <w:rPr>
          <w:lang w:val="en-GB"/>
        </w:rPr>
        <w:fldChar w:fldCharType="end"/>
      </w:r>
      <w:r w:rsidR="00E33DE5" w:rsidRPr="00E20701">
        <w:rPr>
          <w:lang w:val="en-GB"/>
        </w:rPr>
        <w:t xml:space="preserve">, </w:t>
      </w:r>
      <w:r w:rsidR="00A0755F">
        <w:rPr>
          <w:lang w:val="en-GB"/>
        </w:rPr>
        <w:fldChar w:fldCharType="begin"/>
      </w:r>
      <w:r w:rsidR="00A0755F">
        <w:rPr>
          <w:lang w:val="en-GB"/>
        </w:rPr>
        <w:instrText xml:space="preserve"> REF _Ref408832492 \w \h </w:instrText>
      </w:r>
      <w:r w:rsidR="00A0755F">
        <w:rPr>
          <w:lang w:val="en-GB"/>
        </w:rPr>
      </w:r>
      <w:r w:rsidR="00A0755F">
        <w:rPr>
          <w:lang w:val="en-GB"/>
        </w:rPr>
        <w:fldChar w:fldCharType="separate"/>
      </w:r>
      <w:r w:rsidR="00E62976">
        <w:rPr>
          <w:lang w:val="en-GB"/>
        </w:rPr>
        <w:t>[56]</w:t>
      </w:r>
      <w:r w:rsidR="00A0755F">
        <w:rPr>
          <w:lang w:val="en-GB"/>
        </w:rPr>
        <w:fldChar w:fldCharType="end"/>
      </w:r>
      <w:r w:rsidRPr="00E20701">
        <w:rPr>
          <w:lang w:val="en-GB"/>
        </w:rPr>
        <w:t xml:space="preserve"> has two screening criteria: one for the internal initiating events at power an</w:t>
      </w:r>
      <w:r w:rsidR="00E33DE5" w:rsidRPr="00E20701">
        <w:rPr>
          <w:lang w:val="en-GB"/>
        </w:rPr>
        <w:t xml:space="preserve">d one </w:t>
      </w:r>
      <w:r w:rsidR="00A0755F">
        <w:rPr>
          <w:lang w:val="en-GB"/>
        </w:rPr>
        <w:t xml:space="preserve">for </w:t>
      </w:r>
      <w:r w:rsidR="00E33DE5" w:rsidRPr="00E20701">
        <w:rPr>
          <w:lang w:val="en-GB"/>
        </w:rPr>
        <w:t>external events at power.</w:t>
      </w:r>
      <w:r w:rsidRPr="00E20701">
        <w:rPr>
          <w:lang w:val="en-GB"/>
        </w:rPr>
        <w:t xml:space="preserve"> The standard includes the following screening criteria for initiating events and groups to eliminate internal initiating events at power or groups from further evaluation</w:t>
      </w:r>
      <w:r w:rsidR="00341A43" w:rsidRPr="00E20701">
        <w:rPr>
          <w:lang w:val="en-GB"/>
        </w:rPr>
        <w:t xml:space="preserve"> </w:t>
      </w:r>
      <w:r w:rsidR="00A0755F">
        <w:rPr>
          <w:lang w:val="en-GB"/>
        </w:rPr>
        <w:fldChar w:fldCharType="begin"/>
      </w:r>
      <w:r w:rsidR="00A0755F">
        <w:rPr>
          <w:lang w:val="en-GB"/>
        </w:rPr>
        <w:instrText xml:space="preserve"> REF _Ref408832490 \w \h </w:instrText>
      </w:r>
      <w:r w:rsidR="00A0755F">
        <w:rPr>
          <w:lang w:val="en-GB"/>
        </w:rPr>
      </w:r>
      <w:r w:rsidR="00A0755F">
        <w:rPr>
          <w:lang w:val="en-GB"/>
        </w:rPr>
        <w:fldChar w:fldCharType="separate"/>
      </w:r>
      <w:r w:rsidR="00E62976">
        <w:rPr>
          <w:lang w:val="en-GB"/>
        </w:rPr>
        <w:t>[54]</w:t>
      </w:r>
      <w:r w:rsidR="00A0755F">
        <w:rPr>
          <w:lang w:val="en-GB"/>
        </w:rPr>
        <w:fldChar w:fldCharType="end"/>
      </w:r>
      <w:r w:rsidRPr="00E20701">
        <w:rPr>
          <w:lang w:val="en-GB"/>
        </w:rPr>
        <w:t>:</w:t>
      </w:r>
    </w:p>
    <w:p w:rsidR="005C4E11" w:rsidRPr="0027152C" w:rsidRDefault="005C4E11" w:rsidP="00E33DE5">
      <w:pPr>
        <w:ind w:left="284" w:hanging="284"/>
        <w:rPr>
          <w:lang w:val="en-GB"/>
        </w:rPr>
      </w:pPr>
      <w:r w:rsidRPr="00E20701">
        <w:rPr>
          <w:lang w:val="en-GB"/>
        </w:rPr>
        <w:t xml:space="preserve">(a) the frequency of the event is </w:t>
      </w:r>
      <w:r w:rsidRPr="0027152C">
        <w:rPr>
          <w:lang w:val="en-GB"/>
        </w:rPr>
        <w:t>less than 1E-7/</w:t>
      </w:r>
      <w:r w:rsidR="0027152C" w:rsidRPr="0027152C">
        <w:rPr>
          <w:lang w:val="en-GB"/>
        </w:rPr>
        <w:t>a</w:t>
      </w:r>
      <w:r w:rsidRPr="0027152C">
        <w:rPr>
          <w:lang w:val="en-GB"/>
        </w:rPr>
        <w:t>, and the event does not involve either an ISLOCA, containment bypass, or reactor pressure vessel rupture</w:t>
      </w:r>
      <w:r w:rsidR="008E05BD" w:rsidRPr="0027152C">
        <w:rPr>
          <w:lang w:val="en-GB"/>
        </w:rPr>
        <w:t>;</w:t>
      </w:r>
    </w:p>
    <w:p w:rsidR="005C4E11" w:rsidRPr="0027152C" w:rsidRDefault="005C4E11" w:rsidP="00E33DE5">
      <w:pPr>
        <w:ind w:left="284" w:hanging="284"/>
        <w:rPr>
          <w:lang w:val="en-GB"/>
        </w:rPr>
      </w:pPr>
      <w:r w:rsidRPr="0027152C">
        <w:rPr>
          <w:lang w:val="en-GB"/>
        </w:rPr>
        <w:t xml:space="preserve">(b) the frequency of the event is less than </w:t>
      </w:r>
      <w:r w:rsidRPr="005F1EF2">
        <w:rPr>
          <w:lang w:val="en-GB"/>
        </w:rPr>
        <w:t>1E-6/</w:t>
      </w:r>
      <w:r w:rsidR="0027152C" w:rsidRPr="0027152C">
        <w:rPr>
          <w:lang w:val="en-GB"/>
        </w:rPr>
        <w:t>a</w:t>
      </w:r>
      <w:r w:rsidRPr="0027152C">
        <w:rPr>
          <w:lang w:val="en-GB"/>
        </w:rPr>
        <w:t>, and core damage could not occur unless at least two trains of mitigating systems are failed independent of the initiator, or</w:t>
      </w:r>
    </w:p>
    <w:p w:rsidR="005C4E11" w:rsidRPr="00E20701" w:rsidRDefault="005C4E11" w:rsidP="00E33DE5">
      <w:pPr>
        <w:ind w:left="284" w:hanging="284"/>
        <w:rPr>
          <w:lang w:val="en-GB"/>
        </w:rPr>
      </w:pPr>
      <w:r w:rsidRPr="0027152C">
        <w:rPr>
          <w:lang w:val="en-GB"/>
        </w:rPr>
        <w:t>(c) the resulting reactor shutdown is not an immediate occurrence. That</w:t>
      </w:r>
      <w:r w:rsidRPr="00E20701">
        <w:rPr>
          <w:lang w:val="en-GB"/>
        </w:rPr>
        <w:t xml:space="preserve"> is, the event does not require the plant to go to shutdown conditions until sufficient time has expired during which the initiating event conditions, with a high degree of certainty (based on supporting calculations), are detected and corrected before normal plant operation is curtailed (either administratively or automatically).</w:t>
      </w:r>
    </w:p>
    <w:p w:rsidR="005C4E11" w:rsidRPr="00E20701" w:rsidRDefault="005C4E11" w:rsidP="005C4E11">
      <w:pPr>
        <w:rPr>
          <w:lang w:val="en-GB"/>
        </w:rPr>
      </w:pPr>
      <w:r w:rsidRPr="00E20701">
        <w:rPr>
          <w:lang w:val="en-GB"/>
        </w:rPr>
        <w:t>In case of the application of the criterion (a) or (b) the confirmation of the adequacy of the used value is necessary.</w:t>
      </w:r>
    </w:p>
    <w:p w:rsidR="005C4E11" w:rsidRPr="00E20701" w:rsidRDefault="005C4E11" w:rsidP="005C4E11">
      <w:pPr>
        <w:rPr>
          <w:lang w:val="en-GB"/>
        </w:rPr>
      </w:pPr>
      <w:r w:rsidRPr="00E20701">
        <w:rPr>
          <w:lang w:val="en-GB"/>
        </w:rPr>
        <w:t>The scope of external events covered by the standard includes both natural external events (e.g., earthquakes high winds, and external flooding) and human-made external events (e.g., airplane crashes, explosions at nearby industrial facilities, and impacts from nearby transportation activities).</w:t>
      </w:r>
    </w:p>
    <w:p w:rsidR="005C4E11" w:rsidRPr="00E20701" w:rsidRDefault="00341A43" w:rsidP="005C4E11">
      <w:pPr>
        <w:rPr>
          <w:lang w:val="en-GB"/>
        </w:rPr>
      </w:pPr>
      <w:r w:rsidRPr="00E20701">
        <w:rPr>
          <w:lang w:val="en-GB"/>
        </w:rPr>
        <w:t>The ASME/ANS RA-</w:t>
      </w:r>
      <w:r w:rsidR="005C4E11" w:rsidRPr="00E20701">
        <w:rPr>
          <w:lang w:val="en-GB"/>
        </w:rPr>
        <w:t xml:space="preserve">S standard </w:t>
      </w:r>
      <w:r w:rsidR="008E05BD">
        <w:rPr>
          <w:lang w:val="en-GB"/>
        </w:rPr>
        <w:fldChar w:fldCharType="begin"/>
      </w:r>
      <w:r w:rsidR="008E05BD">
        <w:rPr>
          <w:lang w:val="en-GB"/>
        </w:rPr>
        <w:instrText xml:space="preserve"> REF _Ref408832490 \w \h </w:instrText>
      </w:r>
      <w:r w:rsidR="008E05BD">
        <w:rPr>
          <w:lang w:val="en-GB"/>
        </w:rPr>
      </w:r>
      <w:r w:rsidR="008E05BD">
        <w:rPr>
          <w:lang w:val="en-GB"/>
        </w:rPr>
        <w:fldChar w:fldCharType="separate"/>
      </w:r>
      <w:r w:rsidR="00E62976">
        <w:rPr>
          <w:lang w:val="en-GB"/>
        </w:rPr>
        <w:t>[54]</w:t>
      </w:r>
      <w:r w:rsidR="008E05BD">
        <w:rPr>
          <w:lang w:val="en-GB"/>
        </w:rPr>
        <w:fldChar w:fldCharType="end"/>
      </w:r>
      <w:r w:rsidRPr="00E20701">
        <w:rPr>
          <w:lang w:val="en-GB"/>
        </w:rPr>
        <w:t xml:space="preserve">, </w:t>
      </w:r>
      <w:r w:rsidR="008E05BD">
        <w:rPr>
          <w:lang w:val="en-GB"/>
        </w:rPr>
        <w:fldChar w:fldCharType="begin"/>
      </w:r>
      <w:r w:rsidR="008E05BD">
        <w:rPr>
          <w:lang w:val="en-GB"/>
        </w:rPr>
        <w:instrText xml:space="preserve"> REF _Ref408832492 \w \h </w:instrText>
      </w:r>
      <w:r w:rsidR="008E05BD">
        <w:rPr>
          <w:lang w:val="en-GB"/>
        </w:rPr>
      </w:r>
      <w:r w:rsidR="008E05BD">
        <w:rPr>
          <w:lang w:val="en-GB"/>
        </w:rPr>
        <w:fldChar w:fldCharType="separate"/>
      </w:r>
      <w:r w:rsidR="00E62976">
        <w:rPr>
          <w:lang w:val="en-GB"/>
        </w:rPr>
        <w:t>[56]</w:t>
      </w:r>
      <w:r w:rsidR="008E05BD">
        <w:rPr>
          <w:lang w:val="en-GB"/>
        </w:rPr>
        <w:fldChar w:fldCharType="end"/>
      </w:r>
      <w:r w:rsidR="005C4E11" w:rsidRPr="00E20701">
        <w:rPr>
          <w:lang w:val="en-GB"/>
        </w:rPr>
        <w:t xml:space="preserve"> requires that </w:t>
      </w:r>
      <w:r w:rsidRPr="00E20701">
        <w:rPr>
          <w:lang w:val="en-GB"/>
        </w:rPr>
        <w:t>all potential external events (</w:t>
      </w:r>
      <w:r w:rsidR="005C4E11" w:rsidRPr="00E20701">
        <w:rPr>
          <w:lang w:val="en-GB"/>
        </w:rPr>
        <w:t xml:space="preserve">both natural hazards and man-made events) that may affect the site shall be considered and shall be subjected to either screening, bounding </w:t>
      </w:r>
      <w:r w:rsidRPr="00E20701">
        <w:rPr>
          <w:lang w:val="en-GB"/>
        </w:rPr>
        <w:t>(</w:t>
      </w:r>
      <w:r w:rsidR="005C4E11" w:rsidRPr="00E20701">
        <w:rPr>
          <w:lang w:val="en-GB"/>
        </w:rPr>
        <w:t>demonstrably conservative</w:t>
      </w:r>
      <w:r w:rsidRPr="00E20701">
        <w:rPr>
          <w:lang w:val="en-GB"/>
        </w:rPr>
        <w:t>)</w:t>
      </w:r>
      <w:r w:rsidR="005C4E11" w:rsidRPr="00E20701">
        <w:rPr>
          <w:lang w:val="en-GB"/>
        </w:rPr>
        <w:t xml:space="preserve"> analysis, or detailed analysis. The list of external events that should be included as a minimum is provided in the standard. Requirement for supplementing of the list with the site-specific and plant-unique external events is given.</w:t>
      </w:r>
    </w:p>
    <w:p w:rsidR="005C4E11" w:rsidRPr="00E20701" w:rsidRDefault="005C4E11" w:rsidP="005C4E11">
      <w:pPr>
        <w:rPr>
          <w:lang w:val="en-GB"/>
        </w:rPr>
      </w:pPr>
      <w:r w:rsidRPr="00E20701">
        <w:rPr>
          <w:lang w:val="en-GB"/>
        </w:rPr>
        <w:t>The preliminary screening is qualitative and is performed using a set of screening criteria</w:t>
      </w:r>
      <w:r w:rsidR="00341A43" w:rsidRPr="00E20701">
        <w:rPr>
          <w:lang w:val="en-GB"/>
        </w:rPr>
        <w:t xml:space="preserve"> </w:t>
      </w:r>
      <w:r w:rsidR="008E05BD">
        <w:rPr>
          <w:lang w:val="en-GB"/>
        </w:rPr>
        <w:fldChar w:fldCharType="begin"/>
      </w:r>
      <w:r w:rsidR="008E05BD">
        <w:rPr>
          <w:lang w:val="en-GB"/>
        </w:rPr>
        <w:instrText xml:space="preserve"> REF _Ref408832490 \w \h </w:instrText>
      </w:r>
      <w:r w:rsidR="008E05BD">
        <w:rPr>
          <w:lang w:val="en-GB"/>
        </w:rPr>
      </w:r>
      <w:r w:rsidR="008E05BD">
        <w:rPr>
          <w:lang w:val="en-GB"/>
        </w:rPr>
        <w:fldChar w:fldCharType="separate"/>
      </w:r>
      <w:r w:rsidR="00E62976">
        <w:rPr>
          <w:lang w:val="en-GB"/>
        </w:rPr>
        <w:t>[54]</w:t>
      </w:r>
      <w:r w:rsidR="008E05BD">
        <w:rPr>
          <w:lang w:val="en-GB"/>
        </w:rPr>
        <w:fldChar w:fldCharType="end"/>
      </w:r>
      <w:r w:rsidR="00875488">
        <w:rPr>
          <w:lang w:val="en-GB"/>
        </w:rPr>
        <w:t>:</w:t>
      </w:r>
    </w:p>
    <w:p w:rsidR="005C4E11" w:rsidRPr="00E20701" w:rsidRDefault="005C4E11" w:rsidP="00341A43">
      <w:pPr>
        <w:ind w:left="1134" w:hanging="1134"/>
        <w:rPr>
          <w:lang w:val="en-GB"/>
        </w:rPr>
      </w:pPr>
      <w:r w:rsidRPr="00E20701">
        <w:rPr>
          <w:lang w:val="en-GB"/>
        </w:rPr>
        <w:t>Criterion 1: The event is of equal or lesser damage potential than the events for which the plant has been designed.</w:t>
      </w:r>
    </w:p>
    <w:p w:rsidR="005C4E11" w:rsidRPr="00E20701" w:rsidRDefault="005C4E11" w:rsidP="00341A43">
      <w:pPr>
        <w:ind w:left="1134" w:hanging="1134"/>
        <w:rPr>
          <w:lang w:val="en-GB"/>
        </w:rPr>
      </w:pPr>
      <w:r w:rsidRPr="00E20701">
        <w:rPr>
          <w:lang w:val="en-GB"/>
        </w:rPr>
        <w:t>Criterion 2: The event has a significantly lower mean frequency of occurrence than another event and the event could not result in worse consequences than the consequences from the other event.</w:t>
      </w:r>
    </w:p>
    <w:p w:rsidR="005C4E11" w:rsidRPr="00E20701" w:rsidRDefault="005C4E11" w:rsidP="00341A43">
      <w:pPr>
        <w:ind w:left="1134" w:hanging="1134"/>
        <w:rPr>
          <w:lang w:val="en-GB"/>
        </w:rPr>
      </w:pPr>
      <w:r w:rsidRPr="00E20701">
        <w:rPr>
          <w:lang w:val="en-GB"/>
        </w:rPr>
        <w:t>Criterion 3: The event cannot occur close enough to the plant to affect it.</w:t>
      </w:r>
    </w:p>
    <w:p w:rsidR="005C4E11" w:rsidRPr="00E20701" w:rsidRDefault="005C4E11" w:rsidP="00341A43">
      <w:pPr>
        <w:ind w:left="1134" w:hanging="1134"/>
        <w:rPr>
          <w:lang w:val="en-GB"/>
        </w:rPr>
      </w:pPr>
      <w:r w:rsidRPr="00E20701">
        <w:rPr>
          <w:lang w:val="en-GB"/>
        </w:rPr>
        <w:t>Criterion 4: The event is included in the definition of another event.</w:t>
      </w:r>
    </w:p>
    <w:p w:rsidR="005C4E11" w:rsidRPr="00E20701" w:rsidRDefault="005C4E11" w:rsidP="00341A43">
      <w:pPr>
        <w:ind w:left="1134" w:hanging="1134"/>
        <w:rPr>
          <w:lang w:val="en-GB"/>
        </w:rPr>
      </w:pPr>
      <w:r w:rsidRPr="00E20701">
        <w:rPr>
          <w:lang w:val="en-GB"/>
        </w:rPr>
        <w:t>Criterion 5: The event is slow in developing allowing sufficient time for adequate response.</w:t>
      </w:r>
    </w:p>
    <w:p w:rsidR="005C4E11" w:rsidRPr="00E20701" w:rsidRDefault="005C4E11" w:rsidP="005C4E11">
      <w:pPr>
        <w:rPr>
          <w:lang w:val="en-GB"/>
        </w:rPr>
      </w:pPr>
    </w:p>
    <w:p w:rsidR="005C4E11" w:rsidRPr="00E20701" w:rsidRDefault="005C4E11" w:rsidP="005C4E11">
      <w:pPr>
        <w:rPr>
          <w:lang w:val="en-GB"/>
        </w:rPr>
      </w:pPr>
      <w:r w:rsidRPr="00E20701">
        <w:rPr>
          <w:lang w:val="en-GB"/>
        </w:rPr>
        <w:t>A bounding (demonstrably conservative) analysis can be used for screening of event</w:t>
      </w:r>
      <w:r w:rsidR="00341A43" w:rsidRPr="00E20701">
        <w:rPr>
          <w:lang w:val="en-GB"/>
        </w:rPr>
        <w:t>s</w:t>
      </w:r>
      <w:r w:rsidRPr="00E20701">
        <w:rPr>
          <w:lang w:val="en-GB"/>
        </w:rPr>
        <w:t xml:space="preserve"> using three quantitative screening criteria. The conservatism of the analysis is demonstrated by accounting for all uncertainties, approximations, or simplifications that might invalidate the demonstration if not accounted for appropriately</w:t>
      </w:r>
      <w:r w:rsidR="00341A43" w:rsidRPr="00E20701">
        <w:rPr>
          <w:lang w:val="en-GB"/>
        </w:rPr>
        <w:t xml:space="preserve"> </w:t>
      </w:r>
      <w:r w:rsidR="00C945B2">
        <w:rPr>
          <w:lang w:val="en-GB"/>
        </w:rPr>
        <w:fldChar w:fldCharType="begin"/>
      </w:r>
      <w:r w:rsidR="00C945B2">
        <w:rPr>
          <w:lang w:val="en-GB"/>
        </w:rPr>
        <w:instrText xml:space="preserve"> REF _Ref408832490 \w \h </w:instrText>
      </w:r>
      <w:r w:rsidR="00C945B2">
        <w:rPr>
          <w:lang w:val="en-GB"/>
        </w:rPr>
      </w:r>
      <w:r w:rsidR="00C945B2">
        <w:rPr>
          <w:lang w:val="en-GB"/>
        </w:rPr>
        <w:fldChar w:fldCharType="separate"/>
      </w:r>
      <w:r w:rsidR="00E62976">
        <w:rPr>
          <w:lang w:val="en-GB"/>
        </w:rPr>
        <w:t>[54]</w:t>
      </w:r>
      <w:r w:rsidR="00C945B2">
        <w:rPr>
          <w:lang w:val="en-GB"/>
        </w:rPr>
        <w:fldChar w:fldCharType="end"/>
      </w:r>
      <w:r w:rsidRPr="00E20701">
        <w:rPr>
          <w:lang w:val="en-GB"/>
        </w:rPr>
        <w:t>.</w:t>
      </w:r>
    </w:p>
    <w:p w:rsidR="005C4E11" w:rsidRPr="0027152C" w:rsidRDefault="005C4E11" w:rsidP="00341A43">
      <w:pPr>
        <w:ind w:left="993" w:hanging="993"/>
        <w:rPr>
          <w:lang w:val="en-GB"/>
        </w:rPr>
      </w:pPr>
      <w:r w:rsidRPr="00E20701">
        <w:rPr>
          <w:lang w:val="en-GB"/>
        </w:rPr>
        <w:t xml:space="preserve">Criterion A: The current design-basis hazard </w:t>
      </w:r>
      <w:r w:rsidRPr="0027152C">
        <w:rPr>
          <w:lang w:val="en-GB"/>
        </w:rPr>
        <w:t>event cannot cause a core damage accident.</w:t>
      </w:r>
    </w:p>
    <w:p w:rsidR="005C4E11" w:rsidRPr="008D75DB" w:rsidRDefault="005C4E11" w:rsidP="00341A43">
      <w:pPr>
        <w:ind w:left="993" w:hanging="993"/>
        <w:rPr>
          <w:lang w:val="en-GB"/>
        </w:rPr>
      </w:pPr>
      <w:r w:rsidRPr="0027152C">
        <w:rPr>
          <w:lang w:val="en-GB"/>
        </w:rPr>
        <w:t>Criterion B: The current d</w:t>
      </w:r>
      <w:r w:rsidRPr="008D75DB">
        <w:rPr>
          <w:lang w:val="en-GB"/>
        </w:rPr>
        <w:t>esign-basis hazard event has a mean frequency &lt;10-5</w:t>
      </w:r>
      <w:r w:rsidRPr="005F1EF2">
        <w:rPr>
          <w:lang w:val="en-GB"/>
        </w:rPr>
        <w:t>/</w:t>
      </w:r>
      <w:r w:rsidR="0027152C" w:rsidRPr="005F1EF2">
        <w:rPr>
          <w:lang w:val="en-GB"/>
        </w:rPr>
        <w:t>a</w:t>
      </w:r>
      <w:r w:rsidRPr="0027152C">
        <w:rPr>
          <w:lang w:val="en-GB"/>
        </w:rPr>
        <w:t>, and the mean value of the conditional core damage probability (CCDP) is assessed to be &lt;10-1.</w:t>
      </w:r>
    </w:p>
    <w:p w:rsidR="005C4E11" w:rsidRPr="0027152C" w:rsidRDefault="005C4E11" w:rsidP="00341A43">
      <w:pPr>
        <w:ind w:left="993" w:hanging="993"/>
        <w:rPr>
          <w:lang w:val="en-GB"/>
        </w:rPr>
      </w:pPr>
      <w:r w:rsidRPr="005262CB">
        <w:rPr>
          <w:lang w:val="en-GB"/>
        </w:rPr>
        <w:t>Criterion C: The core damage frequency, calculated using a bounding (demonstrably conservative) analysis, has a mean frequency &lt;10-6</w:t>
      </w:r>
      <w:r w:rsidRPr="005F1EF2">
        <w:rPr>
          <w:lang w:val="en-GB"/>
        </w:rPr>
        <w:t>/</w:t>
      </w:r>
      <w:r w:rsidR="0027152C" w:rsidRPr="005F1EF2">
        <w:rPr>
          <w:lang w:val="en-GB"/>
        </w:rPr>
        <w:t>a</w:t>
      </w:r>
      <w:r w:rsidRPr="0027152C">
        <w:rPr>
          <w:lang w:val="en-GB"/>
        </w:rPr>
        <w:t>.</w:t>
      </w:r>
    </w:p>
    <w:p w:rsidR="005C4E11" w:rsidRPr="008D75DB" w:rsidRDefault="005C4E11" w:rsidP="005C4E11">
      <w:pPr>
        <w:rPr>
          <w:lang w:val="en-GB"/>
        </w:rPr>
      </w:pPr>
      <w:r w:rsidRPr="008D75DB">
        <w:rPr>
          <w:lang w:val="en-GB"/>
        </w:rPr>
        <w:t xml:space="preserve">The Criterion C is based on the criteria for assessment of the design basis hazards given in </w:t>
      </w:r>
      <w:r w:rsidR="00341A43" w:rsidRPr="005262CB">
        <w:rPr>
          <w:lang w:val="en-GB"/>
        </w:rPr>
        <w:t xml:space="preserve">the </w:t>
      </w:r>
      <w:r w:rsidRPr="005262CB">
        <w:rPr>
          <w:lang w:val="en-GB"/>
        </w:rPr>
        <w:t xml:space="preserve">Standard Review Plan (SRP) </w:t>
      </w:r>
      <w:r w:rsidR="00341A43" w:rsidRPr="005262CB">
        <w:rPr>
          <w:lang w:val="en-GB"/>
        </w:rPr>
        <w:t xml:space="preserve">of the US NRC </w:t>
      </w:r>
      <w:r w:rsidR="00C945B2" w:rsidRPr="005262CB">
        <w:rPr>
          <w:lang w:val="en-GB"/>
        </w:rPr>
        <w:fldChar w:fldCharType="begin"/>
      </w:r>
      <w:r w:rsidR="00C945B2" w:rsidRPr="005262CB">
        <w:rPr>
          <w:lang w:val="en-GB"/>
        </w:rPr>
        <w:instrText xml:space="preserve"> REF _Ref408832910 \w \h </w:instrText>
      </w:r>
      <w:r w:rsidR="0027152C">
        <w:rPr>
          <w:lang w:val="en-GB"/>
        </w:rPr>
        <w:instrText xml:space="preserve"> \* MERGEFORMAT </w:instrText>
      </w:r>
      <w:r w:rsidR="00C945B2" w:rsidRPr="005262CB">
        <w:rPr>
          <w:lang w:val="en-GB"/>
        </w:rPr>
      </w:r>
      <w:r w:rsidR="00C945B2" w:rsidRPr="005262CB">
        <w:rPr>
          <w:lang w:val="en-GB"/>
        </w:rPr>
        <w:fldChar w:fldCharType="separate"/>
      </w:r>
      <w:r w:rsidR="00E62976">
        <w:rPr>
          <w:lang w:val="en-GB"/>
        </w:rPr>
        <w:t>[55]</w:t>
      </w:r>
      <w:r w:rsidR="00C945B2" w:rsidRPr="005262CB">
        <w:rPr>
          <w:lang w:val="en-GB"/>
        </w:rPr>
        <w:fldChar w:fldCharType="end"/>
      </w:r>
      <w:r w:rsidRPr="008D75DB">
        <w:rPr>
          <w:lang w:val="en-GB"/>
        </w:rPr>
        <w:t>.</w:t>
      </w:r>
    </w:p>
    <w:p w:rsidR="005C4E11" w:rsidRPr="005262CB" w:rsidRDefault="005C4E11" w:rsidP="005C4E11">
      <w:pPr>
        <w:rPr>
          <w:lang w:val="en-GB"/>
        </w:rPr>
      </w:pPr>
    </w:p>
    <w:p w:rsidR="005C4E11" w:rsidRPr="00E20701" w:rsidRDefault="005C4E11" w:rsidP="005C4E11">
      <w:pPr>
        <w:rPr>
          <w:lang w:val="en-GB"/>
        </w:rPr>
      </w:pPr>
      <w:r w:rsidRPr="005262CB">
        <w:rPr>
          <w:lang w:val="en-GB"/>
        </w:rPr>
        <w:t xml:space="preserve">The standard </w:t>
      </w:r>
      <w:r w:rsidR="00C945B2" w:rsidRPr="005262CB">
        <w:rPr>
          <w:lang w:val="en-GB"/>
        </w:rPr>
        <w:fldChar w:fldCharType="begin"/>
      </w:r>
      <w:r w:rsidR="00C945B2" w:rsidRPr="005262CB">
        <w:rPr>
          <w:lang w:val="en-GB"/>
        </w:rPr>
        <w:instrText xml:space="preserve"> REF _Ref408832490 \w \h </w:instrText>
      </w:r>
      <w:r w:rsidR="0027152C">
        <w:rPr>
          <w:lang w:val="en-GB"/>
        </w:rPr>
        <w:instrText xml:space="preserve"> \* MERGEFORMAT </w:instrText>
      </w:r>
      <w:r w:rsidR="00C945B2" w:rsidRPr="005262CB">
        <w:rPr>
          <w:lang w:val="en-GB"/>
        </w:rPr>
      </w:r>
      <w:r w:rsidR="00C945B2" w:rsidRPr="005262CB">
        <w:rPr>
          <w:lang w:val="en-GB"/>
        </w:rPr>
        <w:fldChar w:fldCharType="separate"/>
      </w:r>
      <w:r w:rsidR="00E62976">
        <w:rPr>
          <w:lang w:val="en-GB"/>
        </w:rPr>
        <w:t>[54]</w:t>
      </w:r>
      <w:r w:rsidR="00C945B2" w:rsidRPr="005262CB">
        <w:rPr>
          <w:lang w:val="en-GB"/>
        </w:rPr>
        <w:fldChar w:fldCharType="end"/>
      </w:r>
      <w:r w:rsidR="00341A43" w:rsidRPr="008D75DB">
        <w:rPr>
          <w:lang w:val="en-GB"/>
        </w:rPr>
        <w:t xml:space="preserve">, </w:t>
      </w:r>
      <w:r w:rsidR="00C945B2" w:rsidRPr="005262CB">
        <w:rPr>
          <w:lang w:val="en-GB"/>
        </w:rPr>
        <w:fldChar w:fldCharType="begin"/>
      </w:r>
      <w:r w:rsidR="00C945B2" w:rsidRPr="005262CB">
        <w:rPr>
          <w:lang w:val="en-GB"/>
        </w:rPr>
        <w:instrText xml:space="preserve"> REF _Ref408832492 \w \h </w:instrText>
      </w:r>
      <w:r w:rsidR="0027152C">
        <w:rPr>
          <w:lang w:val="en-GB"/>
        </w:rPr>
        <w:instrText xml:space="preserve"> \* MERGEFORMAT </w:instrText>
      </w:r>
      <w:r w:rsidR="00C945B2" w:rsidRPr="005262CB">
        <w:rPr>
          <w:lang w:val="en-GB"/>
        </w:rPr>
      </w:r>
      <w:r w:rsidR="00C945B2" w:rsidRPr="005262CB">
        <w:rPr>
          <w:lang w:val="en-GB"/>
        </w:rPr>
        <w:fldChar w:fldCharType="separate"/>
      </w:r>
      <w:r w:rsidR="00E62976">
        <w:rPr>
          <w:lang w:val="en-GB"/>
        </w:rPr>
        <w:t>[56]</w:t>
      </w:r>
      <w:r w:rsidR="00C945B2" w:rsidRPr="005262CB">
        <w:rPr>
          <w:lang w:val="en-GB"/>
        </w:rPr>
        <w:fldChar w:fldCharType="end"/>
      </w:r>
      <w:r w:rsidRPr="008D75DB">
        <w:rPr>
          <w:lang w:val="en-GB"/>
        </w:rPr>
        <w:t xml:space="preserve"> requires performing </w:t>
      </w:r>
      <w:r w:rsidR="00341A43" w:rsidRPr="005262CB">
        <w:rPr>
          <w:lang w:val="en-GB"/>
        </w:rPr>
        <w:t xml:space="preserve">a </w:t>
      </w:r>
      <w:r w:rsidRPr="005262CB">
        <w:rPr>
          <w:lang w:val="en-GB"/>
        </w:rPr>
        <w:t>walkdown</w:t>
      </w:r>
      <w:r w:rsidR="00341A43" w:rsidRPr="005262CB">
        <w:rPr>
          <w:lang w:val="en-GB"/>
        </w:rPr>
        <w:t xml:space="preserve"> of the plant </w:t>
      </w:r>
      <w:r w:rsidRPr="005262CB">
        <w:rPr>
          <w:lang w:val="en-GB"/>
        </w:rPr>
        <w:t>and its surroundings as a basis for the screening out of an external event. The standard also requires for documenting the screening out of an external event in a manner that facilitates applying the PSA and updating i</w:t>
      </w:r>
      <w:r w:rsidRPr="00E20701">
        <w:rPr>
          <w:lang w:val="en-GB"/>
        </w:rPr>
        <w:t>t and that enables peer review.</w:t>
      </w:r>
      <w:r w:rsidR="00341A43" w:rsidRPr="00E20701">
        <w:rPr>
          <w:lang w:val="en-GB"/>
        </w:rPr>
        <w:t xml:space="preserve"> </w:t>
      </w:r>
      <w:r w:rsidRPr="00E20701">
        <w:rPr>
          <w:lang w:val="en-GB"/>
        </w:rPr>
        <w:t>If an external event cannot be screened out using either the qualitative criteria or the quantitative criteria then it shall be subjected to detailed analysis.</w:t>
      </w:r>
    </w:p>
    <w:p w:rsidR="005C4E11" w:rsidRPr="00E20701" w:rsidRDefault="005C4E11" w:rsidP="005C4E11">
      <w:pPr>
        <w:rPr>
          <w:lang w:val="en-GB"/>
        </w:rPr>
      </w:pPr>
    </w:p>
    <w:p w:rsidR="005C4E11" w:rsidRPr="00E20701" w:rsidRDefault="005C4E11" w:rsidP="005C4E11">
      <w:pPr>
        <w:rPr>
          <w:lang w:val="en-GB"/>
        </w:rPr>
      </w:pPr>
      <w:r w:rsidRPr="00E20701">
        <w:rPr>
          <w:lang w:val="en-GB"/>
        </w:rPr>
        <w:t xml:space="preserve">Considering the questions raised in Section </w:t>
      </w:r>
      <w:r w:rsidR="00C945B2">
        <w:rPr>
          <w:lang w:val="en-GB"/>
        </w:rPr>
        <w:fldChar w:fldCharType="begin"/>
      </w:r>
      <w:r w:rsidR="00C945B2">
        <w:rPr>
          <w:lang w:val="en-GB"/>
        </w:rPr>
        <w:instrText xml:space="preserve"> REF _Ref464240114 \w \h </w:instrText>
      </w:r>
      <w:r w:rsidR="00C945B2">
        <w:rPr>
          <w:lang w:val="en-GB"/>
        </w:rPr>
      </w:r>
      <w:r w:rsidR="00C945B2">
        <w:rPr>
          <w:lang w:val="en-GB"/>
        </w:rPr>
        <w:fldChar w:fldCharType="separate"/>
      </w:r>
      <w:r w:rsidR="00E62976">
        <w:rPr>
          <w:lang w:val="en-GB"/>
        </w:rPr>
        <w:t>2</w:t>
      </w:r>
      <w:r w:rsidR="00C945B2">
        <w:rPr>
          <w:lang w:val="en-GB"/>
        </w:rPr>
        <w:fldChar w:fldCharType="end"/>
      </w:r>
      <w:r w:rsidRPr="00E20701">
        <w:rPr>
          <w:lang w:val="en-GB"/>
        </w:rPr>
        <w:t xml:space="preserve"> the following can be concluded:</w:t>
      </w:r>
    </w:p>
    <w:p w:rsidR="005C4E11" w:rsidRPr="00E20701" w:rsidRDefault="005C4E11" w:rsidP="00341A43">
      <w:pPr>
        <w:ind w:left="284" w:hanging="284"/>
        <w:rPr>
          <w:lang w:val="en-GB"/>
        </w:rPr>
      </w:pPr>
      <w:r w:rsidRPr="00E20701">
        <w:rPr>
          <w:lang w:val="en-GB"/>
        </w:rPr>
        <w:t xml:space="preserve">a) How to identify and quantify dependencies and correlations between different hazard or event scenarios. </w:t>
      </w:r>
      <w:r w:rsidR="00341A43" w:rsidRPr="00E20701">
        <w:rPr>
          <w:lang w:val="en-GB"/>
        </w:rPr>
        <w:br/>
      </w:r>
      <w:r w:rsidRPr="00E20701">
        <w:rPr>
          <w:lang w:val="en-GB"/>
        </w:rPr>
        <w:t xml:space="preserve">The </w:t>
      </w:r>
      <w:r w:rsidR="008B3F19" w:rsidRPr="00E20701">
        <w:rPr>
          <w:lang w:val="en-GB"/>
        </w:rPr>
        <w:t>AMSE/ANS RA-S s</w:t>
      </w:r>
      <w:r w:rsidRPr="00E20701">
        <w:rPr>
          <w:lang w:val="en-GB"/>
        </w:rPr>
        <w:t>tandard is structured so that requirements for the analysis of the PSA results, including identification of significant contributors, identification and characterization of sources of uncertainty, and identification of assumptions are done on a hazard group basis. Each hazard group is treated separately. All significant dependencies and correlations that affect the results should be considered in the model in the integration-quantification of risk measures.</w:t>
      </w:r>
    </w:p>
    <w:p w:rsidR="005C4E11" w:rsidRPr="00E20701" w:rsidRDefault="005C4E11" w:rsidP="00341A43">
      <w:pPr>
        <w:ind w:left="284" w:hanging="284"/>
        <w:rPr>
          <w:lang w:val="en-GB"/>
        </w:rPr>
      </w:pPr>
      <w:r w:rsidRPr="00E20701">
        <w:rPr>
          <w:lang w:val="en-GB"/>
        </w:rPr>
        <w:t>b) Which (quantitative) screening criteria should be applied, which risk metrics would be suitable.</w:t>
      </w:r>
      <w:r w:rsidR="00341A43" w:rsidRPr="00E20701">
        <w:rPr>
          <w:lang w:val="en-GB"/>
        </w:rPr>
        <w:br/>
      </w:r>
      <w:r w:rsidRPr="00E20701">
        <w:rPr>
          <w:lang w:val="en-GB"/>
        </w:rPr>
        <w:t>Described in details above.</w:t>
      </w:r>
    </w:p>
    <w:p w:rsidR="005C4E11" w:rsidRPr="00E20701" w:rsidRDefault="005C4E11" w:rsidP="00C70893">
      <w:pPr>
        <w:ind w:left="284" w:hanging="284"/>
        <w:rPr>
          <w:lang w:val="en-GB"/>
        </w:rPr>
      </w:pPr>
      <w:r w:rsidRPr="00E20701">
        <w:rPr>
          <w:lang w:val="en-GB"/>
        </w:rPr>
        <w:t>c) What constitutes and how to identify a high impact/low probability event.</w:t>
      </w:r>
      <w:r w:rsidR="008B3F19" w:rsidRPr="00E20701">
        <w:rPr>
          <w:lang w:val="en-GB"/>
        </w:rPr>
        <w:tab/>
      </w:r>
      <w:r w:rsidR="008B3F19" w:rsidRPr="00E20701">
        <w:rPr>
          <w:lang w:val="en-GB"/>
        </w:rPr>
        <w:br/>
      </w:r>
      <w:r w:rsidRPr="00E20701">
        <w:rPr>
          <w:lang w:val="en-GB"/>
        </w:rPr>
        <w:t>Standard is based on assessment of the consequences of the event, including low probability/high consequence event. Standard recognizes that conservative estimate of a mean value is not a point estimate. When uncertainties are large, as it is normally case for such events, the mean frequency can fall above the 95th percentile of the distribution. Therefore, it is incumbent on the analyst to document the evidence that justifies estimates of uncertainties, approximations, or simplifications leading to the estimate of the mean event frequency or CDF.</w:t>
      </w:r>
    </w:p>
    <w:p w:rsidR="005C4E11" w:rsidRPr="00E20701" w:rsidRDefault="005C4E11" w:rsidP="008B3F19">
      <w:pPr>
        <w:ind w:left="284" w:hanging="284"/>
        <w:rPr>
          <w:lang w:val="en-GB"/>
        </w:rPr>
      </w:pPr>
      <w:r w:rsidRPr="00E20701">
        <w:rPr>
          <w:lang w:val="en-GB"/>
        </w:rPr>
        <w:t>d) What constitutes a maximum impact?</w:t>
      </w:r>
      <w:r w:rsidR="008B3F19" w:rsidRPr="00E20701">
        <w:rPr>
          <w:lang w:val="en-GB"/>
        </w:rPr>
        <w:tab/>
      </w:r>
      <w:r w:rsidR="008B3F19" w:rsidRPr="00E20701">
        <w:rPr>
          <w:lang w:val="en-GB"/>
        </w:rPr>
        <w:br/>
      </w:r>
      <w:r w:rsidRPr="00E20701">
        <w:rPr>
          <w:lang w:val="en-GB"/>
        </w:rPr>
        <w:t>The postulated failure of the systems, structures and components is based on the evaluation of the plant specific fragility or vulnerability information of the analysed element.</w:t>
      </w:r>
    </w:p>
    <w:p w:rsidR="005C4E11" w:rsidRPr="00E20701" w:rsidRDefault="005C4E11" w:rsidP="008B3F19">
      <w:pPr>
        <w:ind w:left="284" w:hanging="284"/>
        <w:rPr>
          <w:lang w:val="en-GB"/>
        </w:rPr>
      </w:pPr>
      <w:r w:rsidRPr="00E20701">
        <w:rPr>
          <w:lang w:val="en-GB"/>
        </w:rPr>
        <w:t>e) Need to utilize the levels of Defen</w:t>
      </w:r>
      <w:r w:rsidR="00C945B2">
        <w:rPr>
          <w:lang w:val="en-GB"/>
        </w:rPr>
        <w:t>c</w:t>
      </w:r>
      <w:r w:rsidRPr="00E20701">
        <w:rPr>
          <w:lang w:val="en-GB"/>
        </w:rPr>
        <w:t>e in Depth (AOO, DBA, and DEC)?</w:t>
      </w:r>
      <w:r w:rsidR="008B3F19" w:rsidRPr="00E20701">
        <w:rPr>
          <w:lang w:val="en-GB"/>
        </w:rPr>
        <w:br/>
      </w:r>
      <w:r w:rsidRPr="00E20701">
        <w:rPr>
          <w:lang w:val="en-GB"/>
        </w:rPr>
        <w:t>There is no explicit requirement in the sta</w:t>
      </w:r>
      <w:r w:rsidR="008B3F19" w:rsidRPr="00E20701">
        <w:rPr>
          <w:lang w:val="en-GB"/>
        </w:rPr>
        <w:t xml:space="preserve">ndard about utilization of the </w:t>
      </w:r>
      <w:r w:rsidRPr="00E20701">
        <w:rPr>
          <w:lang w:val="en-GB"/>
        </w:rPr>
        <w:t>defen</w:t>
      </w:r>
      <w:r w:rsidR="00602B32">
        <w:rPr>
          <w:lang w:val="en-GB"/>
        </w:rPr>
        <w:t>c</w:t>
      </w:r>
      <w:r w:rsidRPr="00E20701">
        <w:rPr>
          <w:lang w:val="en-GB"/>
        </w:rPr>
        <w:t>e-in-depth philosophy in the development of the PSA model.</w:t>
      </w:r>
    </w:p>
    <w:p w:rsidR="005C4E11" w:rsidRPr="00E20701" w:rsidRDefault="005C4E11" w:rsidP="008B3F19">
      <w:pPr>
        <w:ind w:left="284" w:hanging="284"/>
        <w:rPr>
          <w:lang w:val="en-GB"/>
        </w:rPr>
      </w:pPr>
      <w:r w:rsidRPr="00E20701">
        <w:rPr>
          <w:lang w:val="en-GB"/>
        </w:rPr>
        <w:t>f) Which approaches to bounding analysis are suitable for an extended PSA and upon which criteria a detailed probabilistic investigation and modelling can be omitted</w:t>
      </w:r>
      <w:r w:rsidR="008B3F19" w:rsidRPr="00E20701">
        <w:rPr>
          <w:lang w:val="en-GB"/>
        </w:rPr>
        <w:t>?</w:t>
      </w:r>
      <w:r w:rsidR="008B3F19" w:rsidRPr="00E20701">
        <w:rPr>
          <w:lang w:val="en-GB"/>
        </w:rPr>
        <w:tab/>
      </w:r>
      <w:r w:rsidR="008B3F19" w:rsidRPr="00E20701">
        <w:rPr>
          <w:lang w:val="en-GB"/>
        </w:rPr>
        <w:br/>
      </w:r>
      <w:r w:rsidRPr="00E20701">
        <w:rPr>
          <w:lang w:val="en-GB"/>
        </w:rPr>
        <w:t>Described in details above.</w:t>
      </w:r>
    </w:p>
    <w:p w:rsidR="000E7B93" w:rsidRPr="00E20701" w:rsidRDefault="000E7B93" w:rsidP="00FE10EC">
      <w:pPr>
        <w:rPr>
          <w:lang w:val="en-GB"/>
        </w:rPr>
      </w:pPr>
    </w:p>
    <w:p w:rsidR="00737A59" w:rsidRPr="00E20701" w:rsidRDefault="00583E98" w:rsidP="00317481">
      <w:pPr>
        <w:pStyle w:val="Titre2"/>
        <w:rPr>
          <w:lang w:val="en-GB"/>
        </w:rPr>
      </w:pPr>
      <w:bookmarkStart w:id="399" w:name="_Toc473303551"/>
      <w:r>
        <w:rPr>
          <w:lang w:val="en-GB"/>
        </w:rPr>
        <w:t>COUNTRIES</w:t>
      </w:r>
      <w:bookmarkEnd w:id="399"/>
    </w:p>
    <w:p w:rsidR="00737A59" w:rsidRPr="00E20701" w:rsidRDefault="00737A59" w:rsidP="00317481">
      <w:pPr>
        <w:pStyle w:val="Titre3"/>
        <w:rPr>
          <w:lang w:val="en-GB"/>
        </w:rPr>
      </w:pPr>
      <w:bookmarkStart w:id="400" w:name="_Toc473303552"/>
      <w:r w:rsidRPr="00E20701">
        <w:rPr>
          <w:lang w:val="en-GB"/>
        </w:rPr>
        <w:t>Belgium</w:t>
      </w:r>
      <w:bookmarkEnd w:id="400"/>
    </w:p>
    <w:p w:rsidR="003A63B1" w:rsidRPr="00E20701" w:rsidRDefault="003A63B1" w:rsidP="003A63B1">
      <w:pPr>
        <w:rPr>
          <w:lang w:val="en-GB"/>
        </w:rPr>
      </w:pPr>
      <w:r w:rsidRPr="00E20701">
        <w:rPr>
          <w:lang w:val="en-GB"/>
        </w:rPr>
        <w:t>Screening criteria for internal and / or external hazards (for consideration in PSAs) have not been developed or used up to now. Internal hazards PSA are being developed for internal fire and internal flooding, following WENRA Reference Level O1.1 (and its transposition into art. 29.1 (objective and scope of PSA) of the Royal Decree of 30.11.2011 concerning safety regulations for nuclear installations). External hazards PSAs are currently not yet envisaged for Belgian NPPs.</w:t>
      </w:r>
    </w:p>
    <w:p w:rsidR="00737A59" w:rsidRPr="00E20701" w:rsidRDefault="00737A59" w:rsidP="00317481">
      <w:pPr>
        <w:pStyle w:val="Titre3"/>
        <w:rPr>
          <w:lang w:val="en-GB"/>
        </w:rPr>
      </w:pPr>
      <w:bookmarkStart w:id="401" w:name="_Toc473303553"/>
      <w:r w:rsidRPr="00E20701">
        <w:rPr>
          <w:lang w:val="en-GB"/>
        </w:rPr>
        <w:t>Bulgaria</w:t>
      </w:r>
      <w:bookmarkEnd w:id="401"/>
    </w:p>
    <w:p w:rsidR="00B73858" w:rsidRPr="00E20701" w:rsidRDefault="00B73858" w:rsidP="00B73858">
      <w:pPr>
        <w:rPr>
          <w:szCs w:val="18"/>
          <w:lang w:val="en-GB"/>
        </w:rPr>
      </w:pPr>
      <w:r w:rsidRPr="00E20701">
        <w:rPr>
          <w:szCs w:val="18"/>
          <w:lang w:val="en-GB"/>
        </w:rPr>
        <w:t xml:space="preserve">In </w:t>
      </w:r>
      <w:r w:rsidRPr="00E20701">
        <w:rPr>
          <w:lang w:val="en-GB"/>
        </w:rPr>
        <w:t>Bulgaria, the main regulatory requirements related</w:t>
      </w:r>
      <w:r w:rsidRPr="00E20701">
        <w:rPr>
          <w:szCs w:val="18"/>
          <w:lang w:val="en-GB"/>
        </w:rPr>
        <w:t xml:space="preserve"> to the identification of initiating events and hazards, as well as directions to the PSA development are specified by the “</w:t>
      </w:r>
      <w:r w:rsidRPr="00E20701">
        <w:rPr>
          <w:rFonts w:cs="Times-Bold"/>
          <w:bCs/>
          <w:szCs w:val="18"/>
          <w:lang w:val="en-GB" w:eastAsia="bg-BG"/>
        </w:rPr>
        <w:t>Regulation on Ensuring the Safety of Nuclear Power Plants”</w:t>
      </w:r>
      <w:r w:rsidRPr="00E20701">
        <w:rPr>
          <w:szCs w:val="18"/>
          <w:lang w:val="en-GB"/>
        </w:rPr>
        <w:t xml:space="preserve">, </w:t>
      </w:r>
      <w:r w:rsidRPr="00E20701">
        <w:rPr>
          <w:szCs w:val="18"/>
          <w:lang w:val="en-GB" w:eastAsia="bg-BG"/>
        </w:rPr>
        <w:t>Published SG, No.66 of 30 July 2004,</w:t>
      </w:r>
      <w:r w:rsidRPr="00E20701">
        <w:rPr>
          <w:szCs w:val="18"/>
          <w:lang w:val="en-GB"/>
        </w:rPr>
        <w:t xml:space="preserve"> amended SG No. 46 of 12 June 2007, amended SG No. 53 of 10 June 2008, and amended SG No. 5 of 19 January 2010 </w:t>
      </w:r>
      <w:r w:rsidR="007C146B">
        <w:rPr>
          <w:szCs w:val="18"/>
          <w:lang w:val="en-GB"/>
        </w:rPr>
        <w:fldChar w:fldCharType="begin"/>
      </w:r>
      <w:r w:rsidR="007C146B">
        <w:rPr>
          <w:szCs w:val="18"/>
          <w:lang w:val="en-GB"/>
        </w:rPr>
        <w:instrText xml:space="preserve"> REF _Ref418680315 \w \h </w:instrText>
      </w:r>
      <w:r w:rsidR="007C146B">
        <w:rPr>
          <w:szCs w:val="18"/>
          <w:lang w:val="en-GB"/>
        </w:rPr>
      </w:r>
      <w:r w:rsidR="007C146B">
        <w:rPr>
          <w:szCs w:val="18"/>
          <w:lang w:val="en-GB"/>
        </w:rPr>
        <w:fldChar w:fldCharType="separate"/>
      </w:r>
      <w:r w:rsidR="00E62976">
        <w:rPr>
          <w:szCs w:val="18"/>
          <w:lang w:val="en-GB"/>
        </w:rPr>
        <w:t>[69]</w:t>
      </w:r>
      <w:r w:rsidR="007C146B">
        <w:rPr>
          <w:szCs w:val="18"/>
          <w:lang w:val="en-GB"/>
        </w:rPr>
        <w:fldChar w:fldCharType="end"/>
      </w:r>
      <w:r w:rsidRPr="00E20701">
        <w:rPr>
          <w:szCs w:val="18"/>
          <w:lang w:val="en-GB"/>
        </w:rPr>
        <w:t>.</w:t>
      </w:r>
      <w:r w:rsidRPr="00E20701">
        <w:rPr>
          <w:rFonts w:cs="Times-Bold"/>
          <w:bCs/>
          <w:szCs w:val="18"/>
          <w:lang w:val="en-GB" w:eastAsia="bg-BG"/>
        </w:rPr>
        <w:t xml:space="preserve"> The regulation was developed on the basis of IAEA Safety Standards and the WENRA reference levels for operating NPPs. </w:t>
      </w:r>
      <w:r w:rsidRPr="00E20701">
        <w:rPr>
          <w:szCs w:val="18"/>
          <w:lang w:val="en-GB"/>
        </w:rPr>
        <w:t>The regulation contains detailed instruction related to the determination of the design basis and safety evaluation, the characteristics of the site and the safety requirements for the nuclear power plant and its systems.</w:t>
      </w:r>
    </w:p>
    <w:p w:rsidR="00B73858" w:rsidRPr="00E20701" w:rsidRDefault="00B73858" w:rsidP="00B73858">
      <w:pPr>
        <w:autoSpaceDE w:val="0"/>
        <w:autoSpaceDN w:val="0"/>
        <w:adjustRightInd w:val="0"/>
        <w:rPr>
          <w:rFonts w:cs="Times-Roman"/>
          <w:szCs w:val="18"/>
          <w:lang w:val="en-GB" w:eastAsia="bg-BG"/>
        </w:rPr>
      </w:pPr>
      <w:r w:rsidRPr="00E20701">
        <w:rPr>
          <w:rFonts w:cs="Times-Roman"/>
          <w:szCs w:val="18"/>
          <w:lang w:val="en-GB" w:eastAsia="bg-BG"/>
        </w:rPr>
        <w:t>The regulation requires that postulated internal initiating events shall be grouped into different categories depending on their frequency of occurrence per calendar year. “Grouping shall be based on the following four categories of plant states:</w:t>
      </w:r>
    </w:p>
    <w:p w:rsidR="00B73858" w:rsidRPr="00E20701" w:rsidRDefault="00B73858" w:rsidP="00B73858">
      <w:pPr>
        <w:autoSpaceDE w:val="0"/>
        <w:autoSpaceDN w:val="0"/>
        <w:adjustRightInd w:val="0"/>
        <w:ind w:left="708"/>
        <w:rPr>
          <w:rFonts w:cs="Times-Roman"/>
          <w:szCs w:val="18"/>
          <w:lang w:val="en-GB" w:eastAsia="bg-BG"/>
        </w:rPr>
      </w:pPr>
      <w:r w:rsidRPr="00E20701">
        <w:rPr>
          <w:rFonts w:cs="Times-Roman"/>
          <w:szCs w:val="18"/>
          <w:lang w:val="en-GB" w:eastAsia="bg-BG"/>
        </w:rPr>
        <w:t>1. category 1 – steady and transient states during normal operation;</w:t>
      </w:r>
    </w:p>
    <w:p w:rsidR="00B73858" w:rsidRPr="00E20701" w:rsidRDefault="00B73858" w:rsidP="00B73858">
      <w:pPr>
        <w:autoSpaceDE w:val="0"/>
        <w:autoSpaceDN w:val="0"/>
        <w:adjustRightInd w:val="0"/>
        <w:ind w:left="708"/>
        <w:rPr>
          <w:rFonts w:cs="Times-Roman"/>
          <w:szCs w:val="18"/>
          <w:lang w:val="en-GB" w:eastAsia="bg-BG"/>
        </w:rPr>
      </w:pPr>
      <w:r w:rsidRPr="00E20701">
        <w:rPr>
          <w:rFonts w:cs="Times-Roman"/>
          <w:szCs w:val="18"/>
          <w:lang w:val="en-GB" w:eastAsia="bg-BG"/>
        </w:rPr>
        <w:t>2. category 2 – anticipated operational occurrences, with frequency above 10-2 events per year;</w:t>
      </w:r>
    </w:p>
    <w:p w:rsidR="00B73858" w:rsidRPr="00E20701" w:rsidRDefault="00B73858" w:rsidP="00B73858">
      <w:pPr>
        <w:autoSpaceDE w:val="0"/>
        <w:autoSpaceDN w:val="0"/>
        <w:adjustRightInd w:val="0"/>
        <w:ind w:left="708"/>
        <w:rPr>
          <w:rFonts w:cs="Times-Roman"/>
          <w:szCs w:val="18"/>
          <w:lang w:val="en-GB" w:eastAsia="bg-BG"/>
        </w:rPr>
      </w:pPr>
      <w:r w:rsidRPr="00E20701">
        <w:rPr>
          <w:rFonts w:cs="Times-Roman"/>
          <w:szCs w:val="18"/>
          <w:lang w:val="en-GB" w:eastAsia="bg-BG"/>
        </w:rPr>
        <w:t>3. category 3 – accidents of low frequency of occurrence, in the range between 10-2 and 10-4 events per year;</w:t>
      </w:r>
    </w:p>
    <w:p w:rsidR="00B73858" w:rsidRPr="00E20701" w:rsidRDefault="00B73858" w:rsidP="00B73858">
      <w:pPr>
        <w:autoSpaceDE w:val="0"/>
        <w:autoSpaceDN w:val="0"/>
        <w:adjustRightInd w:val="0"/>
        <w:ind w:left="708"/>
        <w:rPr>
          <w:rFonts w:cs="Times-Roman"/>
          <w:szCs w:val="18"/>
          <w:lang w:val="en-GB" w:eastAsia="bg-BG"/>
        </w:rPr>
      </w:pPr>
      <w:r w:rsidRPr="00E20701">
        <w:rPr>
          <w:rFonts w:cs="Times-Roman"/>
          <w:szCs w:val="18"/>
          <w:lang w:val="en-GB" w:eastAsia="bg-BG"/>
        </w:rPr>
        <w:t xml:space="preserve">4. category 4 – design basis accident of very low frequency of occurrence, in the range between 10-4 and 10-6 events per year.” </w:t>
      </w:r>
      <w:r w:rsidR="007C146B">
        <w:rPr>
          <w:szCs w:val="18"/>
          <w:lang w:val="en-GB"/>
        </w:rPr>
        <w:fldChar w:fldCharType="begin"/>
      </w:r>
      <w:r w:rsidR="007C146B">
        <w:rPr>
          <w:szCs w:val="18"/>
          <w:lang w:val="en-GB"/>
        </w:rPr>
        <w:instrText xml:space="preserve"> REF _Ref418680315 \w \h </w:instrText>
      </w:r>
      <w:r w:rsidR="007C146B">
        <w:rPr>
          <w:szCs w:val="18"/>
          <w:lang w:val="en-GB"/>
        </w:rPr>
      </w:r>
      <w:r w:rsidR="007C146B">
        <w:rPr>
          <w:szCs w:val="18"/>
          <w:lang w:val="en-GB"/>
        </w:rPr>
        <w:fldChar w:fldCharType="separate"/>
      </w:r>
      <w:r w:rsidR="00E62976">
        <w:rPr>
          <w:szCs w:val="18"/>
          <w:lang w:val="en-GB"/>
        </w:rPr>
        <w:t>[69]</w:t>
      </w:r>
      <w:r w:rsidR="007C146B">
        <w:rPr>
          <w:szCs w:val="18"/>
          <w:lang w:val="en-GB"/>
        </w:rPr>
        <w:fldChar w:fldCharType="end"/>
      </w:r>
      <w:r w:rsidRPr="00E20701">
        <w:rPr>
          <w:rFonts w:cs="Times-Roman"/>
          <w:szCs w:val="18"/>
          <w:lang w:val="en-GB" w:eastAsia="bg-BG"/>
        </w:rPr>
        <w:t>, Art.12, paragraph 1, p. 3.</w:t>
      </w:r>
    </w:p>
    <w:p w:rsidR="00B73858" w:rsidRPr="00E20701" w:rsidRDefault="00B73858" w:rsidP="00B73858">
      <w:pPr>
        <w:autoSpaceDE w:val="0"/>
        <w:autoSpaceDN w:val="0"/>
        <w:adjustRightInd w:val="0"/>
        <w:rPr>
          <w:rFonts w:cs="Times-Roman"/>
          <w:szCs w:val="18"/>
          <w:lang w:val="en-GB" w:eastAsia="bg-BG"/>
        </w:rPr>
      </w:pPr>
      <w:r w:rsidRPr="00E20701">
        <w:rPr>
          <w:rFonts w:cs="Times-Roman"/>
          <w:szCs w:val="18"/>
          <w:lang w:val="en-GB" w:eastAsia="bg-BG"/>
        </w:rPr>
        <w:t>In addition, the regulation contains a typical list of postulated initiating events and the categories of plant states that shall</w:t>
      </w:r>
      <w:r w:rsidR="009E43CB">
        <w:rPr>
          <w:rFonts w:cs="Times-Roman"/>
          <w:szCs w:val="18"/>
          <w:lang w:val="en-GB" w:eastAsia="bg-BG"/>
        </w:rPr>
        <w:t xml:space="preserve"> be</w:t>
      </w:r>
      <w:r w:rsidRPr="00E20701">
        <w:rPr>
          <w:rFonts w:cs="Times-Roman"/>
          <w:szCs w:val="18"/>
          <w:lang w:val="en-GB" w:eastAsia="bg-BG"/>
        </w:rPr>
        <w:t xml:space="preserve"> consider</w:t>
      </w:r>
      <w:r w:rsidR="009E43CB">
        <w:rPr>
          <w:rFonts w:cs="Times-Roman"/>
          <w:szCs w:val="18"/>
          <w:lang w:val="en-GB" w:eastAsia="bg-BG"/>
        </w:rPr>
        <w:t>ed</w:t>
      </w:r>
      <w:r w:rsidRPr="00E20701">
        <w:rPr>
          <w:rFonts w:cs="Times-Roman"/>
          <w:szCs w:val="18"/>
          <w:lang w:val="en-GB" w:eastAsia="bg-BG"/>
        </w:rPr>
        <w:t xml:space="preserve"> in the Safety Analysis. </w:t>
      </w:r>
      <w:r w:rsidR="009E43CB">
        <w:rPr>
          <w:szCs w:val="18"/>
          <w:lang w:val="en-GB"/>
        </w:rPr>
        <w:fldChar w:fldCharType="begin"/>
      </w:r>
      <w:r w:rsidR="009E43CB">
        <w:rPr>
          <w:szCs w:val="18"/>
          <w:lang w:val="en-GB"/>
        </w:rPr>
        <w:instrText xml:space="preserve"> REF _Ref418680315 \w \h </w:instrText>
      </w:r>
      <w:r w:rsidR="009E43CB">
        <w:rPr>
          <w:szCs w:val="18"/>
          <w:lang w:val="en-GB"/>
        </w:rPr>
      </w:r>
      <w:r w:rsidR="009E43CB">
        <w:rPr>
          <w:szCs w:val="18"/>
          <w:lang w:val="en-GB"/>
        </w:rPr>
        <w:fldChar w:fldCharType="separate"/>
      </w:r>
      <w:r w:rsidR="00E62976">
        <w:rPr>
          <w:szCs w:val="18"/>
          <w:lang w:val="en-GB"/>
        </w:rPr>
        <w:t>[69]</w:t>
      </w:r>
      <w:r w:rsidR="009E43CB">
        <w:rPr>
          <w:szCs w:val="18"/>
          <w:lang w:val="en-GB"/>
        </w:rPr>
        <w:fldChar w:fldCharType="end"/>
      </w:r>
      <w:r w:rsidRPr="00E20701">
        <w:rPr>
          <w:rFonts w:cs="Times-Roman"/>
          <w:szCs w:val="18"/>
          <w:lang w:val="en-GB" w:eastAsia="bg-BG"/>
        </w:rPr>
        <w:t>, Annex to Art.12, paragraph 12, p.36.</w:t>
      </w:r>
    </w:p>
    <w:p w:rsidR="00B73858" w:rsidRPr="00E20701" w:rsidRDefault="00B73858" w:rsidP="00B73858">
      <w:pPr>
        <w:rPr>
          <w:szCs w:val="18"/>
          <w:lang w:val="en-GB" w:eastAsia="bg-BG"/>
        </w:rPr>
      </w:pPr>
      <w:r w:rsidRPr="00E20701">
        <w:rPr>
          <w:szCs w:val="18"/>
          <w:lang w:val="en-GB"/>
        </w:rPr>
        <w:t xml:space="preserve">Also, NPP design </w:t>
      </w:r>
      <w:r w:rsidRPr="00E20701">
        <w:rPr>
          <w:szCs w:val="18"/>
          <w:lang w:val="en-GB" w:eastAsia="bg-BG"/>
        </w:rPr>
        <w:t>shall analyse, as initiating events, possible human errors and possible combinations of internal and external events based on realistic assumptions,</w:t>
      </w:r>
      <w:r w:rsidRPr="00E20701">
        <w:rPr>
          <w:rFonts w:cs="Times-Roman"/>
          <w:szCs w:val="18"/>
          <w:lang w:val="en-GB" w:eastAsia="bg-BG"/>
        </w:rPr>
        <w:t xml:space="preserve"> Art.12, paragraph 3, from Regulation </w:t>
      </w:r>
      <w:r w:rsidR="009E43CB">
        <w:rPr>
          <w:szCs w:val="18"/>
          <w:lang w:val="en-GB"/>
        </w:rPr>
        <w:fldChar w:fldCharType="begin"/>
      </w:r>
      <w:r w:rsidR="009E43CB">
        <w:rPr>
          <w:szCs w:val="18"/>
          <w:lang w:val="en-GB"/>
        </w:rPr>
        <w:instrText xml:space="preserve"> REF _Ref418680315 \w \h </w:instrText>
      </w:r>
      <w:r w:rsidR="009E43CB">
        <w:rPr>
          <w:szCs w:val="18"/>
          <w:lang w:val="en-GB"/>
        </w:rPr>
      </w:r>
      <w:r w:rsidR="009E43CB">
        <w:rPr>
          <w:szCs w:val="18"/>
          <w:lang w:val="en-GB"/>
        </w:rPr>
        <w:fldChar w:fldCharType="separate"/>
      </w:r>
      <w:r w:rsidR="00E62976">
        <w:rPr>
          <w:szCs w:val="18"/>
          <w:lang w:val="en-GB"/>
        </w:rPr>
        <w:t>[69]</w:t>
      </w:r>
      <w:r w:rsidR="009E43CB">
        <w:rPr>
          <w:szCs w:val="18"/>
          <w:lang w:val="en-GB"/>
        </w:rPr>
        <w:fldChar w:fldCharType="end"/>
      </w:r>
      <w:r w:rsidRPr="00E20701">
        <w:rPr>
          <w:rFonts w:cs="Times-Roman"/>
          <w:szCs w:val="18"/>
          <w:lang w:val="en-GB" w:eastAsia="bg-BG"/>
        </w:rPr>
        <w:t>, p. 3</w:t>
      </w:r>
      <w:r w:rsidRPr="00E20701">
        <w:rPr>
          <w:szCs w:val="18"/>
          <w:lang w:val="en-GB" w:eastAsia="bg-BG"/>
        </w:rPr>
        <w:t>.</w:t>
      </w:r>
      <w:r w:rsidRPr="00E20701">
        <w:rPr>
          <w:szCs w:val="18"/>
          <w:lang w:val="en-GB"/>
        </w:rPr>
        <w:t xml:space="preserve"> </w:t>
      </w:r>
      <w:r w:rsidRPr="00E20701">
        <w:rPr>
          <w:szCs w:val="18"/>
          <w:lang w:val="en-GB" w:eastAsia="bg-BG"/>
        </w:rPr>
        <w:t>It is required that NPP design shall take account of specific environmental conditions and loads to safety important SSC, resulting from internal events and site specific external events and hazards.</w:t>
      </w:r>
    </w:p>
    <w:p w:rsidR="00B73858" w:rsidRPr="00E20701" w:rsidRDefault="00B73858" w:rsidP="00B73858">
      <w:pPr>
        <w:rPr>
          <w:szCs w:val="18"/>
          <w:lang w:val="en-GB" w:eastAsia="bg-BG"/>
        </w:rPr>
      </w:pPr>
      <w:r w:rsidRPr="00E20701">
        <w:rPr>
          <w:szCs w:val="18"/>
          <w:lang w:val="en-GB" w:eastAsia="bg-BG"/>
        </w:rPr>
        <w:t>In accordance with Art.</w:t>
      </w:r>
      <w:r w:rsidR="00FA3BDC" w:rsidRPr="00E20701">
        <w:rPr>
          <w:szCs w:val="18"/>
          <w:lang w:val="en-GB" w:eastAsia="bg-BG"/>
        </w:rPr>
        <w:t> </w:t>
      </w:r>
      <w:r w:rsidRPr="00E20701">
        <w:rPr>
          <w:szCs w:val="18"/>
          <w:lang w:val="en-GB" w:eastAsia="bg-BG"/>
        </w:rPr>
        <w:t xml:space="preserve">21, paragraph 1 from the regulation </w:t>
      </w:r>
      <w:r w:rsidR="009E43CB">
        <w:rPr>
          <w:szCs w:val="18"/>
          <w:lang w:val="en-GB"/>
        </w:rPr>
        <w:fldChar w:fldCharType="begin"/>
      </w:r>
      <w:r w:rsidR="009E43CB">
        <w:rPr>
          <w:szCs w:val="18"/>
          <w:lang w:val="en-GB"/>
        </w:rPr>
        <w:instrText xml:space="preserve"> REF _Ref418680315 \w \h </w:instrText>
      </w:r>
      <w:r w:rsidR="009E43CB">
        <w:rPr>
          <w:szCs w:val="18"/>
          <w:lang w:val="en-GB"/>
        </w:rPr>
      </w:r>
      <w:r w:rsidR="009E43CB">
        <w:rPr>
          <w:szCs w:val="18"/>
          <w:lang w:val="en-GB"/>
        </w:rPr>
        <w:fldChar w:fldCharType="separate"/>
      </w:r>
      <w:r w:rsidR="00E62976">
        <w:rPr>
          <w:szCs w:val="18"/>
          <w:lang w:val="en-GB"/>
        </w:rPr>
        <w:t>[69]</w:t>
      </w:r>
      <w:r w:rsidR="009E43CB">
        <w:rPr>
          <w:szCs w:val="18"/>
          <w:lang w:val="en-GB"/>
        </w:rPr>
        <w:fldChar w:fldCharType="end"/>
      </w:r>
      <w:r w:rsidRPr="00E20701">
        <w:rPr>
          <w:szCs w:val="18"/>
          <w:lang w:val="en-GB" w:eastAsia="bg-BG"/>
        </w:rPr>
        <w:t xml:space="preserve">, the PSA shall be carried out with the objective to: </w:t>
      </w:r>
      <w:r w:rsidRPr="00E20701">
        <w:rPr>
          <w:rFonts w:cs="Times-Roman"/>
          <w:szCs w:val="18"/>
          <w:lang w:val="en-GB" w:eastAsia="bg-BG"/>
        </w:rPr>
        <w:t>demonstrate a balanced design where each postulated initiating event has a proportional impact upon the overall plant risk and the safety is ensured mainly by the first two levels of defence in depth, and evaluate the frequencies and the consequences of the external events specific to the site.</w:t>
      </w:r>
    </w:p>
    <w:p w:rsidR="00B73858" w:rsidRPr="00E20701" w:rsidRDefault="00B73858" w:rsidP="00B73858">
      <w:pPr>
        <w:rPr>
          <w:szCs w:val="18"/>
          <w:lang w:val="en-GB" w:eastAsia="bg-BG"/>
        </w:rPr>
      </w:pPr>
      <w:r w:rsidRPr="00E20701">
        <w:rPr>
          <w:szCs w:val="18"/>
          <w:lang w:val="en-GB" w:eastAsia="bg-BG"/>
        </w:rPr>
        <w:t xml:space="preserve">Furthermore, the regulation requires that the PSA shall be included </w:t>
      </w:r>
      <w:r w:rsidR="009E43CB">
        <w:rPr>
          <w:szCs w:val="18"/>
          <w:lang w:val="en-GB"/>
        </w:rPr>
        <w:fldChar w:fldCharType="begin"/>
      </w:r>
      <w:r w:rsidR="009E43CB">
        <w:rPr>
          <w:szCs w:val="18"/>
          <w:lang w:val="en-GB"/>
        </w:rPr>
        <w:instrText xml:space="preserve"> REF _Ref418680315 \w \h </w:instrText>
      </w:r>
      <w:r w:rsidR="009E43CB">
        <w:rPr>
          <w:szCs w:val="18"/>
          <w:lang w:val="en-GB"/>
        </w:rPr>
      </w:r>
      <w:r w:rsidR="009E43CB">
        <w:rPr>
          <w:szCs w:val="18"/>
          <w:lang w:val="en-GB"/>
        </w:rPr>
        <w:fldChar w:fldCharType="separate"/>
      </w:r>
      <w:r w:rsidR="00E62976">
        <w:rPr>
          <w:szCs w:val="18"/>
          <w:lang w:val="en-GB"/>
        </w:rPr>
        <w:t>[69]</w:t>
      </w:r>
      <w:r w:rsidR="009E43CB">
        <w:rPr>
          <w:szCs w:val="18"/>
          <w:lang w:val="en-GB"/>
        </w:rPr>
        <w:fldChar w:fldCharType="end"/>
      </w:r>
      <w:r w:rsidRPr="00E20701">
        <w:rPr>
          <w:szCs w:val="18"/>
          <w:lang w:val="en-GB" w:eastAsia="bg-BG"/>
        </w:rPr>
        <w:t>, Art.21, paragraph 2, p.6:</w:t>
      </w:r>
    </w:p>
    <w:p w:rsidR="00B73858" w:rsidRPr="00E20701" w:rsidRDefault="00B73858" w:rsidP="00B73858">
      <w:pPr>
        <w:autoSpaceDE w:val="0"/>
        <w:autoSpaceDN w:val="0"/>
        <w:adjustRightInd w:val="0"/>
        <w:ind w:left="708"/>
        <w:rPr>
          <w:rFonts w:cs="Times-Roman"/>
          <w:szCs w:val="18"/>
          <w:lang w:val="en-GB" w:eastAsia="bg-BG"/>
        </w:rPr>
      </w:pPr>
      <w:r w:rsidRPr="00E20701">
        <w:rPr>
          <w:rFonts w:cs="Times-Roman"/>
          <w:szCs w:val="18"/>
          <w:lang w:val="en-GB" w:eastAsia="bg-BG"/>
        </w:rPr>
        <w:t>1. all modes of operation, all postulated initiating events, including internal fire and flooding, severe weather conditions and seismic events;</w:t>
      </w:r>
    </w:p>
    <w:p w:rsidR="00B73858" w:rsidRPr="00E20701" w:rsidRDefault="00B73858" w:rsidP="00B73858">
      <w:pPr>
        <w:autoSpaceDE w:val="0"/>
        <w:autoSpaceDN w:val="0"/>
        <w:adjustRightInd w:val="0"/>
        <w:ind w:left="708"/>
        <w:rPr>
          <w:rFonts w:cs="Times-Roman"/>
          <w:szCs w:val="18"/>
          <w:lang w:val="en-GB" w:eastAsia="bg-BG"/>
        </w:rPr>
      </w:pPr>
      <w:r w:rsidRPr="00E20701">
        <w:rPr>
          <w:rFonts w:cs="Times-Roman"/>
          <w:szCs w:val="18"/>
          <w:lang w:val="en-GB" w:eastAsia="bg-BG"/>
        </w:rPr>
        <w:t>2. all possible important dependencies (functional dependencies, area dependencies and other interactions and impacts, leading to common cause failures);</w:t>
      </w:r>
    </w:p>
    <w:p w:rsidR="00B73858" w:rsidRPr="00E20701" w:rsidRDefault="00B73858" w:rsidP="00B73858">
      <w:pPr>
        <w:autoSpaceDE w:val="0"/>
        <w:autoSpaceDN w:val="0"/>
        <w:adjustRightInd w:val="0"/>
        <w:ind w:left="708"/>
        <w:rPr>
          <w:rFonts w:cs="Times-Roman"/>
          <w:szCs w:val="18"/>
          <w:lang w:val="en-GB" w:eastAsia="bg-BG"/>
        </w:rPr>
      </w:pPr>
      <w:r w:rsidRPr="00E20701">
        <w:rPr>
          <w:rFonts w:cs="Times-Roman"/>
          <w:szCs w:val="18"/>
          <w:lang w:val="en-GB" w:eastAsia="bg-BG"/>
        </w:rPr>
        <w:t>3. uncertainty analysis or sensitivity analysis of the results;</w:t>
      </w:r>
    </w:p>
    <w:p w:rsidR="00B73858" w:rsidRPr="00E20701" w:rsidRDefault="00B73858" w:rsidP="00B73858">
      <w:pPr>
        <w:autoSpaceDE w:val="0"/>
        <w:autoSpaceDN w:val="0"/>
        <w:adjustRightInd w:val="0"/>
        <w:ind w:left="708"/>
        <w:rPr>
          <w:rFonts w:cs="Times-Roman"/>
          <w:szCs w:val="18"/>
          <w:lang w:val="en-GB" w:eastAsia="bg-BG"/>
        </w:rPr>
      </w:pPr>
      <w:r w:rsidRPr="00E20701">
        <w:rPr>
          <w:rFonts w:cs="Times-Roman"/>
          <w:szCs w:val="18"/>
          <w:lang w:val="en-GB" w:eastAsia="bg-BG"/>
        </w:rPr>
        <w:t>4. realistic modelling of plant response, taking into account operator actions in accordance with operational and accident instructions;</w:t>
      </w:r>
    </w:p>
    <w:p w:rsidR="00B73858" w:rsidRPr="00E20701" w:rsidRDefault="00B73858" w:rsidP="00B73858">
      <w:pPr>
        <w:autoSpaceDE w:val="0"/>
        <w:autoSpaceDN w:val="0"/>
        <w:adjustRightInd w:val="0"/>
        <w:ind w:left="708"/>
        <w:rPr>
          <w:rFonts w:cs="Times-Roman"/>
          <w:szCs w:val="18"/>
          <w:lang w:val="en-GB" w:eastAsia="bg-BG"/>
        </w:rPr>
      </w:pPr>
      <w:r w:rsidRPr="00E20701">
        <w:rPr>
          <w:rFonts w:cs="Times-Roman"/>
          <w:szCs w:val="18"/>
          <w:lang w:val="en-GB" w:eastAsia="bg-BG"/>
        </w:rPr>
        <w:t>5. human error analyses, taking into account the factors which can influence the performance of operating personnel in all operational states and accident conditions.</w:t>
      </w:r>
    </w:p>
    <w:p w:rsidR="00B73858" w:rsidRPr="00E20701" w:rsidRDefault="00B73858" w:rsidP="00B73858">
      <w:pPr>
        <w:rPr>
          <w:szCs w:val="18"/>
          <w:lang w:val="en-GB"/>
        </w:rPr>
      </w:pPr>
      <w:r w:rsidRPr="00E20701">
        <w:rPr>
          <w:rFonts w:cs="Times-Bold"/>
          <w:bCs/>
          <w:szCs w:val="18"/>
          <w:lang w:val="en-GB" w:eastAsia="bg-BG"/>
        </w:rPr>
        <w:t>Also, the safety guide “</w:t>
      </w:r>
      <w:r w:rsidRPr="00E20701">
        <w:rPr>
          <w:szCs w:val="18"/>
          <w:lang w:val="en-GB"/>
        </w:rPr>
        <w:t xml:space="preserve">Probabilistic </w:t>
      </w:r>
      <w:r w:rsidR="00115286">
        <w:rPr>
          <w:szCs w:val="18"/>
          <w:lang w:val="en-GB"/>
        </w:rPr>
        <w:t>S</w:t>
      </w:r>
      <w:r w:rsidRPr="00E20701">
        <w:rPr>
          <w:szCs w:val="18"/>
          <w:lang w:val="en-GB"/>
        </w:rPr>
        <w:t xml:space="preserve">afety Analysis of Nuclear Power Plants” </w:t>
      </w:r>
      <w:r w:rsidR="009E43CB">
        <w:rPr>
          <w:szCs w:val="18"/>
          <w:lang w:val="en-GB"/>
        </w:rPr>
        <w:fldChar w:fldCharType="begin"/>
      </w:r>
      <w:r w:rsidR="009E43CB">
        <w:rPr>
          <w:szCs w:val="18"/>
          <w:lang w:val="en-GB"/>
        </w:rPr>
        <w:instrText xml:space="preserve"> REF _Ref418680476 \w \h </w:instrText>
      </w:r>
      <w:r w:rsidR="009E43CB">
        <w:rPr>
          <w:szCs w:val="18"/>
          <w:lang w:val="en-GB"/>
        </w:rPr>
      </w:r>
      <w:r w:rsidR="009E43CB">
        <w:rPr>
          <w:szCs w:val="18"/>
          <w:lang w:val="en-GB"/>
        </w:rPr>
        <w:fldChar w:fldCharType="separate"/>
      </w:r>
      <w:r w:rsidR="00E62976">
        <w:rPr>
          <w:szCs w:val="18"/>
          <w:lang w:val="en-GB"/>
        </w:rPr>
        <w:t>[70]</w:t>
      </w:r>
      <w:r w:rsidR="009E43CB">
        <w:rPr>
          <w:szCs w:val="18"/>
          <w:lang w:val="en-GB"/>
        </w:rPr>
        <w:fldChar w:fldCharType="end"/>
      </w:r>
      <w:r w:rsidRPr="00E20701">
        <w:rPr>
          <w:szCs w:val="18"/>
          <w:lang w:val="en-GB"/>
        </w:rPr>
        <w:t xml:space="preserve"> </w:t>
      </w:r>
      <w:r w:rsidRPr="00E20701">
        <w:rPr>
          <w:rFonts w:cs="Times-Bold"/>
          <w:bCs/>
          <w:szCs w:val="18"/>
          <w:lang w:val="en-GB" w:eastAsia="bg-BG"/>
        </w:rPr>
        <w:t xml:space="preserve">contains additional guidelines for enforcement of the regulation and </w:t>
      </w:r>
      <w:r w:rsidRPr="00E20701">
        <w:rPr>
          <w:szCs w:val="18"/>
          <w:lang w:val="en-GB"/>
        </w:rPr>
        <w:t xml:space="preserve">interpretation the requirements established by the regulation. This guide has a recommendatory nature.  In respect to the identification of initiating events, the guide defines in the section 2.53, p.13 that the exhaustive list of potential internal events is defined by the active participation of the staff of the plant. In order to ensure (as much as possible) greater completeness of the list of potential initiating events, the following methods are used: </w:t>
      </w:r>
      <w:r w:rsidRPr="00E20701">
        <w:rPr>
          <w:rFonts w:cs="ArialMT"/>
          <w:szCs w:val="18"/>
          <w:lang w:val="en-GB" w:eastAsia="bg-BG"/>
        </w:rPr>
        <w:t>system analysis; use of analytical methods – “Master Logic Diagram”, Failure Modes and Effects Analysis (FMEA), or other relevant analytical methods; evaluation of the operational experience; evaluation of internationally recognized and available lists of initiating events for similar types of plant.</w:t>
      </w:r>
    </w:p>
    <w:p w:rsidR="00B73858" w:rsidRPr="00E20701" w:rsidRDefault="00B73858" w:rsidP="00B73858">
      <w:pPr>
        <w:autoSpaceDE w:val="0"/>
        <w:autoSpaceDN w:val="0"/>
        <w:adjustRightInd w:val="0"/>
        <w:rPr>
          <w:rFonts w:cs="ArialMT"/>
          <w:szCs w:val="18"/>
          <w:lang w:val="en-GB" w:eastAsia="bg-BG"/>
        </w:rPr>
      </w:pPr>
      <w:r w:rsidRPr="00E20701">
        <w:rPr>
          <w:rFonts w:cs="ArialMT"/>
          <w:szCs w:val="18"/>
          <w:lang w:val="en-GB" w:eastAsia="bg-BG"/>
        </w:rPr>
        <w:t>Furthermore, the guide gives additional guidelines for grouping and screening of Initiating events</w:t>
      </w:r>
      <w:r w:rsidR="00FA3BDC" w:rsidRPr="00E20701">
        <w:rPr>
          <w:rFonts w:cs="ArialMT"/>
          <w:szCs w:val="18"/>
          <w:lang w:val="en-GB" w:eastAsia="bg-BG"/>
        </w:rPr>
        <w:t xml:space="preserve"> </w:t>
      </w:r>
      <w:r w:rsidR="00AC4FAA">
        <w:rPr>
          <w:szCs w:val="18"/>
          <w:lang w:val="en-GB"/>
        </w:rPr>
        <w:fldChar w:fldCharType="begin"/>
      </w:r>
      <w:r w:rsidR="00AC4FAA">
        <w:rPr>
          <w:szCs w:val="18"/>
          <w:lang w:val="en-GB"/>
        </w:rPr>
        <w:instrText xml:space="preserve"> REF _Ref418680476 \w \h </w:instrText>
      </w:r>
      <w:r w:rsidR="00AC4FAA">
        <w:rPr>
          <w:szCs w:val="18"/>
          <w:lang w:val="en-GB"/>
        </w:rPr>
      </w:r>
      <w:r w:rsidR="00AC4FAA">
        <w:rPr>
          <w:szCs w:val="18"/>
          <w:lang w:val="en-GB"/>
        </w:rPr>
        <w:fldChar w:fldCharType="separate"/>
      </w:r>
      <w:r w:rsidR="00E62976">
        <w:rPr>
          <w:szCs w:val="18"/>
          <w:lang w:val="en-GB"/>
        </w:rPr>
        <w:t>[70]</w:t>
      </w:r>
      <w:r w:rsidR="00AC4FAA">
        <w:rPr>
          <w:szCs w:val="18"/>
          <w:lang w:val="en-GB"/>
        </w:rPr>
        <w:fldChar w:fldCharType="end"/>
      </w:r>
      <w:r w:rsidRPr="00E20701">
        <w:rPr>
          <w:rFonts w:cs="ArialMT"/>
          <w:szCs w:val="18"/>
          <w:lang w:val="en-GB" w:eastAsia="bg-BG"/>
        </w:rPr>
        <w:t>. During the grouping, the developer shall ensure that [section 2.59, p. 14]: all initiating events belonging to the same group have similar direct consequences and mitigation requirements in terms of plant response and success criteria for prevention of core or fuel damage; those initiating events that have the potential for a large radionuclide release (e.g., steam generator tube rupture, catastrophic rupture of the reactor pressure vessel and etc.) shall be modelled independently in separate groups; the mitigation requirements for each individual event in the group are less restrictive than the requirements defined for the group.</w:t>
      </w:r>
    </w:p>
    <w:p w:rsidR="00B73858" w:rsidRPr="00E20701" w:rsidRDefault="00B73858" w:rsidP="00B73858">
      <w:pPr>
        <w:autoSpaceDE w:val="0"/>
        <w:autoSpaceDN w:val="0"/>
        <w:adjustRightInd w:val="0"/>
        <w:rPr>
          <w:rFonts w:cs="Times-Roman"/>
          <w:szCs w:val="18"/>
          <w:lang w:val="en-GB" w:eastAsia="bg-BG"/>
        </w:rPr>
      </w:pPr>
      <w:r w:rsidRPr="00E20701">
        <w:rPr>
          <w:szCs w:val="18"/>
          <w:lang w:val="en-GB"/>
        </w:rPr>
        <w:t xml:space="preserve">Regarding to the screening of internal hazards, the guide states that, the events (such as </w:t>
      </w:r>
      <w:r w:rsidRPr="00E20701">
        <w:rPr>
          <w:rFonts w:cs="ArialMT"/>
          <w:szCs w:val="18"/>
          <w:lang w:val="en-GB" w:eastAsia="bg-BG"/>
        </w:rPr>
        <w:t>internal explosions; release of toxic gas and other events presented in the section 2.95, p</w:t>
      </w:r>
      <w:r w:rsidR="00FA3BDC" w:rsidRPr="00E20701">
        <w:rPr>
          <w:rFonts w:cs="ArialMT"/>
          <w:szCs w:val="18"/>
          <w:lang w:val="en-GB" w:eastAsia="bg-BG"/>
        </w:rPr>
        <w:t xml:space="preserve">. </w:t>
      </w:r>
      <w:r w:rsidRPr="00E20701">
        <w:rPr>
          <w:rFonts w:cs="ArialMT"/>
          <w:szCs w:val="18"/>
          <w:lang w:val="en-GB" w:eastAsia="bg-BG"/>
        </w:rPr>
        <w:t>18 from the guide) do not need to be included in the PSA model, when one of the following conditions is met</w:t>
      </w:r>
      <w:r w:rsidR="00FA3BDC" w:rsidRPr="00E20701">
        <w:rPr>
          <w:rFonts w:cs="ArialMT"/>
          <w:szCs w:val="18"/>
          <w:lang w:val="en-GB" w:eastAsia="bg-BG"/>
        </w:rPr>
        <w:t xml:space="preserve"> </w:t>
      </w:r>
      <w:r w:rsidR="00AC4FAA">
        <w:rPr>
          <w:szCs w:val="18"/>
          <w:lang w:val="en-GB"/>
        </w:rPr>
        <w:fldChar w:fldCharType="begin"/>
      </w:r>
      <w:r w:rsidR="00AC4FAA">
        <w:rPr>
          <w:szCs w:val="18"/>
          <w:lang w:val="en-GB"/>
        </w:rPr>
        <w:instrText xml:space="preserve"> REF _Ref418680476 \w \h </w:instrText>
      </w:r>
      <w:r w:rsidR="00AC4FAA">
        <w:rPr>
          <w:szCs w:val="18"/>
          <w:lang w:val="en-GB"/>
        </w:rPr>
      </w:r>
      <w:r w:rsidR="00AC4FAA">
        <w:rPr>
          <w:szCs w:val="18"/>
          <w:lang w:val="en-GB"/>
        </w:rPr>
        <w:fldChar w:fldCharType="separate"/>
      </w:r>
      <w:r w:rsidR="00E62976">
        <w:rPr>
          <w:szCs w:val="18"/>
          <w:lang w:val="en-GB"/>
        </w:rPr>
        <w:t>[70]</w:t>
      </w:r>
      <w:r w:rsidR="00AC4FAA">
        <w:rPr>
          <w:szCs w:val="18"/>
          <w:lang w:val="en-GB"/>
        </w:rPr>
        <w:fldChar w:fldCharType="end"/>
      </w:r>
      <w:r w:rsidRPr="00E20701">
        <w:rPr>
          <w:rFonts w:cs="ArialMT"/>
          <w:szCs w:val="18"/>
          <w:lang w:val="en-GB" w:eastAsia="bg-BG"/>
        </w:rPr>
        <w:t>:</w:t>
      </w:r>
      <w:r w:rsidRPr="00E20701">
        <w:rPr>
          <w:rFonts w:cs="Times-Roman"/>
          <w:szCs w:val="18"/>
          <w:lang w:val="en-GB" w:eastAsia="bg-BG"/>
        </w:rPr>
        <w:t xml:space="preserve"> </w:t>
      </w:r>
      <w:r w:rsidRPr="00E20701">
        <w:rPr>
          <w:rFonts w:cs="ArialMT"/>
          <w:szCs w:val="18"/>
          <w:lang w:val="en-GB" w:eastAsia="bg-BG"/>
        </w:rPr>
        <w:t xml:space="preserve">shall be demonstrated with qualitative arguments that the hazard has a negligible contribution to the </w:t>
      </w:r>
      <w:r w:rsidRPr="00E20701">
        <w:rPr>
          <w:rFonts w:cs="Arial-ItalicMT"/>
          <w:i/>
          <w:iCs/>
          <w:szCs w:val="18"/>
          <w:lang w:val="en-GB" w:eastAsia="bg-BG"/>
        </w:rPr>
        <w:t xml:space="preserve">CDF/FDF </w:t>
      </w:r>
      <w:r w:rsidRPr="00E20701">
        <w:rPr>
          <w:rFonts w:cs="ArialMT"/>
          <w:szCs w:val="18"/>
          <w:lang w:val="en-GB" w:eastAsia="bg-BG"/>
        </w:rPr>
        <w:t xml:space="preserve">(for example, if the impact on the plant does not lead to a demand of safety systems or the effects are already covered by events that have a significantly higher frequency of occurrence); a quantitative evaluation demonstrates that the contribution to the </w:t>
      </w:r>
      <w:r w:rsidRPr="00E20701">
        <w:rPr>
          <w:rFonts w:cs="Arial-ItalicMT"/>
          <w:i/>
          <w:iCs/>
          <w:szCs w:val="18"/>
          <w:lang w:val="en-GB" w:eastAsia="bg-BG"/>
        </w:rPr>
        <w:t xml:space="preserve">CDF/FDF </w:t>
      </w:r>
      <w:r w:rsidRPr="00E20701">
        <w:rPr>
          <w:rFonts w:cs="ArialMT"/>
          <w:szCs w:val="18"/>
          <w:lang w:val="en-GB" w:eastAsia="bg-BG"/>
        </w:rPr>
        <w:t>is less than 10</w:t>
      </w:r>
      <w:r w:rsidRPr="00E20701">
        <w:rPr>
          <w:rFonts w:cs="ArialMT"/>
          <w:szCs w:val="18"/>
          <w:vertAlign w:val="superscript"/>
          <w:lang w:val="en-GB" w:eastAsia="bg-BG"/>
        </w:rPr>
        <w:t>-9</w:t>
      </w:r>
      <w:r w:rsidRPr="00E20701">
        <w:rPr>
          <w:rFonts w:cs="ArialMT"/>
          <w:szCs w:val="18"/>
          <w:lang w:val="en-GB" w:eastAsia="bg-BG"/>
        </w:rPr>
        <w:t xml:space="preserve"> per year.</w:t>
      </w:r>
    </w:p>
    <w:p w:rsidR="00A93B29" w:rsidRPr="00E20701" w:rsidRDefault="00A93B29" w:rsidP="00C971D1">
      <w:pPr>
        <w:pStyle w:val="Titre3"/>
        <w:rPr>
          <w:lang w:val="en-GB"/>
        </w:rPr>
      </w:pPr>
      <w:bookmarkStart w:id="402" w:name="_Toc473303554"/>
      <w:r w:rsidRPr="00E20701">
        <w:rPr>
          <w:lang w:val="en-GB"/>
        </w:rPr>
        <w:t>Canada</w:t>
      </w:r>
      <w:bookmarkEnd w:id="402"/>
    </w:p>
    <w:p w:rsidR="00A93B29" w:rsidRPr="00C70893" w:rsidRDefault="00A93B29" w:rsidP="00A93B29">
      <w:pPr>
        <w:pStyle w:val="Default"/>
        <w:spacing w:line="348" w:lineRule="atLeast"/>
        <w:jc w:val="both"/>
        <w:rPr>
          <w:rFonts w:ascii="Trebuchet MS" w:hAnsi="Trebuchet MS"/>
          <w:color w:val="auto"/>
          <w:sz w:val="18"/>
          <w:szCs w:val="18"/>
          <w:lang w:val="en-GB"/>
        </w:rPr>
      </w:pPr>
      <w:r w:rsidRPr="00C70893">
        <w:rPr>
          <w:rFonts w:ascii="Trebuchet MS" w:hAnsi="Trebuchet MS"/>
          <w:color w:val="auto"/>
          <w:sz w:val="18"/>
          <w:szCs w:val="18"/>
          <w:lang w:val="en-GB"/>
        </w:rPr>
        <w:t xml:space="preserve">CNSC Regulatory Standard </w:t>
      </w:r>
      <w:r w:rsidRPr="00C70893">
        <w:rPr>
          <w:rFonts w:ascii="Trebuchet MS" w:hAnsi="Trebuchet MS"/>
          <w:i/>
          <w:iCs/>
          <w:color w:val="auto"/>
          <w:sz w:val="18"/>
          <w:szCs w:val="18"/>
          <w:lang w:val="en-GB"/>
        </w:rPr>
        <w:t>Probabilistic Safety Assessment (PSA) for Nuclear Power Plants</w:t>
      </w:r>
      <w:r w:rsidRPr="00C70893">
        <w:rPr>
          <w:rFonts w:ascii="Trebuchet MS" w:hAnsi="Trebuchet MS"/>
          <w:color w:val="auto"/>
          <w:sz w:val="18"/>
          <w:szCs w:val="18"/>
          <w:lang w:val="en-GB"/>
        </w:rPr>
        <w:t xml:space="preserve"> </w:t>
      </w:r>
      <w:r w:rsidR="00F63081">
        <w:rPr>
          <w:rFonts w:ascii="Trebuchet MS" w:hAnsi="Trebuchet MS"/>
          <w:color w:val="auto"/>
          <w:sz w:val="18"/>
          <w:szCs w:val="18"/>
          <w:lang w:val="en-GB"/>
        </w:rPr>
        <w:fldChar w:fldCharType="begin"/>
      </w:r>
      <w:r w:rsidR="00F63081">
        <w:rPr>
          <w:rFonts w:ascii="Trebuchet MS" w:hAnsi="Trebuchet MS"/>
          <w:color w:val="auto"/>
          <w:sz w:val="18"/>
          <w:szCs w:val="18"/>
          <w:lang w:val="en-GB"/>
        </w:rPr>
        <w:instrText xml:space="preserve"> REF _Ref406516185 \w \h </w:instrText>
      </w:r>
      <w:r w:rsidR="00F63081">
        <w:rPr>
          <w:rFonts w:ascii="Trebuchet MS" w:hAnsi="Trebuchet MS"/>
          <w:color w:val="auto"/>
          <w:sz w:val="18"/>
          <w:szCs w:val="18"/>
          <w:lang w:val="en-GB"/>
        </w:rPr>
      </w:r>
      <w:r w:rsidR="00F63081">
        <w:rPr>
          <w:rFonts w:ascii="Trebuchet MS" w:hAnsi="Trebuchet MS"/>
          <w:color w:val="auto"/>
          <w:sz w:val="18"/>
          <w:szCs w:val="18"/>
          <w:lang w:val="en-GB"/>
        </w:rPr>
        <w:fldChar w:fldCharType="separate"/>
      </w:r>
      <w:r w:rsidR="00E62976">
        <w:rPr>
          <w:rFonts w:ascii="Trebuchet MS" w:hAnsi="Trebuchet MS"/>
          <w:color w:val="auto"/>
          <w:sz w:val="18"/>
          <w:szCs w:val="18"/>
          <w:lang w:val="en-GB"/>
        </w:rPr>
        <w:t>[44]</w:t>
      </w:r>
      <w:r w:rsidR="00F63081">
        <w:rPr>
          <w:rFonts w:ascii="Trebuchet MS" w:hAnsi="Trebuchet MS"/>
          <w:color w:val="auto"/>
          <w:sz w:val="18"/>
          <w:szCs w:val="18"/>
          <w:lang w:val="en-GB"/>
        </w:rPr>
        <w:fldChar w:fldCharType="end"/>
      </w:r>
      <w:r w:rsidRPr="00C70893">
        <w:rPr>
          <w:rFonts w:ascii="Trebuchet MS" w:hAnsi="Trebuchet MS"/>
          <w:color w:val="auto"/>
          <w:sz w:val="18"/>
          <w:szCs w:val="18"/>
          <w:lang w:val="en-GB"/>
        </w:rPr>
        <w:t xml:space="preserve"> requires consideration of all internal and external hazards in the PSA. The set of events to be considered in safety analysis is identified using a systematic process and by taking into account </w:t>
      </w:r>
      <w:r w:rsidR="00F63081">
        <w:rPr>
          <w:rFonts w:ascii="Trebuchet MS" w:hAnsi="Trebuchet MS"/>
          <w:color w:val="auto"/>
          <w:sz w:val="18"/>
          <w:szCs w:val="18"/>
          <w:lang w:val="en-GB"/>
        </w:rPr>
        <w:fldChar w:fldCharType="begin"/>
      </w:r>
      <w:r w:rsidR="00F63081">
        <w:rPr>
          <w:rFonts w:ascii="Trebuchet MS" w:hAnsi="Trebuchet MS"/>
          <w:color w:val="auto"/>
          <w:sz w:val="18"/>
          <w:szCs w:val="18"/>
          <w:lang w:val="en-GB"/>
        </w:rPr>
        <w:instrText xml:space="preserve"> REF _Ref406516185 \w \h </w:instrText>
      </w:r>
      <w:r w:rsidR="00F63081">
        <w:rPr>
          <w:rFonts w:ascii="Trebuchet MS" w:hAnsi="Trebuchet MS"/>
          <w:color w:val="auto"/>
          <w:sz w:val="18"/>
          <w:szCs w:val="18"/>
          <w:lang w:val="en-GB"/>
        </w:rPr>
      </w:r>
      <w:r w:rsidR="00F63081">
        <w:rPr>
          <w:rFonts w:ascii="Trebuchet MS" w:hAnsi="Trebuchet MS"/>
          <w:color w:val="auto"/>
          <w:sz w:val="18"/>
          <w:szCs w:val="18"/>
          <w:lang w:val="en-GB"/>
        </w:rPr>
        <w:fldChar w:fldCharType="separate"/>
      </w:r>
      <w:r w:rsidR="00E62976">
        <w:rPr>
          <w:rFonts w:ascii="Trebuchet MS" w:hAnsi="Trebuchet MS"/>
          <w:color w:val="auto"/>
          <w:sz w:val="18"/>
          <w:szCs w:val="18"/>
          <w:lang w:val="en-GB"/>
        </w:rPr>
        <w:t>[44]</w:t>
      </w:r>
      <w:r w:rsidR="00F63081">
        <w:rPr>
          <w:rFonts w:ascii="Trebuchet MS" w:hAnsi="Trebuchet MS"/>
          <w:color w:val="auto"/>
          <w:sz w:val="18"/>
          <w:szCs w:val="18"/>
          <w:lang w:val="en-GB"/>
        </w:rPr>
        <w:fldChar w:fldCharType="end"/>
      </w:r>
      <w:r w:rsidRPr="00C70893">
        <w:rPr>
          <w:rFonts w:ascii="Trebuchet MS" w:hAnsi="Trebuchet MS"/>
          <w:color w:val="auto"/>
          <w:sz w:val="18"/>
          <w:szCs w:val="18"/>
          <w:lang w:val="en-GB"/>
        </w:rPr>
        <w:t>:</w:t>
      </w:r>
    </w:p>
    <w:p w:rsidR="00A93B29" w:rsidRPr="00C70893" w:rsidRDefault="00A93B29" w:rsidP="00E62976">
      <w:pPr>
        <w:pStyle w:val="Default"/>
        <w:numPr>
          <w:ilvl w:val="1"/>
          <w:numId w:val="20"/>
        </w:numPr>
        <w:spacing w:line="348" w:lineRule="atLeast"/>
        <w:jc w:val="both"/>
        <w:rPr>
          <w:rFonts w:ascii="Trebuchet MS" w:hAnsi="Trebuchet MS"/>
          <w:color w:val="auto"/>
          <w:sz w:val="18"/>
          <w:szCs w:val="18"/>
          <w:lang w:val="en-GB"/>
        </w:rPr>
      </w:pPr>
      <w:r w:rsidRPr="00C70893">
        <w:rPr>
          <w:rFonts w:ascii="Trebuchet MS" w:hAnsi="Trebuchet MS"/>
          <w:color w:val="auto"/>
          <w:sz w:val="18"/>
          <w:szCs w:val="18"/>
          <w:lang w:val="en-GB"/>
        </w:rPr>
        <w:t>reviews of the plant design using methods as Hazard and Operability Analysis, Failure Mode and Effects Analysis, and Master Logic Diagrams</w:t>
      </w:r>
      <w:r w:rsidR="00F63081">
        <w:rPr>
          <w:rFonts w:ascii="Trebuchet MS" w:hAnsi="Trebuchet MS"/>
          <w:color w:val="auto"/>
          <w:sz w:val="18"/>
          <w:szCs w:val="18"/>
          <w:lang w:val="en-GB"/>
        </w:rPr>
        <w:t>,</w:t>
      </w:r>
    </w:p>
    <w:p w:rsidR="00A93B29" w:rsidRPr="00C70893" w:rsidRDefault="00A93B29" w:rsidP="00E62976">
      <w:pPr>
        <w:pStyle w:val="Default"/>
        <w:numPr>
          <w:ilvl w:val="1"/>
          <w:numId w:val="20"/>
        </w:numPr>
        <w:spacing w:line="348" w:lineRule="atLeast"/>
        <w:jc w:val="both"/>
        <w:rPr>
          <w:rFonts w:ascii="Trebuchet MS" w:hAnsi="Trebuchet MS"/>
          <w:color w:val="auto"/>
          <w:sz w:val="18"/>
          <w:szCs w:val="18"/>
          <w:lang w:val="en-GB"/>
        </w:rPr>
      </w:pPr>
      <w:r w:rsidRPr="00C70893">
        <w:rPr>
          <w:rFonts w:ascii="Trebuchet MS" w:hAnsi="Trebuchet MS"/>
          <w:color w:val="auto"/>
          <w:sz w:val="18"/>
          <w:szCs w:val="18"/>
          <w:lang w:val="en-GB"/>
        </w:rPr>
        <w:t>lists of events developed for safety analysis of other NPPs, as applicable</w:t>
      </w:r>
      <w:r w:rsidR="00F63081">
        <w:rPr>
          <w:rFonts w:ascii="Trebuchet MS" w:hAnsi="Trebuchet MS"/>
          <w:color w:val="auto"/>
          <w:sz w:val="18"/>
          <w:szCs w:val="18"/>
          <w:lang w:val="en-GB"/>
        </w:rPr>
        <w:t>,</w:t>
      </w:r>
    </w:p>
    <w:p w:rsidR="00A93B29" w:rsidRPr="00C70893" w:rsidRDefault="00A93B29" w:rsidP="00E62976">
      <w:pPr>
        <w:pStyle w:val="Default"/>
        <w:numPr>
          <w:ilvl w:val="1"/>
          <w:numId w:val="20"/>
        </w:numPr>
        <w:spacing w:line="348" w:lineRule="atLeast"/>
        <w:jc w:val="both"/>
        <w:rPr>
          <w:rFonts w:ascii="Trebuchet MS" w:hAnsi="Trebuchet MS"/>
          <w:color w:val="auto"/>
          <w:sz w:val="18"/>
          <w:szCs w:val="18"/>
          <w:lang w:val="en-GB"/>
        </w:rPr>
      </w:pPr>
      <w:r w:rsidRPr="00C70893">
        <w:rPr>
          <w:rFonts w:ascii="Trebuchet MS" w:hAnsi="Trebuchet MS"/>
          <w:color w:val="auto"/>
          <w:sz w:val="18"/>
          <w:szCs w:val="18"/>
          <w:lang w:val="en-GB"/>
        </w:rPr>
        <w:t>analysis of operating experience data for similar plants</w:t>
      </w:r>
      <w:r w:rsidR="00F63081">
        <w:rPr>
          <w:rFonts w:ascii="Trebuchet MS" w:hAnsi="Trebuchet MS"/>
          <w:color w:val="auto"/>
          <w:sz w:val="18"/>
          <w:szCs w:val="18"/>
          <w:lang w:val="en-GB"/>
        </w:rPr>
        <w:t>,</w:t>
      </w:r>
    </w:p>
    <w:p w:rsidR="00A93B29" w:rsidRPr="00C70893" w:rsidRDefault="00A93B29" w:rsidP="00E62976">
      <w:pPr>
        <w:pStyle w:val="Default"/>
        <w:numPr>
          <w:ilvl w:val="1"/>
          <w:numId w:val="20"/>
        </w:numPr>
        <w:spacing w:line="348" w:lineRule="atLeast"/>
        <w:jc w:val="both"/>
        <w:rPr>
          <w:rFonts w:ascii="Trebuchet MS" w:hAnsi="Trebuchet MS"/>
          <w:color w:val="auto"/>
          <w:sz w:val="18"/>
          <w:szCs w:val="18"/>
          <w:lang w:val="en-GB"/>
        </w:rPr>
      </w:pPr>
      <w:r w:rsidRPr="00C70893">
        <w:rPr>
          <w:rFonts w:ascii="Trebuchet MS" w:hAnsi="Trebuchet MS"/>
          <w:color w:val="auto"/>
          <w:sz w:val="18"/>
          <w:szCs w:val="18"/>
          <w:lang w:val="en-GB"/>
        </w:rPr>
        <w:t>any events prescribed for inclusion in safety analysis by regulatory requirements</w:t>
      </w:r>
      <w:r w:rsidR="00F63081">
        <w:rPr>
          <w:rFonts w:ascii="Trebuchet MS" w:hAnsi="Trebuchet MS"/>
          <w:color w:val="auto"/>
          <w:sz w:val="18"/>
          <w:szCs w:val="18"/>
          <w:lang w:val="en-GB"/>
        </w:rPr>
        <w:t>,</w:t>
      </w:r>
    </w:p>
    <w:p w:rsidR="00A93B29" w:rsidRPr="00C70893" w:rsidRDefault="00A93B29" w:rsidP="00E62976">
      <w:pPr>
        <w:pStyle w:val="Default"/>
        <w:numPr>
          <w:ilvl w:val="1"/>
          <w:numId w:val="20"/>
        </w:numPr>
        <w:spacing w:line="348" w:lineRule="atLeast"/>
        <w:jc w:val="both"/>
        <w:rPr>
          <w:rFonts w:ascii="Trebuchet MS" w:hAnsi="Trebuchet MS"/>
          <w:color w:val="auto"/>
          <w:sz w:val="18"/>
          <w:szCs w:val="18"/>
          <w:lang w:val="en-GB"/>
        </w:rPr>
      </w:pPr>
      <w:r w:rsidRPr="00C70893">
        <w:rPr>
          <w:rFonts w:ascii="Trebuchet MS" w:hAnsi="Trebuchet MS"/>
          <w:color w:val="auto"/>
          <w:sz w:val="18"/>
          <w:szCs w:val="18"/>
          <w:lang w:val="en-GB"/>
        </w:rPr>
        <w:t>equipment failures, human errors and common-cause events identified iteratively with PSA</w:t>
      </w:r>
      <w:r w:rsidR="00F63081">
        <w:rPr>
          <w:rFonts w:ascii="Trebuchet MS" w:hAnsi="Trebuchet MS"/>
          <w:color w:val="auto"/>
          <w:sz w:val="18"/>
          <w:szCs w:val="18"/>
          <w:lang w:val="en-GB"/>
        </w:rPr>
        <w:t>.</w:t>
      </w:r>
    </w:p>
    <w:p w:rsidR="00A93B29" w:rsidRPr="00C70893" w:rsidRDefault="00A93B29" w:rsidP="00A93B29">
      <w:pPr>
        <w:pStyle w:val="Default"/>
        <w:spacing w:line="348" w:lineRule="atLeast"/>
        <w:jc w:val="both"/>
        <w:rPr>
          <w:rFonts w:ascii="Trebuchet MS" w:hAnsi="Trebuchet MS"/>
          <w:color w:val="auto"/>
          <w:sz w:val="18"/>
          <w:szCs w:val="18"/>
          <w:lang w:val="en-GB"/>
        </w:rPr>
      </w:pPr>
      <w:r w:rsidRPr="00C70893">
        <w:rPr>
          <w:rFonts w:ascii="Trebuchet MS" w:hAnsi="Trebuchet MS"/>
          <w:color w:val="auto"/>
          <w:sz w:val="18"/>
          <w:szCs w:val="18"/>
          <w:lang w:val="en-GB"/>
        </w:rPr>
        <w:t xml:space="preserve">All permissible plant operating modes should be </w:t>
      </w:r>
      <w:r w:rsidRPr="00E20701">
        <w:rPr>
          <w:rFonts w:ascii="Trebuchet MS" w:hAnsi="Trebuchet MS"/>
          <w:color w:val="auto"/>
          <w:sz w:val="18"/>
          <w:szCs w:val="18"/>
          <w:lang w:val="en-GB"/>
        </w:rPr>
        <w:t>analysed</w:t>
      </w:r>
      <w:r w:rsidRPr="00C70893">
        <w:rPr>
          <w:rFonts w:ascii="Trebuchet MS" w:hAnsi="Trebuchet MS"/>
          <w:color w:val="auto"/>
          <w:sz w:val="18"/>
          <w:szCs w:val="18"/>
          <w:lang w:val="en-GB"/>
        </w:rPr>
        <w:t>. Modes that occur transiently can be addressed without a specific analysis, as long as it can be shown that the existing safety analyses bound the behaviour and consequences of those states.</w:t>
      </w:r>
    </w:p>
    <w:p w:rsidR="00A93B29" w:rsidRPr="00C70893" w:rsidRDefault="00A93B29" w:rsidP="00A93B29">
      <w:pPr>
        <w:pStyle w:val="Default"/>
        <w:spacing w:line="348" w:lineRule="atLeast"/>
        <w:jc w:val="both"/>
        <w:rPr>
          <w:rFonts w:ascii="Trebuchet MS" w:hAnsi="Trebuchet MS"/>
          <w:color w:val="auto"/>
          <w:sz w:val="18"/>
          <w:szCs w:val="18"/>
          <w:lang w:val="en-GB"/>
        </w:rPr>
      </w:pPr>
    </w:p>
    <w:p w:rsidR="00A93B29" w:rsidRPr="00C70893" w:rsidRDefault="00A93B29" w:rsidP="00A93B29">
      <w:pPr>
        <w:pStyle w:val="Default"/>
        <w:spacing w:line="348" w:lineRule="atLeast"/>
        <w:jc w:val="both"/>
        <w:rPr>
          <w:rFonts w:ascii="Trebuchet MS" w:hAnsi="Trebuchet MS"/>
          <w:color w:val="auto"/>
          <w:sz w:val="18"/>
          <w:szCs w:val="18"/>
          <w:lang w:val="en-GB"/>
        </w:rPr>
      </w:pPr>
      <w:r w:rsidRPr="00C70893">
        <w:rPr>
          <w:rFonts w:ascii="Trebuchet MS" w:hAnsi="Trebuchet MS"/>
          <w:color w:val="auto"/>
          <w:sz w:val="18"/>
          <w:szCs w:val="18"/>
          <w:lang w:val="en-GB"/>
        </w:rPr>
        <w:t>Postulated initiating events include credible failures or malfunctions of SSCs, as well as operator errors, common-cause internal hazards, and external hazards.</w:t>
      </w:r>
    </w:p>
    <w:p w:rsidR="00A93B29" w:rsidRPr="00E20701" w:rsidRDefault="00A93B29" w:rsidP="00A93B29">
      <w:pPr>
        <w:pStyle w:val="Default"/>
        <w:spacing w:line="348" w:lineRule="atLeast"/>
        <w:jc w:val="both"/>
        <w:rPr>
          <w:rFonts w:ascii="Trebuchet MS" w:hAnsi="Trebuchet MS"/>
          <w:color w:val="auto"/>
          <w:sz w:val="18"/>
          <w:szCs w:val="18"/>
          <w:lang w:val="en-GB"/>
        </w:rPr>
      </w:pPr>
      <w:r w:rsidRPr="00C70893">
        <w:rPr>
          <w:rFonts w:ascii="Trebuchet MS" w:hAnsi="Trebuchet MS"/>
          <w:color w:val="auto"/>
          <w:sz w:val="18"/>
          <w:szCs w:val="18"/>
          <w:lang w:val="en-GB"/>
        </w:rPr>
        <w:t>The set of external PIEs to be considered should include, where appropriate</w:t>
      </w:r>
      <w:r w:rsidRPr="00E20701">
        <w:rPr>
          <w:rFonts w:ascii="Trebuchet MS" w:hAnsi="Trebuchet MS"/>
          <w:color w:val="auto"/>
          <w:sz w:val="18"/>
          <w:szCs w:val="18"/>
          <w:lang w:val="en-GB"/>
        </w:rPr>
        <w:t xml:space="preserve"> </w:t>
      </w:r>
      <w:r w:rsidR="00F63081">
        <w:rPr>
          <w:rFonts w:ascii="Trebuchet MS" w:hAnsi="Trebuchet MS"/>
          <w:color w:val="auto"/>
          <w:sz w:val="18"/>
          <w:szCs w:val="18"/>
          <w:lang w:val="en-GB"/>
        </w:rPr>
        <w:fldChar w:fldCharType="begin"/>
      </w:r>
      <w:r w:rsidR="00F63081">
        <w:rPr>
          <w:rFonts w:ascii="Trebuchet MS" w:hAnsi="Trebuchet MS"/>
          <w:color w:val="auto"/>
          <w:sz w:val="18"/>
          <w:szCs w:val="18"/>
          <w:lang w:val="en-GB"/>
        </w:rPr>
        <w:instrText xml:space="preserve"> REF _Ref408825018 \w \h </w:instrText>
      </w:r>
      <w:r w:rsidR="00F63081">
        <w:rPr>
          <w:rFonts w:ascii="Trebuchet MS" w:hAnsi="Trebuchet MS"/>
          <w:color w:val="auto"/>
          <w:sz w:val="18"/>
          <w:szCs w:val="18"/>
          <w:lang w:val="en-GB"/>
        </w:rPr>
      </w:r>
      <w:r w:rsidR="00F63081">
        <w:rPr>
          <w:rFonts w:ascii="Trebuchet MS" w:hAnsi="Trebuchet MS"/>
          <w:color w:val="auto"/>
          <w:sz w:val="18"/>
          <w:szCs w:val="18"/>
          <w:lang w:val="en-GB"/>
        </w:rPr>
        <w:fldChar w:fldCharType="separate"/>
      </w:r>
      <w:r w:rsidR="00E62976">
        <w:rPr>
          <w:rFonts w:ascii="Trebuchet MS" w:hAnsi="Trebuchet MS"/>
          <w:color w:val="auto"/>
          <w:sz w:val="18"/>
          <w:szCs w:val="18"/>
          <w:lang w:val="en-GB"/>
        </w:rPr>
        <w:t>[50]</w:t>
      </w:r>
      <w:r w:rsidR="00F63081">
        <w:rPr>
          <w:rFonts w:ascii="Trebuchet MS" w:hAnsi="Trebuchet MS"/>
          <w:color w:val="auto"/>
          <w:sz w:val="18"/>
          <w:szCs w:val="18"/>
          <w:lang w:val="en-GB"/>
        </w:rPr>
        <w:fldChar w:fldCharType="end"/>
      </w:r>
      <w:r w:rsidRPr="00E20701">
        <w:rPr>
          <w:rFonts w:ascii="Trebuchet MS" w:hAnsi="Trebuchet MS"/>
          <w:color w:val="auto"/>
          <w:sz w:val="18"/>
          <w:szCs w:val="18"/>
          <w:lang w:val="en-GB"/>
        </w:rPr>
        <w:t>:</w:t>
      </w:r>
    </w:p>
    <w:p w:rsidR="00A93B29" w:rsidRPr="00C70893" w:rsidRDefault="00A93B29" w:rsidP="00E62976">
      <w:pPr>
        <w:pStyle w:val="Default"/>
        <w:numPr>
          <w:ilvl w:val="0"/>
          <w:numId w:val="22"/>
        </w:numPr>
        <w:spacing w:line="348" w:lineRule="atLeast"/>
        <w:jc w:val="both"/>
        <w:rPr>
          <w:rFonts w:ascii="Trebuchet MS" w:hAnsi="Trebuchet MS"/>
          <w:color w:val="auto"/>
          <w:sz w:val="18"/>
          <w:szCs w:val="18"/>
          <w:lang w:val="en-GB"/>
        </w:rPr>
      </w:pPr>
      <w:r w:rsidRPr="00E20701">
        <w:rPr>
          <w:rFonts w:ascii="Trebuchet MS" w:hAnsi="Trebuchet MS"/>
          <w:color w:val="auto"/>
          <w:sz w:val="18"/>
          <w:szCs w:val="18"/>
          <w:lang w:val="en-GB"/>
        </w:rPr>
        <w:t>fires, floods, earthquakes, volcanism,</w:t>
      </w:r>
    </w:p>
    <w:p w:rsidR="00A93B29" w:rsidRPr="00E20701" w:rsidRDefault="00A93B29" w:rsidP="00E62976">
      <w:pPr>
        <w:pStyle w:val="Default"/>
        <w:numPr>
          <w:ilvl w:val="0"/>
          <w:numId w:val="22"/>
        </w:numPr>
        <w:spacing w:line="348" w:lineRule="atLeast"/>
        <w:jc w:val="both"/>
        <w:rPr>
          <w:rFonts w:ascii="Trebuchet MS" w:hAnsi="Trebuchet MS"/>
          <w:color w:val="auto"/>
          <w:sz w:val="18"/>
          <w:szCs w:val="18"/>
          <w:lang w:val="en-GB"/>
        </w:rPr>
      </w:pPr>
      <w:r w:rsidRPr="00C70893">
        <w:rPr>
          <w:rFonts w:ascii="Trebuchet MS" w:hAnsi="Trebuchet MS"/>
          <w:color w:val="auto"/>
          <w:sz w:val="18"/>
          <w:szCs w:val="18"/>
          <w:lang w:val="en-GB"/>
        </w:rPr>
        <w:t>extreme winds and other extreme weather conditions</w:t>
      </w:r>
      <w:r w:rsidRPr="00E20701">
        <w:rPr>
          <w:rFonts w:ascii="Trebuchet MS" w:hAnsi="Trebuchet MS"/>
          <w:color w:val="auto"/>
          <w:sz w:val="18"/>
          <w:szCs w:val="18"/>
          <w:lang w:val="en-GB"/>
        </w:rPr>
        <w:t>,</w:t>
      </w:r>
    </w:p>
    <w:p w:rsidR="00A93B29" w:rsidRPr="00C70893" w:rsidRDefault="00A93B29" w:rsidP="00E62976">
      <w:pPr>
        <w:pStyle w:val="Default"/>
        <w:numPr>
          <w:ilvl w:val="0"/>
          <w:numId w:val="22"/>
        </w:numPr>
        <w:spacing w:line="348" w:lineRule="atLeast"/>
        <w:jc w:val="both"/>
        <w:rPr>
          <w:rFonts w:ascii="Trebuchet MS" w:hAnsi="Trebuchet MS"/>
          <w:color w:val="auto"/>
          <w:sz w:val="18"/>
          <w:szCs w:val="18"/>
          <w:lang w:val="en-GB"/>
        </w:rPr>
      </w:pPr>
      <w:r w:rsidRPr="00E20701">
        <w:rPr>
          <w:rFonts w:ascii="Trebuchet MS" w:hAnsi="Trebuchet MS"/>
          <w:color w:val="auto"/>
          <w:sz w:val="18"/>
          <w:szCs w:val="18"/>
          <w:lang w:val="en-GB"/>
        </w:rPr>
        <w:t>biological phenomena,</w:t>
      </w:r>
    </w:p>
    <w:p w:rsidR="00A93B29" w:rsidRPr="00C70893" w:rsidRDefault="00A93B29" w:rsidP="00E62976">
      <w:pPr>
        <w:pStyle w:val="Default"/>
        <w:numPr>
          <w:ilvl w:val="0"/>
          <w:numId w:val="22"/>
        </w:numPr>
        <w:spacing w:line="348" w:lineRule="atLeast"/>
        <w:jc w:val="both"/>
        <w:rPr>
          <w:rFonts w:ascii="Trebuchet MS" w:hAnsi="Trebuchet MS"/>
          <w:color w:val="auto"/>
          <w:sz w:val="18"/>
          <w:szCs w:val="18"/>
          <w:lang w:val="en-GB"/>
        </w:rPr>
      </w:pPr>
      <w:r w:rsidRPr="00C70893">
        <w:rPr>
          <w:rFonts w:ascii="Trebuchet MS" w:hAnsi="Trebuchet MS"/>
          <w:color w:val="auto"/>
          <w:sz w:val="18"/>
          <w:szCs w:val="18"/>
          <w:lang w:val="en-GB"/>
        </w:rPr>
        <w:t>human-induced events</w:t>
      </w:r>
      <w:r w:rsidRPr="00E20701">
        <w:rPr>
          <w:rFonts w:ascii="Trebuchet MS" w:hAnsi="Trebuchet MS"/>
          <w:color w:val="auto"/>
          <w:sz w:val="18"/>
          <w:szCs w:val="18"/>
          <w:lang w:val="en-GB"/>
        </w:rPr>
        <w:t>,</w:t>
      </w:r>
    </w:p>
    <w:p w:rsidR="00A93B29" w:rsidRPr="00C70893" w:rsidRDefault="00A93B29" w:rsidP="00E62976">
      <w:pPr>
        <w:pStyle w:val="Default"/>
        <w:numPr>
          <w:ilvl w:val="0"/>
          <w:numId w:val="22"/>
        </w:numPr>
        <w:spacing w:line="348" w:lineRule="atLeast"/>
        <w:jc w:val="both"/>
        <w:rPr>
          <w:rFonts w:ascii="Trebuchet MS" w:hAnsi="Trebuchet MS"/>
          <w:color w:val="auto"/>
          <w:sz w:val="18"/>
          <w:szCs w:val="18"/>
          <w:lang w:val="en-GB"/>
        </w:rPr>
      </w:pPr>
      <w:r w:rsidRPr="00C70893">
        <w:rPr>
          <w:rFonts w:ascii="Trebuchet MS" w:hAnsi="Trebuchet MS"/>
          <w:color w:val="auto"/>
          <w:sz w:val="18"/>
          <w:szCs w:val="18"/>
          <w:lang w:val="en-GB"/>
        </w:rPr>
        <w:t>toxic and asphyxiant gases and corrosive gases and liquids</w:t>
      </w:r>
      <w:r w:rsidRPr="00E20701">
        <w:rPr>
          <w:rFonts w:ascii="Trebuchet MS" w:hAnsi="Trebuchet MS"/>
          <w:color w:val="auto"/>
          <w:sz w:val="18"/>
          <w:szCs w:val="18"/>
          <w:lang w:val="en-GB"/>
        </w:rPr>
        <w:t>,</w:t>
      </w:r>
    </w:p>
    <w:p w:rsidR="00A93B29" w:rsidRPr="00E20701" w:rsidRDefault="00A93B29" w:rsidP="00E62976">
      <w:pPr>
        <w:pStyle w:val="Default"/>
        <w:numPr>
          <w:ilvl w:val="0"/>
          <w:numId w:val="22"/>
        </w:numPr>
        <w:spacing w:line="348" w:lineRule="atLeast"/>
        <w:jc w:val="both"/>
        <w:rPr>
          <w:rFonts w:ascii="Trebuchet MS" w:hAnsi="Trebuchet MS"/>
          <w:color w:val="auto"/>
          <w:sz w:val="18"/>
          <w:szCs w:val="18"/>
          <w:lang w:val="en-GB"/>
        </w:rPr>
      </w:pPr>
      <w:r w:rsidRPr="00C70893">
        <w:rPr>
          <w:rFonts w:ascii="Trebuchet MS" w:hAnsi="Trebuchet MS"/>
          <w:color w:val="auto"/>
          <w:sz w:val="18"/>
          <w:szCs w:val="18"/>
          <w:lang w:val="en-GB"/>
        </w:rPr>
        <w:t>electromagnetic interference</w:t>
      </w:r>
      <w:r w:rsidRPr="00E20701">
        <w:rPr>
          <w:rFonts w:ascii="Trebuchet MS" w:hAnsi="Trebuchet MS"/>
          <w:color w:val="auto"/>
          <w:sz w:val="18"/>
          <w:szCs w:val="18"/>
          <w:lang w:val="en-GB"/>
        </w:rPr>
        <w:t>,</w:t>
      </w:r>
    </w:p>
    <w:p w:rsidR="00A93B29" w:rsidRPr="00E20701" w:rsidRDefault="00A93B29" w:rsidP="00E62976">
      <w:pPr>
        <w:pStyle w:val="Default"/>
        <w:numPr>
          <w:ilvl w:val="0"/>
          <w:numId w:val="22"/>
        </w:numPr>
        <w:spacing w:line="348" w:lineRule="atLeast"/>
        <w:jc w:val="both"/>
        <w:rPr>
          <w:rFonts w:ascii="Trebuchet MS" w:hAnsi="Trebuchet MS"/>
          <w:color w:val="auto"/>
          <w:sz w:val="18"/>
          <w:szCs w:val="18"/>
          <w:lang w:val="en-GB"/>
        </w:rPr>
      </w:pPr>
      <w:r w:rsidRPr="00E20701">
        <w:rPr>
          <w:rFonts w:ascii="Trebuchet MS" w:hAnsi="Trebuchet MS"/>
          <w:color w:val="auto"/>
          <w:sz w:val="18"/>
          <w:szCs w:val="18"/>
          <w:lang w:val="en-GB"/>
        </w:rPr>
        <w:t>damage to water intakes,</w:t>
      </w:r>
    </w:p>
    <w:p w:rsidR="00A93B29" w:rsidRPr="00C70893" w:rsidRDefault="00A93B29" w:rsidP="00E62976">
      <w:pPr>
        <w:pStyle w:val="Default"/>
        <w:numPr>
          <w:ilvl w:val="0"/>
          <w:numId w:val="22"/>
        </w:numPr>
        <w:spacing w:line="348" w:lineRule="atLeast"/>
        <w:jc w:val="both"/>
        <w:rPr>
          <w:rFonts w:ascii="Trebuchet MS" w:hAnsi="Trebuchet MS"/>
          <w:color w:val="auto"/>
          <w:sz w:val="18"/>
          <w:szCs w:val="18"/>
          <w:lang w:val="en-GB"/>
        </w:rPr>
      </w:pPr>
      <w:r w:rsidRPr="00E20701">
        <w:rPr>
          <w:rFonts w:ascii="Trebuchet MS" w:hAnsi="Trebuchet MS"/>
          <w:color w:val="auto"/>
          <w:sz w:val="18"/>
          <w:szCs w:val="18"/>
          <w:lang w:val="en-GB"/>
        </w:rPr>
        <w:t>explosions at nearby industrial plants and parts of transport networks.</w:t>
      </w:r>
    </w:p>
    <w:p w:rsidR="00A93B29" w:rsidRPr="00C70893" w:rsidRDefault="00A93B29" w:rsidP="00A93B29">
      <w:pPr>
        <w:pStyle w:val="Default"/>
        <w:spacing w:line="348" w:lineRule="atLeast"/>
        <w:jc w:val="both"/>
        <w:rPr>
          <w:rFonts w:ascii="Trebuchet MS" w:hAnsi="Trebuchet MS"/>
          <w:color w:val="auto"/>
          <w:sz w:val="18"/>
          <w:szCs w:val="18"/>
          <w:lang w:val="en-GB"/>
        </w:rPr>
      </w:pPr>
    </w:p>
    <w:p w:rsidR="00A93B29" w:rsidRPr="00E20701" w:rsidRDefault="00A93B29" w:rsidP="00A93B29">
      <w:pPr>
        <w:pStyle w:val="Default"/>
        <w:spacing w:line="348" w:lineRule="atLeast"/>
        <w:jc w:val="both"/>
        <w:rPr>
          <w:rFonts w:ascii="Trebuchet MS" w:hAnsi="Trebuchet MS"/>
          <w:color w:val="auto"/>
          <w:sz w:val="18"/>
          <w:szCs w:val="18"/>
          <w:lang w:val="en-GB"/>
        </w:rPr>
      </w:pPr>
      <w:r w:rsidRPr="00C70893">
        <w:rPr>
          <w:rFonts w:ascii="Trebuchet MS" w:hAnsi="Trebuchet MS"/>
          <w:color w:val="auto"/>
          <w:sz w:val="18"/>
          <w:szCs w:val="18"/>
          <w:lang w:val="en-GB"/>
        </w:rPr>
        <w:t>Human-induced external events</w:t>
      </w:r>
      <w:r w:rsidRPr="00E20701">
        <w:rPr>
          <w:rFonts w:ascii="Trebuchet MS" w:hAnsi="Trebuchet MS"/>
          <w:color w:val="auto"/>
          <w:sz w:val="18"/>
          <w:szCs w:val="18"/>
          <w:lang w:val="en-GB"/>
        </w:rPr>
        <w:t>,</w:t>
      </w:r>
      <w:r w:rsidRPr="00C70893">
        <w:rPr>
          <w:rFonts w:ascii="Trebuchet MS" w:hAnsi="Trebuchet MS"/>
          <w:color w:val="auto"/>
          <w:sz w:val="18"/>
          <w:szCs w:val="18"/>
          <w:lang w:val="en-GB"/>
        </w:rPr>
        <w:t xml:space="preserve"> that are considered</w:t>
      </w:r>
      <w:r w:rsidRPr="00E20701">
        <w:rPr>
          <w:rFonts w:ascii="Trebuchet MS" w:hAnsi="Trebuchet MS"/>
          <w:color w:val="auto"/>
          <w:sz w:val="18"/>
          <w:szCs w:val="18"/>
          <w:lang w:val="en-GB"/>
        </w:rPr>
        <w:t>,</w:t>
      </w:r>
      <w:r w:rsidRPr="00C70893">
        <w:rPr>
          <w:rFonts w:ascii="Trebuchet MS" w:hAnsi="Trebuchet MS"/>
          <w:color w:val="auto"/>
          <w:sz w:val="18"/>
          <w:szCs w:val="18"/>
          <w:lang w:val="en-GB"/>
        </w:rPr>
        <w:t xml:space="preserve"> include</w:t>
      </w:r>
      <w:r w:rsidRPr="00E20701">
        <w:rPr>
          <w:rFonts w:ascii="Trebuchet MS" w:hAnsi="Trebuchet MS"/>
          <w:color w:val="auto"/>
          <w:sz w:val="18"/>
          <w:szCs w:val="18"/>
          <w:lang w:val="en-GB"/>
        </w:rPr>
        <w:t xml:space="preserve"> </w:t>
      </w:r>
      <w:r w:rsidR="00F63081">
        <w:rPr>
          <w:rFonts w:ascii="Trebuchet MS" w:hAnsi="Trebuchet MS"/>
          <w:color w:val="auto"/>
          <w:sz w:val="18"/>
          <w:szCs w:val="18"/>
          <w:lang w:val="en-GB"/>
        </w:rPr>
        <w:fldChar w:fldCharType="begin"/>
      </w:r>
      <w:r w:rsidR="00F63081">
        <w:rPr>
          <w:rFonts w:ascii="Trebuchet MS" w:hAnsi="Trebuchet MS"/>
          <w:color w:val="auto"/>
          <w:sz w:val="18"/>
          <w:szCs w:val="18"/>
          <w:lang w:val="en-GB"/>
        </w:rPr>
        <w:instrText xml:space="preserve"> REF _Ref408825081 \w \h </w:instrText>
      </w:r>
      <w:r w:rsidR="00F63081">
        <w:rPr>
          <w:rFonts w:ascii="Trebuchet MS" w:hAnsi="Trebuchet MS"/>
          <w:color w:val="auto"/>
          <w:sz w:val="18"/>
          <w:szCs w:val="18"/>
          <w:lang w:val="en-GB"/>
        </w:rPr>
      </w:r>
      <w:r w:rsidR="00F63081">
        <w:rPr>
          <w:rFonts w:ascii="Trebuchet MS" w:hAnsi="Trebuchet MS"/>
          <w:color w:val="auto"/>
          <w:sz w:val="18"/>
          <w:szCs w:val="18"/>
          <w:lang w:val="en-GB"/>
        </w:rPr>
        <w:fldChar w:fldCharType="separate"/>
      </w:r>
      <w:r w:rsidR="00E62976">
        <w:rPr>
          <w:rFonts w:ascii="Trebuchet MS" w:hAnsi="Trebuchet MS"/>
          <w:color w:val="auto"/>
          <w:sz w:val="18"/>
          <w:szCs w:val="18"/>
          <w:lang w:val="en-GB"/>
        </w:rPr>
        <w:t>[51]</w:t>
      </w:r>
      <w:r w:rsidR="00F63081">
        <w:rPr>
          <w:rFonts w:ascii="Trebuchet MS" w:hAnsi="Trebuchet MS"/>
          <w:color w:val="auto"/>
          <w:sz w:val="18"/>
          <w:szCs w:val="18"/>
          <w:lang w:val="en-GB"/>
        </w:rPr>
        <w:fldChar w:fldCharType="end"/>
      </w:r>
      <w:r w:rsidRPr="00E20701">
        <w:rPr>
          <w:rFonts w:ascii="Trebuchet MS" w:hAnsi="Trebuchet MS"/>
          <w:color w:val="auto"/>
          <w:sz w:val="18"/>
          <w:szCs w:val="18"/>
          <w:lang w:val="en-GB"/>
        </w:rPr>
        <w:t>:</w:t>
      </w:r>
    </w:p>
    <w:p w:rsidR="00A93B29" w:rsidRPr="00C70893" w:rsidRDefault="00A93B29" w:rsidP="00E62976">
      <w:pPr>
        <w:pStyle w:val="Default"/>
        <w:numPr>
          <w:ilvl w:val="0"/>
          <w:numId w:val="21"/>
        </w:numPr>
        <w:spacing w:line="348" w:lineRule="atLeast"/>
        <w:jc w:val="both"/>
        <w:rPr>
          <w:rFonts w:ascii="Trebuchet MS" w:hAnsi="Trebuchet MS"/>
          <w:color w:val="auto"/>
          <w:sz w:val="18"/>
          <w:szCs w:val="18"/>
          <w:lang w:val="en-GB"/>
        </w:rPr>
      </w:pPr>
      <w:r w:rsidRPr="00E20701">
        <w:rPr>
          <w:rFonts w:ascii="Trebuchet MS" w:hAnsi="Trebuchet MS"/>
          <w:color w:val="auto"/>
          <w:sz w:val="18"/>
          <w:szCs w:val="18"/>
          <w:lang w:val="en-GB"/>
        </w:rPr>
        <w:t>aircraft or missile impacts,</w:t>
      </w:r>
    </w:p>
    <w:p w:rsidR="00A93B29" w:rsidRPr="00C70893" w:rsidRDefault="00A93B29" w:rsidP="00E62976">
      <w:pPr>
        <w:pStyle w:val="Default"/>
        <w:numPr>
          <w:ilvl w:val="0"/>
          <w:numId w:val="21"/>
        </w:numPr>
        <w:spacing w:line="348" w:lineRule="atLeast"/>
        <w:jc w:val="both"/>
        <w:rPr>
          <w:rFonts w:ascii="Trebuchet MS" w:hAnsi="Trebuchet MS"/>
          <w:color w:val="auto"/>
          <w:sz w:val="18"/>
          <w:szCs w:val="18"/>
          <w:lang w:val="en-GB"/>
        </w:rPr>
      </w:pPr>
      <w:r w:rsidRPr="00C70893">
        <w:rPr>
          <w:rFonts w:ascii="Trebuchet MS" w:hAnsi="Trebuchet MS"/>
          <w:color w:val="auto"/>
          <w:sz w:val="18"/>
          <w:szCs w:val="18"/>
          <w:lang w:val="en-GB"/>
        </w:rPr>
        <w:t>explosions (deflagrations and detonations) at nearby industrial facilities or transportation systems</w:t>
      </w:r>
      <w:r w:rsidRPr="00E20701">
        <w:rPr>
          <w:rFonts w:ascii="Trebuchet MS" w:hAnsi="Trebuchet MS"/>
          <w:color w:val="auto"/>
          <w:sz w:val="18"/>
          <w:szCs w:val="18"/>
          <w:lang w:val="en-GB"/>
        </w:rPr>
        <w:t>,</w:t>
      </w:r>
    </w:p>
    <w:p w:rsidR="00A93B29" w:rsidRPr="00C70893" w:rsidRDefault="00A93B29" w:rsidP="00E62976">
      <w:pPr>
        <w:pStyle w:val="Default"/>
        <w:numPr>
          <w:ilvl w:val="0"/>
          <w:numId w:val="21"/>
        </w:numPr>
        <w:spacing w:line="348" w:lineRule="atLeast"/>
        <w:jc w:val="both"/>
        <w:rPr>
          <w:rFonts w:ascii="Trebuchet MS" w:hAnsi="Trebuchet MS"/>
          <w:color w:val="auto"/>
          <w:sz w:val="18"/>
          <w:szCs w:val="18"/>
          <w:lang w:val="en-GB"/>
        </w:rPr>
      </w:pPr>
      <w:r w:rsidRPr="00C70893">
        <w:rPr>
          <w:rFonts w:ascii="Trebuchet MS" w:hAnsi="Trebuchet MS"/>
          <w:color w:val="auto"/>
          <w:sz w:val="18"/>
          <w:szCs w:val="18"/>
          <w:lang w:val="en-GB"/>
        </w:rPr>
        <w:t>release of toxic or corrosive chemicals (gases and liquids) from nearby industrial facilities or transportation systems</w:t>
      </w:r>
      <w:r w:rsidRPr="00E20701">
        <w:rPr>
          <w:rFonts w:ascii="Trebuchet MS" w:hAnsi="Trebuchet MS"/>
          <w:color w:val="auto"/>
          <w:sz w:val="18"/>
          <w:szCs w:val="18"/>
          <w:lang w:val="en-GB"/>
        </w:rPr>
        <w:t>,</w:t>
      </w:r>
    </w:p>
    <w:p w:rsidR="00A93B29" w:rsidRPr="00C70893" w:rsidRDefault="00A93B29" w:rsidP="00E62976">
      <w:pPr>
        <w:pStyle w:val="Default"/>
        <w:numPr>
          <w:ilvl w:val="0"/>
          <w:numId w:val="21"/>
        </w:numPr>
        <w:spacing w:line="348" w:lineRule="atLeast"/>
        <w:jc w:val="both"/>
        <w:rPr>
          <w:rFonts w:ascii="Trebuchet MS" w:hAnsi="Trebuchet MS"/>
          <w:color w:val="auto"/>
          <w:sz w:val="18"/>
          <w:szCs w:val="18"/>
          <w:lang w:val="en-GB"/>
        </w:rPr>
      </w:pPr>
      <w:r w:rsidRPr="00C70893">
        <w:rPr>
          <w:rFonts w:ascii="Trebuchet MS" w:hAnsi="Trebuchet MS"/>
          <w:color w:val="auto"/>
          <w:sz w:val="18"/>
          <w:szCs w:val="18"/>
          <w:lang w:val="en-GB"/>
        </w:rPr>
        <w:t>electromagnetic interference</w:t>
      </w:r>
      <w:r w:rsidRPr="00E20701">
        <w:rPr>
          <w:rFonts w:ascii="Trebuchet MS" w:hAnsi="Trebuchet MS"/>
          <w:color w:val="auto"/>
          <w:sz w:val="18"/>
          <w:szCs w:val="18"/>
          <w:lang w:val="en-GB"/>
        </w:rPr>
        <w:t>,</w:t>
      </w:r>
    </w:p>
    <w:p w:rsidR="00A93B29" w:rsidRPr="00C70893" w:rsidRDefault="00A93B29" w:rsidP="00E62976">
      <w:pPr>
        <w:pStyle w:val="Default"/>
        <w:numPr>
          <w:ilvl w:val="0"/>
          <w:numId w:val="21"/>
        </w:numPr>
        <w:spacing w:line="348" w:lineRule="atLeast"/>
        <w:jc w:val="both"/>
        <w:rPr>
          <w:rFonts w:ascii="Trebuchet MS" w:hAnsi="Trebuchet MS"/>
          <w:color w:val="auto"/>
          <w:sz w:val="18"/>
          <w:szCs w:val="18"/>
          <w:lang w:val="en-GB"/>
        </w:rPr>
      </w:pPr>
      <w:r w:rsidRPr="00C70893">
        <w:rPr>
          <w:rFonts w:ascii="Trebuchet MS" w:hAnsi="Trebuchet MS"/>
          <w:color w:val="auto"/>
          <w:sz w:val="18"/>
          <w:szCs w:val="18"/>
          <w:lang w:val="en-GB"/>
        </w:rPr>
        <w:t>fire generated from offsite sources (mainly for its potential for generating smoke and toxic gases)</w:t>
      </w:r>
      <w:r w:rsidRPr="00E20701">
        <w:rPr>
          <w:rFonts w:ascii="Trebuchet MS" w:hAnsi="Trebuchet MS"/>
          <w:color w:val="auto"/>
          <w:sz w:val="18"/>
          <w:szCs w:val="18"/>
          <w:lang w:val="en-GB"/>
        </w:rPr>
        <w:t>,</w:t>
      </w:r>
    </w:p>
    <w:p w:rsidR="00A93B29" w:rsidRPr="00E20701" w:rsidRDefault="00A93B29" w:rsidP="00E62976">
      <w:pPr>
        <w:pStyle w:val="Paragraphedeliste"/>
        <w:numPr>
          <w:ilvl w:val="0"/>
          <w:numId w:val="21"/>
        </w:numPr>
        <w:spacing w:after="0" w:line="348" w:lineRule="atLeast"/>
        <w:jc w:val="both"/>
        <w:rPr>
          <w:rFonts w:ascii="Trebuchet MS" w:hAnsi="Trebuchet MS"/>
          <w:sz w:val="18"/>
          <w:szCs w:val="18"/>
        </w:rPr>
      </w:pPr>
      <w:r w:rsidRPr="00E20701">
        <w:rPr>
          <w:rFonts w:ascii="Trebuchet MS" w:hAnsi="Trebuchet MS"/>
          <w:sz w:val="18"/>
          <w:szCs w:val="18"/>
        </w:rPr>
        <w:t>collision of ships or floating debris with accessible safety-related structures, such as water intakes and UHS components collision of vehicles at the site with SSCs,</w:t>
      </w:r>
    </w:p>
    <w:p w:rsidR="00A93B29" w:rsidRPr="00E20701" w:rsidRDefault="00A93B29" w:rsidP="00E62976">
      <w:pPr>
        <w:pStyle w:val="Paragraphedeliste"/>
        <w:numPr>
          <w:ilvl w:val="0"/>
          <w:numId w:val="21"/>
        </w:numPr>
        <w:spacing w:after="0" w:line="348" w:lineRule="atLeast"/>
        <w:jc w:val="both"/>
        <w:rPr>
          <w:rFonts w:ascii="Trebuchet MS" w:hAnsi="Trebuchet MS"/>
          <w:sz w:val="18"/>
          <w:szCs w:val="18"/>
        </w:rPr>
      </w:pPr>
      <w:r w:rsidRPr="00E20701">
        <w:rPr>
          <w:rFonts w:ascii="Trebuchet MS" w:hAnsi="Trebuchet MS"/>
          <w:sz w:val="18"/>
          <w:szCs w:val="18"/>
        </w:rPr>
        <w:t>any combination of the above, as a result of a common initiating event (such as an explosion with fire and release of hazardous gases and smoke).</w:t>
      </w:r>
    </w:p>
    <w:p w:rsidR="00A93B29" w:rsidRPr="00C70893" w:rsidRDefault="00A93B29" w:rsidP="00A93B29">
      <w:pPr>
        <w:pStyle w:val="Default"/>
        <w:spacing w:line="348" w:lineRule="atLeast"/>
        <w:jc w:val="both"/>
        <w:rPr>
          <w:rFonts w:ascii="Trebuchet MS" w:hAnsi="Trebuchet MS"/>
          <w:color w:val="auto"/>
          <w:sz w:val="18"/>
          <w:szCs w:val="18"/>
          <w:lang w:val="en-GB"/>
        </w:rPr>
      </w:pPr>
      <w:r w:rsidRPr="00C70893">
        <w:rPr>
          <w:rFonts w:ascii="Trebuchet MS" w:hAnsi="Trebuchet MS"/>
          <w:color w:val="auto"/>
          <w:sz w:val="18"/>
          <w:szCs w:val="18"/>
          <w:lang w:val="en-GB"/>
        </w:rPr>
        <w:t>Malevolent acts including aircraft crashes are considered separately. Human induced hazards which are classified as DBA are taken into account as loads in the abnormal/extreme environmental load category. Less frequent human induced hazards are considered part of DEC.</w:t>
      </w:r>
    </w:p>
    <w:p w:rsidR="00A93B29" w:rsidRPr="00C70893" w:rsidRDefault="00A93B29" w:rsidP="00A93B29">
      <w:pPr>
        <w:pStyle w:val="Default"/>
        <w:spacing w:line="348" w:lineRule="atLeast"/>
        <w:jc w:val="both"/>
        <w:rPr>
          <w:rFonts w:ascii="Trebuchet MS" w:hAnsi="Trebuchet MS"/>
          <w:color w:val="auto"/>
          <w:sz w:val="18"/>
          <w:szCs w:val="18"/>
          <w:lang w:val="en-GB"/>
        </w:rPr>
      </w:pPr>
    </w:p>
    <w:p w:rsidR="00A93B29" w:rsidRPr="00C70893" w:rsidRDefault="00A93B29" w:rsidP="00A93B29">
      <w:pPr>
        <w:pStyle w:val="Default"/>
        <w:spacing w:line="348" w:lineRule="atLeast"/>
        <w:jc w:val="both"/>
        <w:rPr>
          <w:rFonts w:ascii="Trebuchet MS" w:hAnsi="Trebuchet MS"/>
          <w:b/>
          <w:color w:val="auto"/>
          <w:sz w:val="18"/>
          <w:szCs w:val="18"/>
          <w:u w:val="single"/>
          <w:lang w:val="en-GB"/>
        </w:rPr>
      </w:pPr>
      <w:r w:rsidRPr="00C70893">
        <w:rPr>
          <w:rFonts w:ascii="Trebuchet MS" w:hAnsi="Trebuchet MS"/>
          <w:b/>
          <w:color w:val="auto"/>
          <w:sz w:val="18"/>
          <w:szCs w:val="18"/>
          <w:u w:val="single"/>
          <w:lang w:val="en-GB"/>
        </w:rPr>
        <w:t>Selection</w:t>
      </w:r>
    </w:p>
    <w:p w:rsidR="00A93B29" w:rsidRPr="00C70893" w:rsidRDefault="00A93B29" w:rsidP="00A93B29">
      <w:pPr>
        <w:pStyle w:val="Default"/>
        <w:spacing w:line="348" w:lineRule="atLeast"/>
        <w:jc w:val="both"/>
        <w:rPr>
          <w:rFonts w:ascii="Trebuchet MS" w:hAnsi="Trebuchet MS"/>
          <w:color w:val="auto"/>
          <w:sz w:val="18"/>
          <w:szCs w:val="18"/>
          <w:lang w:val="en-GB"/>
        </w:rPr>
      </w:pPr>
      <w:r w:rsidRPr="00C70893">
        <w:rPr>
          <w:rFonts w:ascii="Trebuchet MS" w:hAnsi="Trebuchet MS"/>
          <w:color w:val="auto"/>
          <w:sz w:val="18"/>
          <w:szCs w:val="18"/>
          <w:lang w:val="en-GB"/>
        </w:rPr>
        <w:t>Each external natural and human-induced event is identified and assessed with the following considerations</w:t>
      </w:r>
      <w:r w:rsidRPr="00E20701">
        <w:rPr>
          <w:rFonts w:ascii="Trebuchet MS" w:hAnsi="Trebuchet MS"/>
          <w:color w:val="auto"/>
          <w:sz w:val="18"/>
          <w:szCs w:val="18"/>
          <w:lang w:val="en-GB"/>
        </w:rPr>
        <w:t xml:space="preserve"> </w:t>
      </w:r>
      <w:r w:rsidR="00F63081">
        <w:rPr>
          <w:rFonts w:ascii="Trebuchet MS" w:hAnsi="Trebuchet MS"/>
          <w:color w:val="auto"/>
          <w:sz w:val="18"/>
          <w:szCs w:val="18"/>
          <w:lang w:val="en-GB"/>
        </w:rPr>
        <w:fldChar w:fldCharType="begin"/>
      </w:r>
      <w:r w:rsidR="00F63081">
        <w:rPr>
          <w:rFonts w:ascii="Trebuchet MS" w:hAnsi="Trebuchet MS"/>
          <w:color w:val="auto"/>
          <w:sz w:val="18"/>
          <w:szCs w:val="18"/>
          <w:lang w:val="en-GB"/>
        </w:rPr>
        <w:instrText xml:space="preserve"> REF _Ref408825188 \w \h </w:instrText>
      </w:r>
      <w:r w:rsidR="00F63081">
        <w:rPr>
          <w:rFonts w:ascii="Trebuchet MS" w:hAnsi="Trebuchet MS"/>
          <w:color w:val="auto"/>
          <w:sz w:val="18"/>
          <w:szCs w:val="18"/>
          <w:lang w:val="en-GB"/>
        </w:rPr>
      </w:r>
      <w:r w:rsidR="00F63081">
        <w:rPr>
          <w:rFonts w:ascii="Trebuchet MS" w:hAnsi="Trebuchet MS"/>
          <w:color w:val="auto"/>
          <w:sz w:val="18"/>
          <w:szCs w:val="18"/>
          <w:lang w:val="en-GB"/>
        </w:rPr>
        <w:fldChar w:fldCharType="separate"/>
      </w:r>
      <w:r w:rsidR="00E62976">
        <w:rPr>
          <w:rFonts w:ascii="Trebuchet MS" w:hAnsi="Trebuchet MS"/>
          <w:color w:val="auto"/>
          <w:sz w:val="18"/>
          <w:szCs w:val="18"/>
          <w:lang w:val="en-GB"/>
        </w:rPr>
        <w:t>[53]</w:t>
      </w:r>
      <w:r w:rsidR="00F63081">
        <w:rPr>
          <w:rFonts w:ascii="Trebuchet MS" w:hAnsi="Trebuchet MS"/>
          <w:color w:val="auto"/>
          <w:sz w:val="18"/>
          <w:szCs w:val="18"/>
          <w:lang w:val="en-GB"/>
        </w:rPr>
        <w:fldChar w:fldCharType="end"/>
      </w:r>
      <w:r w:rsidRPr="00C70893">
        <w:rPr>
          <w:rFonts w:ascii="Trebuchet MS" w:hAnsi="Trebuchet MS"/>
          <w:color w:val="auto"/>
          <w:sz w:val="18"/>
          <w:szCs w:val="18"/>
          <w:lang w:val="en-GB"/>
        </w:rPr>
        <w:t xml:space="preserve">: </w:t>
      </w:r>
    </w:p>
    <w:p w:rsidR="00A93B29" w:rsidRPr="00C70893" w:rsidRDefault="00A93B29" w:rsidP="00E62976">
      <w:pPr>
        <w:pStyle w:val="Default"/>
        <w:numPr>
          <w:ilvl w:val="0"/>
          <w:numId w:val="23"/>
        </w:numPr>
        <w:spacing w:line="348" w:lineRule="atLeast"/>
        <w:jc w:val="both"/>
        <w:rPr>
          <w:rFonts w:ascii="Trebuchet MS" w:hAnsi="Trebuchet MS"/>
          <w:color w:val="auto"/>
          <w:sz w:val="18"/>
          <w:szCs w:val="18"/>
          <w:lang w:val="en-GB"/>
        </w:rPr>
      </w:pPr>
      <w:r w:rsidRPr="00C70893">
        <w:rPr>
          <w:rFonts w:ascii="Trebuchet MS" w:hAnsi="Trebuchet MS"/>
          <w:color w:val="auto"/>
          <w:sz w:val="18"/>
          <w:szCs w:val="18"/>
          <w:lang w:val="en-GB"/>
        </w:rPr>
        <w:t>The potential direct and indirect effects of the event on the structures, systems and components (SSC), including those that could affect the safe operation of the NPP in both normal and abnormal operating states.</w:t>
      </w:r>
    </w:p>
    <w:p w:rsidR="00A93B29" w:rsidRPr="00C70893" w:rsidRDefault="00A93B29" w:rsidP="00E62976">
      <w:pPr>
        <w:pStyle w:val="Default"/>
        <w:numPr>
          <w:ilvl w:val="0"/>
          <w:numId w:val="23"/>
        </w:numPr>
        <w:spacing w:line="348" w:lineRule="atLeast"/>
        <w:jc w:val="both"/>
        <w:rPr>
          <w:rFonts w:ascii="Trebuchet MS" w:hAnsi="Trebuchet MS"/>
          <w:color w:val="auto"/>
          <w:sz w:val="18"/>
          <w:szCs w:val="18"/>
          <w:lang w:val="en-GB"/>
        </w:rPr>
      </w:pPr>
      <w:r w:rsidRPr="00C70893">
        <w:rPr>
          <w:rFonts w:ascii="Trebuchet MS" w:hAnsi="Trebuchet MS"/>
          <w:color w:val="auto"/>
          <w:sz w:val="18"/>
          <w:szCs w:val="18"/>
          <w:lang w:val="en-GB"/>
        </w:rPr>
        <w:t>The potential combined effects of external and human-induced events with normal and accidental releases that would exceed environmental limits or cause a significant adverse effect to occur; and</w:t>
      </w:r>
    </w:p>
    <w:p w:rsidR="00A93B29" w:rsidRPr="00C70893" w:rsidRDefault="00A93B29" w:rsidP="00E62976">
      <w:pPr>
        <w:pStyle w:val="Default"/>
        <w:numPr>
          <w:ilvl w:val="0"/>
          <w:numId w:val="23"/>
        </w:numPr>
        <w:spacing w:line="348" w:lineRule="atLeast"/>
        <w:jc w:val="both"/>
        <w:rPr>
          <w:rFonts w:ascii="Trebuchet MS" w:hAnsi="Trebuchet MS"/>
          <w:color w:val="auto"/>
          <w:sz w:val="18"/>
          <w:szCs w:val="18"/>
          <w:lang w:val="en-GB"/>
        </w:rPr>
      </w:pPr>
      <w:r w:rsidRPr="00C70893">
        <w:rPr>
          <w:rFonts w:ascii="Trebuchet MS" w:hAnsi="Trebuchet MS"/>
          <w:color w:val="auto"/>
          <w:sz w:val="18"/>
          <w:szCs w:val="18"/>
          <w:lang w:val="en-GB"/>
        </w:rPr>
        <w:t>Effects that would influence the ability to successfully implement emergency plans.</w:t>
      </w:r>
    </w:p>
    <w:p w:rsidR="00A93B29" w:rsidRPr="00C70893" w:rsidRDefault="00A93B29" w:rsidP="00A93B29">
      <w:pPr>
        <w:pStyle w:val="Default"/>
        <w:spacing w:line="348" w:lineRule="atLeast"/>
        <w:jc w:val="both"/>
        <w:rPr>
          <w:rFonts w:ascii="Trebuchet MS" w:hAnsi="Trebuchet MS"/>
          <w:color w:val="auto"/>
          <w:sz w:val="18"/>
          <w:szCs w:val="18"/>
          <w:lang w:val="en-GB"/>
        </w:rPr>
      </w:pPr>
    </w:p>
    <w:p w:rsidR="00A93B29" w:rsidRPr="00C70893" w:rsidRDefault="00A93B29" w:rsidP="00A93B29">
      <w:pPr>
        <w:pStyle w:val="Default"/>
        <w:spacing w:line="348" w:lineRule="atLeast"/>
        <w:jc w:val="both"/>
        <w:rPr>
          <w:rFonts w:ascii="Trebuchet MS" w:hAnsi="Trebuchet MS"/>
          <w:color w:val="auto"/>
          <w:sz w:val="18"/>
          <w:szCs w:val="18"/>
          <w:lang w:val="en-GB"/>
        </w:rPr>
      </w:pPr>
      <w:r w:rsidRPr="00C70893">
        <w:rPr>
          <w:rFonts w:ascii="Trebuchet MS" w:hAnsi="Trebuchet MS"/>
          <w:color w:val="auto"/>
          <w:sz w:val="18"/>
          <w:szCs w:val="18"/>
          <w:lang w:val="en-GB"/>
        </w:rPr>
        <w:t>Natural external hazards are evaluated and screened out based on the following criteria</w:t>
      </w:r>
      <w:r w:rsidRPr="00E20701">
        <w:rPr>
          <w:rFonts w:ascii="Trebuchet MS" w:hAnsi="Trebuchet MS"/>
          <w:color w:val="auto"/>
          <w:sz w:val="18"/>
          <w:szCs w:val="18"/>
          <w:lang w:val="en-GB"/>
        </w:rPr>
        <w:t xml:space="preserve"> </w:t>
      </w:r>
      <w:r w:rsidR="00F63081">
        <w:rPr>
          <w:rFonts w:ascii="Trebuchet MS" w:hAnsi="Trebuchet MS"/>
          <w:color w:val="auto"/>
          <w:sz w:val="18"/>
          <w:szCs w:val="18"/>
          <w:lang w:val="en-GB"/>
        </w:rPr>
        <w:fldChar w:fldCharType="begin"/>
      </w:r>
      <w:r w:rsidR="00F63081">
        <w:rPr>
          <w:rFonts w:ascii="Trebuchet MS" w:hAnsi="Trebuchet MS"/>
          <w:color w:val="auto"/>
          <w:sz w:val="18"/>
          <w:szCs w:val="18"/>
          <w:lang w:val="en-GB"/>
        </w:rPr>
        <w:instrText xml:space="preserve"> REF _Ref408825081 \w \h </w:instrText>
      </w:r>
      <w:r w:rsidR="00F63081">
        <w:rPr>
          <w:rFonts w:ascii="Trebuchet MS" w:hAnsi="Trebuchet MS"/>
          <w:color w:val="auto"/>
          <w:sz w:val="18"/>
          <w:szCs w:val="18"/>
          <w:lang w:val="en-GB"/>
        </w:rPr>
      </w:r>
      <w:r w:rsidR="00F63081">
        <w:rPr>
          <w:rFonts w:ascii="Trebuchet MS" w:hAnsi="Trebuchet MS"/>
          <w:color w:val="auto"/>
          <w:sz w:val="18"/>
          <w:szCs w:val="18"/>
          <w:lang w:val="en-GB"/>
        </w:rPr>
        <w:fldChar w:fldCharType="separate"/>
      </w:r>
      <w:r w:rsidR="00E62976">
        <w:rPr>
          <w:rFonts w:ascii="Trebuchet MS" w:hAnsi="Trebuchet MS"/>
          <w:color w:val="auto"/>
          <w:sz w:val="18"/>
          <w:szCs w:val="18"/>
          <w:lang w:val="en-GB"/>
        </w:rPr>
        <w:t>[51]</w:t>
      </w:r>
      <w:r w:rsidR="00F63081">
        <w:rPr>
          <w:rFonts w:ascii="Trebuchet MS" w:hAnsi="Trebuchet MS"/>
          <w:color w:val="auto"/>
          <w:sz w:val="18"/>
          <w:szCs w:val="18"/>
          <w:lang w:val="en-GB"/>
        </w:rPr>
        <w:fldChar w:fldCharType="end"/>
      </w:r>
      <w:r w:rsidRPr="00E20701">
        <w:rPr>
          <w:rFonts w:ascii="Trebuchet MS" w:hAnsi="Trebuchet MS"/>
          <w:color w:val="auto"/>
          <w:sz w:val="18"/>
          <w:szCs w:val="18"/>
          <w:lang w:val="en-GB"/>
        </w:rPr>
        <w:t xml:space="preserve">: </w:t>
      </w:r>
    </w:p>
    <w:p w:rsidR="00A93B29" w:rsidRPr="00C70893" w:rsidRDefault="00A93B29" w:rsidP="00E62976">
      <w:pPr>
        <w:pStyle w:val="Default"/>
        <w:numPr>
          <w:ilvl w:val="0"/>
          <w:numId w:val="24"/>
        </w:numPr>
        <w:spacing w:line="348" w:lineRule="atLeast"/>
        <w:ind w:left="709" w:hanging="259"/>
        <w:jc w:val="both"/>
        <w:rPr>
          <w:rFonts w:ascii="Trebuchet MS" w:hAnsi="Trebuchet MS"/>
          <w:color w:val="auto"/>
          <w:sz w:val="18"/>
          <w:szCs w:val="18"/>
          <w:lang w:val="en-GB"/>
        </w:rPr>
      </w:pPr>
      <w:r w:rsidRPr="00C70893">
        <w:rPr>
          <w:rFonts w:ascii="Trebuchet MS" w:hAnsi="Trebuchet MS"/>
          <w:color w:val="auto"/>
          <w:sz w:val="18"/>
          <w:szCs w:val="18"/>
          <w:lang w:val="en-GB"/>
        </w:rPr>
        <w:t>a phenomenon which occurs slowly or with adequate warning with respect to the time required to take appropriate protective action</w:t>
      </w:r>
      <w:r w:rsidRPr="00E20701">
        <w:rPr>
          <w:rFonts w:ascii="Trebuchet MS" w:hAnsi="Trebuchet MS"/>
          <w:color w:val="auto"/>
          <w:sz w:val="18"/>
          <w:szCs w:val="18"/>
          <w:lang w:val="en-GB"/>
        </w:rPr>
        <w:t>,</w:t>
      </w:r>
    </w:p>
    <w:p w:rsidR="00A93B29" w:rsidRPr="00C70893" w:rsidRDefault="00A93B29" w:rsidP="00E62976">
      <w:pPr>
        <w:pStyle w:val="Default"/>
        <w:numPr>
          <w:ilvl w:val="0"/>
          <w:numId w:val="24"/>
        </w:numPr>
        <w:spacing w:line="348" w:lineRule="atLeast"/>
        <w:ind w:firstLine="450"/>
        <w:jc w:val="both"/>
        <w:rPr>
          <w:rFonts w:ascii="Trebuchet MS" w:hAnsi="Trebuchet MS"/>
          <w:color w:val="auto"/>
          <w:sz w:val="18"/>
          <w:szCs w:val="18"/>
          <w:lang w:val="en-GB"/>
        </w:rPr>
      </w:pPr>
      <w:r w:rsidRPr="00C70893">
        <w:rPr>
          <w:rFonts w:ascii="Trebuchet MS" w:hAnsi="Trebuchet MS"/>
          <w:color w:val="auto"/>
          <w:sz w:val="18"/>
          <w:szCs w:val="18"/>
          <w:lang w:val="en-GB"/>
        </w:rPr>
        <w:t>a phenomenon which in itself has no significant impact on the operation of a NPP and its design basis</w:t>
      </w:r>
      <w:r w:rsidRPr="00E20701">
        <w:rPr>
          <w:rFonts w:ascii="Trebuchet MS" w:hAnsi="Trebuchet MS"/>
          <w:color w:val="auto"/>
          <w:sz w:val="18"/>
          <w:szCs w:val="18"/>
          <w:lang w:val="en-GB"/>
        </w:rPr>
        <w:t>,</w:t>
      </w:r>
    </w:p>
    <w:p w:rsidR="00A93B29" w:rsidRPr="00C70893" w:rsidRDefault="00A93B29" w:rsidP="00E62976">
      <w:pPr>
        <w:pStyle w:val="Default"/>
        <w:numPr>
          <w:ilvl w:val="0"/>
          <w:numId w:val="24"/>
        </w:numPr>
        <w:spacing w:line="348" w:lineRule="atLeast"/>
        <w:ind w:firstLine="450"/>
        <w:jc w:val="both"/>
        <w:rPr>
          <w:rFonts w:ascii="Trebuchet MS" w:hAnsi="Trebuchet MS"/>
          <w:color w:val="auto"/>
          <w:sz w:val="18"/>
          <w:szCs w:val="18"/>
          <w:lang w:val="en-GB"/>
        </w:rPr>
      </w:pPr>
      <w:r w:rsidRPr="00C70893">
        <w:rPr>
          <w:rFonts w:ascii="Trebuchet MS" w:hAnsi="Trebuchet MS"/>
          <w:color w:val="auto"/>
          <w:sz w:val="18"/>
          <w:szCs w:val="18"/>
          <w:lang w:val="en-GB"/>
        </w:rPr>
        <w:t>an individual phenomenon which has an extremely low probability of occurrence</w:t>
      </w:r>
      <w:r w:rsidRPr="00E20701">
        <w:rPr>
          <w:rFonts w:ascii="Trebuchet MS" w:hAnsi="Trebuchet MS"/>
          <w:color w:val="auto"/>
          <w:sz w:val="18"/>
          <w:szCs w:val="18"/>
          <w:lang w:val="en-GB"/>
        </w:rPr>
        <w:t>,</w:t>
      </w:r>
    </w:p>
    <w:p w:rsidR="00A93B29" w:rsidRPr="00C70893" w:rsidRDefault="00A93B29" w:rsidP="00E62976">
      <w:pPr>
        <w:pStyle w:val="Default"/>
        <w:numPr>
          <w:ilvl w:val="0"/>
          <w:numId w:val="24"/>
        </w:numPr>
        <w:spacing w:line="348" w:lineRule="atLeast"/>
        <w:ind w:firstLine="450"/>
        <w:jc w:val="both"/>
        <w:rPr>
          <w:rFonts w:ascii="Trebuchet MS" w:hAnsi="Trebuchet MS"/>
          <w:color w:val="auto"/>
          <w:sz w:val="18"/>
          <w:szCs w:val="18"/>
          <w:lang w:val="en-GB"/>
        </w:rPr>
      </w:pPr>
      <w:r w:rsidRPr="00C70893">
        <w:rPr>
          <w:rFonts w:ascii="Trebuchet MS" w:hAnsi="Trebuchet MS"/>
          <w:color w:val="auto"/>
          <w:sz w:val="18"/>
          <w:szCs w:val="18"/>
          <w:lang w:val="en-GB"/>
        </w:rPr>
        <w:t xml:space="preserve">the NPP is located </w:t>
      </w:r>
      <w:r w:rsidRPr="00E20701">
        <w:rPr>
          <w:rFonts w:ascii="Trebuchet MS" w:hAnsi="Trebuchet MS"/>
          <w:color w:val="auto"/>
          <w:sz w:val="18"/>
          <w:szCs w:val="18"/>
          <w:lang w:val="en-GB"/>
        </w:rPr>
        <w:t>at a sufficient</w:t>
      </w:r>
      <w:r w:rsidRPr="00C70893">
        <w:rPr>
          <w:rFonts w:ascii="Trebuchet MS" w:hAnsi="Trebuchet MS"/>
          <w:color w:val="auto"/>
          <w:sz w:val="18"/>
          <w:szCs w:val="18"/>
          <w:lang w:val="en-GB"/>
        </w:rPr>
        <w:t xml:space="preserve"> distance from or above the postulated phenomenon</w:t>
      </w:r>
      <w:r w:rsidRPr="00E20701">
        <w:rPr>
          <w:rFonts w:ascii="Trebuchet MS" w:hAnsi="Trebuchet MS"/>
          <w:color w:val="auto"/>
          <w:sz w:val="18"/>
          <w:szCs w:val="18"/>
          <w:lang w:val="en-GB"/>
        </w:rPr>
        <w:t>,</w:t>
      </w:r>
    </w:p>
    <w:p w:rsidR="00A93B29" w:rsidRPr="00C70893" w:rsidRDefault="00A93B29" w:rsidP="00E62976">
      <w:pPr>
        <w:pStyle w:val="Default"/>
        <w:numPr>
          <w:ilvl w:val="0"/>
          <w:numId w:val="24"/>
        </w:numPr>
        <w:spacing w:line="348" w:lineRule="atLeast"/>
        <w:ind w:left="709" w:hanging="259"/>
        <w:jc w:val="both"/>
        <w:rPr>
          <w:rFonts w:ascii="Trebuchet MS" w:hAnsi="Trebuchet MS"/>
          <w:color w:val="auto"/>
          <w:sz w:val="18"/>
          <w:szCs w:val="18"/>
          <w:lang w:val="en-GB"/>
        </w:rPr>
      </w:pPr>
      <w:r w:rsidRPr="00C70893">
        <w:rPr>
          <w:rFonts w:ascii="Trebuchet MS" w:hAnsi="Trebuchet MS"/>
          <w:color w:val="auto"/>
          <w:sz w:val="18"/>
          <w:szCs w:val="18"/>
          <w:lang w:val="en-GB"/>
        </w:rPr>
        <w:t xml:space="preserve">a phenomenon that is already included or enveloped by design in another phenomenon (for example, storm-surge and seiche </w:t>
      </w:r>
      <w:r w:rsidRPr="00E20701">
        <w:rPr>
          <w:rFonts w:ascii="Trebuchet MS" w:hAnsi="Trebuchet MS"/>
          <w:color w:val="auto"/>
          <w:sz w:val="18"/>
          <w:szCs w:val="18"/>
          <w:lang w:val="en-GB"/>
        </w:rPr>
        <w:t xml:space="preserve">can be </w:t>
      </w:r>
      <w:r w:rsidRPr="00C70893">
        <w:rPr>
          <w:rFonts w:ascii="Trebuchet MS" w:hAnsi="Trebuchet MS"/>
          <w:color w:val="auto"/>
          <w:sz w:val="18"/>
          <w:szCs w:val="18"/>
          <w:lang w:val="en-GB"/>
        </w:rPr>
        <w:t>included in flooding)</w:t>
      </w:r>
      <w:r w:rsidRPr="00E20701">
        <w:rPr>
          <w:rFonts w:ascii="Trebuchet MS" w:hAnsi="Trebuchet MS"/>
          <w:color w:val="auto"/>
          <w:sz w:val="18"/>
          <w:szCs w:val="18"/>
          <w:lang w:val="en-GB"/>
        </w:rPr>
        <w:t>.</w:t>
      </w:r>
    </w:p>
    <w:p w:rsidR="00A93B29" w:rsidRPr="00C70893" w:rsidRDefault="00A93B29" w:rsidP="00A93B29">
      <w:pPr>
        <w:pStyle w:val="Default"/>
        <w:spacing w:line="348" w:lineRule="atLeast"/>
        <w:jc w:val="both"/>
        <w:rPr>
          <w:rFonts w:ascii="Trebuchet MS" w:hAnsi="Trebuchet MS"/>
          <w:color w:val="auto"/>
          <w:sz w:val="18"/>
          <w:szCs w:val="18"/>
          <w:lang w:val="en-GB"/>
        </w:rPr>
      </w:pPr>
      <w:r w:rsidRPr="00C70893">
        <w:rPr>
          <w:rFonts w:ascii="Trebuchet MS" w:hAnsi="Trebuchet MS"/>
          <w:color w:val="auto"/>
          <w:sz w:val="18"/>
          <w:szCs w:val="18"/>
          <w:lang w:val="en-GB"/>
        </w:rPr>
        <w:t xml:space="preserve">In defining the scope of events to be </w:t>
      </w:r>
      <w:r w:rsidRPr="00E20701">
        <w:rPr>
          <w:rFonts w:ascii="Trebuchet MS" w:hAnsi="Trebuchet MS"/>
          <w:color w:val="auto"/>
          <w:sz w:val="18"/>
          <w:szCs w:val="18"/>
          <w:lang w:val="en-GB"/>
        </w:rPr>
        <w:t>analysed</w:t>
      </w:r>
      <w:r w:rsidRPr="00C70893">
        <w:rPr>
          <w:rFonts w:ascii="Trebuchet MS" w:hAnsi="Trebuchet MS"/>
          <w:color w:val="auto"/>
          <w:sz w:val="18"/>
          <w:szCs w:val="18"/>
          <w:lang w:val="en-GB"/>
        </w:rPr>
        <w:t>, the deterministic safety analysis should select the same cut-off frequency as that used in the probabilistic analysis for the same facility.</w:t>
      </w:r>
    </w:p>
    <w:p w:rsidR="00A93B29" w:rsidRPr="00C70893" w:rsidRDefault="00A93B29" w:rsidP="00A93B29">
      <w:pPr>
        <w:pStyle w:val="Default"/>
        <w:spacing w:line="348" w:lineRule="atLeast"/>
        <w:jc w:val="both"/>
        <w:rPr>
          <w:rFonts w:ascii="Trebuchet MS" w:hAnsi="Trebuchet MS"/>
          <w:b/>
          <w:bCs/>
          <w:color w:val="auto"/>
          <w:sz w:val="18"/>
          <w:szCs w:val="18"/>
          <w:lang w:val="en-GB"/>
        </w:rPr>
      </w:pPr>
    </w:p>
    <w:p w:rsidR="00A93B29" w:rsidRPr="00C70893" w:rsidRDefault="00A93B29" w:rsidP="00A93B29">
      <w:pPr>
        <w:pStyle w:val="Default"/>
        <w:spacing w:line="348" w:lineRule="atLeast"/>
        <w:jc w:val="both"/>
        <w:rPr>
          <w:rFonts w:ascii="Trebuchet MS" w:hAnsi="Trebuchet MS"/>
          <w:color w:val="auto"/>
          <w:sz w:val="18"/>
          <w:szCs w:val="18"/>
          <w:u w:val="single"/>
          <w:lang w:val="en-GB"/>
        </w:rPr>
      </w:pPr>
      <w:r w:rsidRPr="00C70893">
        <w:rPr>
          <w:rFonts w:ascii="Trebuchet MS" w:hAnsi="Trebuchet MS"/>
          <w:b/>
          <w:bCs/>
          <w:color w:val="auto"/>
          <w:sz w:val="18"/>
          <w:szCs w:val="18"/>
          <w:u w:val="single"/>
          <w:lang w:val="en-GB"/>
        </w:rPr>
        <w:t xml:space="preserve">Classification of events </w:t>
      </w:r>
    </w:p>
    <w:p w:rsidR="00A93B29" w:rsidRPr="00C70893" w:rsidRDefault="00A93B29" w:rsidP="00A93B29">
      <w:pPr>
        <w:rPr>
          <w:szCs w:val="18"/>
          <w:lang w:val="en-GB"/>
        </w:rPr>
      </w:pPr>
      <w:r w:rsidRPr="00C70893">
        <w:rPr>
          <w:szCs w:val="18"/>
          <w:lang w:val="en-GB"/>
        </w:rPr>
        <w:t>The identified events could be grouped into categories based on similarity of the initiating failures, key phenomena, or system and operator responses. Examples of event categories include decrease of the reactor coolant inventory, reactivity and power anomalies, and increase/decrease of heat removal</w:t>
      </w:r>
      <w:r w:rsidR="00F63081">
        <w:rPr>
          <w:szCs w:val="18"/>
          <w:lang w:val="en-GB"/>
        </w:rPr>
        <w:t>.</w:t>
      </w:r>
    </w:p>
    <w:p w:rsidR="00A93B29" w:rsidRPr="00C70893" w:rsidRDefault="00A93B29" w:rsidP="00A93B29">
      <w:pPr>
        <w:pStyle w:val="Default"/>
        <w:spacing w:line="348" w:lineRule="atLeast"/>
        <w:jc w:val="both"/>
        <w:rPr>
          <w:rFonts w:ascii="Trebuchet MS" w:hAnsi="Trebuchet MS"/>
          <w:color w:val="auto"/>
          <w:sz w:val="18"/>
          <w:szCs w:val="18"/>
          <w:lang w:val="en-GB"/>
        </w:rPr>
      </w:pPr>
      <w:r w:rsidRPr="00C70893">
        <w:rPr>
          <w:rFonts w:ascii="Trebuchet MS" w:hAnsi="Trebuchet MS"/>
          <w:color w:val="auto"/>
          <w:sz w:val="18"/>
          <w:szCs w:val="18"/>
          <w:lang w:val="en-GB"/>
        </w:rPr>
        <w:t>The purpose of event classification is to</w:t>
      </w:r>
      <w:r w:rsidRPr="00E20701">
        <w:rPr>
          <w:rFonts w:ascii="Trebuchet MS" w:hAnsi="Trebuchet MS"/>
          <w:color w:val="auto"/>
          <w:sz w:val="18"/>
          <w:szCs w:val="18"/>
          <w:lang w:val="en-GB"/>
        </w:rPr>
        <w:t xml:space="preserve"> </w:t>
      </w:r>
      <w:r w:rsidR="00F63081">
        <w:rPr>
          <w:rFonts w:ascii="Trebuchet MS" w:hAnsi="Trebuchet MS"/>
          <w:color w:val="auto"/>
          <w:sz w:val="18"/>
          <w:szCs w:val="18"/>
          <w:lang w:val="en-GB"/>
        </w:rPr>
        <w:fldChar w:fldCharType="begin"/>
      </w:r>
      <w:r w:rsidR="00F63081">
        <w:rPr>
          <w:rFonts w:ascii="Trebuchet MS" w:hAnsi="Trebuchet MS"/>
          <w:color w:val="auto"/>
          <w:sz w:val="18"/>
          <w:szCs w:val="18"/>
          <w:lang w:val="en-GB"/>
        </w:rPr>
        <w:instrText xml:space="preserve"> REF _Ref408825018 \w \h </w:instrText>
      </w:r>
      <w:r w:rsidR="00F63081">
        <w:rPr>
          <w:rFonts w:ascii="Trebuchet MS" w:hAnsi="Trebuchet MS"/>
          <w:color w:val="auto"/>
          <w:sz w:val="18"/>
          <w:szCs w:val="18"/>
          <w:lang w:val="en-GB"/>
        </w:rPr>
      </w:r>
      <w:r w:rsidR="00F63081">
        <w:rPr>
          <w:rFonts w:ascii="Trebuchet MS" w:hAnsi="Trebuchet MS"/>
          <w:color w:val="auto"/>
          <w:sz w:val="18"/>
          <w:szCs w:val="18"/>
          <w:lang w:val="en-GB"/>
        </w:rPr>
        <w:fldChar w:fldCharType="separate"/>
      </w:r>
      <w:r w:rsidR="00E62976">
        <w:rPr>
          <w:rFonts w:ascii="Trebuchet MS" w:hAnsi="Trebuchet MS"/>
          <w:color w:val="auto"/>
          <w:sz w:val="18"/>
          <w:szCs w:val="18"/>
          <w:lang w:val="en-GB"/>
        </w:rPr>
        <w:t>[50]</w:t>
      </w:r>
      <w:r w:rsidR="00F63081">
        <w:rPr>
          <w:rFonts w:ascii="Trebuchet MS" w:hAnsi="Trebuchet MS"/>
          <w:color w:val="auto"/>
          <w:sz w:val="18"/>
          <w:szCs w:val="18"/>
          <w:lang w:val="en-GB"/>
        </w:rPr>
        <w:fldChar w:fldCharType="end"/>
      </w:r>
      <w:r w:rsidRPr="00C70893">
        <w:rPr>
          <w:rFonts w:ascii="Trebuchet MS" w:hAnsi="Trebuchet MS"/>
          <w:color w:val="auto"/>
          <w:sz w:val="18"/>
          <w:szCs w:val="18"/>
          <w:lang w:val="en-GB"/>
        </w:rPr>
        <w:t xml:space="preserve">: </w:t>
      </w:r>
    </w:p>
    <w:p w:rsidR="00A93B29" w:rsidRPr="00C70893" w:rsidRDefault="00A93B29" w:rsidP="00E62976">
      <w:pPr>
        <w:pStyle w:val="Default"/>
        <w:numPr>
          <w:ilvl w:val="0"/>
          <w:numId w:val="25"/>
        </w:numPr>
        <w:spacing w:line="348" w:lineRule="atLeast"/>
        <w:jc w:val="both"/>
        <w:rPr>
          <w:rFonts w:ascii="Trebuchet MS" w:hAnsi="Trebuchet MS"/>
          <w:color w:val="auto"/>
          <w:sz w:val="18"/>
          <w:szCs w:val="18"/>
          <w:lang w:val="en-GB"/>
        </w:rPr>
      </w:pPr>
      <w:r w:rsidRPr="00C70893">
        <w:rPr>
          <w:rFonts w:ascii="Trebuchet MS" w:hAnsi="Trebuchet MS"/>
          <w:color w:val="auto"/>
          <w:sz w:val="18"/>
          <w:szCs w:val="18"/>
          <w:lang w:val="en-GB"/>
        </w:rPr>
        <w:t>justify the basis for the range of events under consideration</w:t>
      </w:r>
      <w:r w:rsidRPr="00E20701">
        <w:rPr>
          <w:rFonts w:ascii="Trebuchet MS" w:hAnsi="Trebuchet MS"/>
          <w:color w:val="auto"/>
          <w:sz w:val="18"/>
          <w:szCs w:val="18"/>
          <w:lang w:val="en-GB"/>
        </w:rPr>
        <w:t>,</w:t>
      </w:r>
    </w:p>
    <w:p w:rsidR="00A93B29" w:rsidRPr="00C70893" w:rsidRDefault="00A93B29" w:rsidP="00E62976">
      <w:pPr>
        <w:pStyle w:val="Default"/>
        <w:numPr>
          <w:ilvl w:val="0"/>
          <w:numId w:val="25"/>
        </w:numPr>
        <w:spacing w:line="348" w:lineRule="atLeast"/>
        <w:jc w:val="both"/>
        <w:rPr>
          <w:rFonts w:ascii="Trebuchet MS" w:hAnsi="Trebuchet MS"/>
          <w:color w:val="auto"/>
          <w:sz w:val="18"/>
          <w:szCs w:val="18"/>
          <w:lang w:val="en-GB"/>
        </w:rPr>
      </w:pPr>
      <w:r w:rsidRPr="00C70893">
        <w:rPr>
          <w:rFonts w:ascii="Trebuchet MS" w:hAnsi="Trebuchet MS"/>
          <w:color w:val="auto"/>
          <w:sz w:val="18"/>
          <w:szCs w:val="18"/>
          <w:lang w:val="en-GB"/>
        </w:rPr>
        <w:t>reduce the number of initiating events requiring detailed analysis to a set that includes the most bounding cases in each of the various event groups credited in the safety analyses, but that excludes events with identical system performance (relating, for example, to their timing, the plant systems response, or radiological release fractions)</w:t>
      </w:r>
      <w:r w:rsidRPr="00E20701">
        <w:rPr>
          <w:rFonts w:ascii="Trebuchet MS" w:hAnsi="Trebuchet MS"/>
          <w:color w:val="auto"/>
          <w:sz w:val="18"/>
          <w:szCs w:val="18"/>
          <w:lang w:val="en-GB"/>
        </w:rPr>
        <w:t>,</w:t>
      </w:r>
    </w:p>
    <w:p w:rsidR="00A93B29" w:rsidRPr="00C70893" w:rsidRDefault="00A93B29" w:rsidP="00E62976">
      <w:pPr>
        <w:pStyle w:val="Default"/>
        <w:numPr>
          <w:ilvl w:val="0"/>
          <w:numId w:val="25"/>
        </w:numPr>
        <w:spacing w:line="348" w:lineRule="atLeast"/>
        <w:jc w:val="both"/>
        <w:rPr>
          <w:rFonts w:ascii="Trebuchet MS" w:hAnsi="Trebuchet MS"/>
          <w:color w:val="auto"/>
          <w:sz w:val="18"/>
          <w:szCs w:val="18"/>
          <w:lang w:val="en-GB"/>
        </w:rPr>
      </w:pPr>
      <w:r w:rsidRPr="00C70893">
        <w:rPr>
          <w:rFonts w:ascii="Trebuchet MS" w:hAnsi="Trebuchet MS"/>
          <w:color w:val="auto"/>
          <w:sz w:val="18"/>
          <w:szCs w:val="18"/>
          <w:lang w:val="en-GB"/>
        </w:rPr>
        <w:t>allow the application of different acceptance criteria to differing event classes, with a justification of the basis for each of the event classifications included in the description provided in this section</w:t>
      </w:r>
      <w:r w:rsidRPr="00E20701">
        <w:rPr>
          <w:rFonts w:ascii="Trebuchet MS" w:hAnsi="Trebuchet MS"/>
          <w:color w:val="auto"/>
          <w:sz w:val="18"/>
          <w:szCs w:val="18"/>
          <w:lang w:val="en-GB"/>
        </w:rPr>
        <w:t>.</w:t>
      </w:r>
    </w:p>
    <w:p w:rsidR="00A93B29" w:rsidRPr="00C70893" w:rsidRDefault="00A93B29" w:rsidP="00A93B29">
      <w:pPr>
        <w:pStyle w:val="Default"/>
        <w:spacing w:line="348" w:lineRule="atLeast"/>
        <w:jc w:val="both"/>
        <w:rPr>
          <w:rFonts w:ascii="Trebuchet MS" w:hAnsi="Trebuchet MS"/>
          <w:b/>
          <w:bCs/>
          <w:color w:val="auto"/>
          <w:sz w:val="18"/>
          <w:szCs w:val="18"/>
          <w:lang w:val="en-GB"/>
        </w:rPr>
      </w:pPr>
    </w:p>
    <w:p w:rsidR="00A93B29" w:rsidRPr="00C70893" w:rsidRDefault="00A93B29" w:rsidP="00A93B29">
      <w:pPr>
        <w:pStyle w:val="Default"/>
        <w:spacing w:line="348" w:lineRule="atLeast"/>
        <w:jc w:val="both"/>
        <w:rPr>
          <w:rFonts w:ascii="Trebuchet MS" w:hAnsi="Trebuchet MS"/>
          <w:color w:val="auto"/>
          <w:sz w:val="18"/>
          <w:szCs w:val="18"/>
          <w:lang w:val="en-GB"/>
        </w:rPr>
      </w:pPr>
      <w:r w:rsidRPr="00C70893">
        <w:rPr>
          <w:rFonts w:ascii="Trebuchet MS" w:hAnsi="Trebuchet MS"/>
          <w:color w:val="auto"/>
          <w:sz w:val="18"/>
          <w:szCs w:val="18"/>
          <w:lang w:val="en-GB"/>
        </w:rPr>
        <w:t>Events are classified because each plant state has different safety analysis requirements and acceptance criteria, requirements that reflect the level of protection in accordance with the principle of defence in depth, as follows</w:t>
      </w:r>
      <w:r w:rsidRPr="00E20701">
        <w:rPr>
          <w:rFonts w:ascii="Trebuchet MS" w:hAnsi="Trebuchet MS"/>
          <w:color w:val="auto"/>
          <w:sz w:val="18"/>
          <w:szCs w:val="18"/>
          <w:lang w:val="en-GB"/>
        </w:rPr>
        <w:t xml:space="preserve"> </w:t>
      </w:r>
      <w:r w:rsidR="00F63081">
        <w:rPr>
          <w:rFonts w:ascii="Trebuchet MS" w:hAnsi="Trebuchet MS"/>
          <w:color w:val="auto"/>
          <w:sz w:val="18"/>
          <w:szCs w:val="18"/>
          <w:lang w:val="en-GB"/>
        </w:rPr>
        <w:fldChar w:fldCharType="begin"/>
      </w:r>
      <w:r w:rsidR="00F63081">
        <w:rPr>
          <w:rFonts w:ascii="Trebuchet MS" w:hAnsi="Trebuchet MS"/>
          <w:color w:val="auto"/>
          <w:sz w:val="18"/>
          <w:szCs w:val="18"/>
          <w:lang w:val="en-GB"/>
        </w:rPr>
        <w:instrText xml:space="preserve"> REF _Ref408825419 \w \h </w:instrText>
      </w:r>
      <w:r w:rsidR="00F63081">
        <w:rPr>
          <w:rFonts w:ascii="Trebuchet MS" w:hAnsi="Trebuchet MS"/>
          <w:color w:val="auto"/>
          <w:sz w:val="18"/>
          <w:szCs w:val="18"/>
          <w:lang w:val="en-GB"/>
        </w:rPr>
      </w:r>
      <w:r w:rsidR="00F63081">
        <w:rPr>
          <w:rFonts w:ascii="Trebuchet MS" w:hAnsi="Trebuchet MS"/>
          <w:color w:val="auto"/>
          <w:sz w:val="18"/>
          <w:szCs w:val="18"/>
          <w:lang w:val="en-GB"/>
        </w:rPr>
        <w:fldChar w:fldCharType="separate"/>
      </w:r>
      <w:r w:rsidR="00E62976">
        <w:rPr>
          <w:rFonts w:ascii="Trebuchet MS" w:hAnsi="Trebuchet MS"/>
          <w:color w:val="auto"/>
          <w:sz w:val="18"/>
          <w:szCs w:val="18"/>
          <w:lang w:val="en-GB"/>
        </w:rPr>
        <w:t>[49]</w:t>
      </w:r>
      <w:r w:rsidR="00F63081">
        <w:rPr>
          <w:rFonts w:ascii="Trebuchet MS" w:hAnsi="Trebuchet MS"/>
          <w:color w:val="auto"/>
          <w:sz w:val="18"/>
          <w:szCs w:val="18"/>
          <w:lang w:val="en-GB"/>
        </w:rPr>
        <w:fldChar w:fldCharType="end"/>
      </w:r>
      <w:r w:rsidRPr="00C70893">
        <w:rPr>
          <w:rFonts w:ascii="Trebuchet MS" w:hAnsi="Trebuchet MS"/>
          <w:color w:val="auto"/>
          <w:sz w:val="18"/>
          <w:szCs w:val="18"/>
          <w:lang w:val="en-GB"/>
        </w:rPr>
        <w:t>:</w:t>
      </w:r>
    </w:p>
    <w:p w:rsidR="00A93B29" w:rsidRPr="005262CB" w:rsidRDefault="00A93B29" w:rsidP="00A93B29">
      <w:pPr>
        <w:pStyle w:val="Default"/>
        <w:spacing w:line="348" w:lineRule="atLeast"/>
        <w:ind w:left="567" w:hanging="207"/>
        <w:jc w:val="both"/>
        <w:rPr>
          <w:rFonts w:ascii="Trebuchet MS" w:hAnsi="Trebuchet MS"/>
          <w:color w:val="auto"/>
          <w:sz w:val="18"/>
          <w:szCs w:val="18"/>
          <w:lang w:val="en-GB"/>
        </w:rPr>
      </w:pPr>
      <w:r w:rsidRPr="00C70893">
        <w:rPr>
          <w:rFonts w:ascii="Trebuchet MS" w:hAnsi="Trebuchet MS"/>
          <w:color w:val="auto"/>
          <w:sz w:val="18"/>
          <w:szCs w:val="18"/>
          <w:lang w:val="en-GB"/>
        </w:rPr>
        <w:t xml:space="preserve">• </w:t>
      </w:r>
      <w:r w:rsidRPr="00C70893">
        <w:rPr>
          <w:rFonts w:ascii="Trebuchet MS" w:hAnsi="Trebuchet MS"/>
          <w:b/>
          <w:bCs/>
          <w:color w:val="auto"/>
          <w:sz w:val="18"/>
          <w:szCs w:val="18"/>
          <w:lang w:val="en-GB"/>
        </w:rPr>
        <w:t>anticipated operational occurrences (AOO) –</w:t>
      </w:r>
      <w:r w:rsidR="00F63081">
        <w:rPr>
          <w:rFonts w:ascii="Trebuchet MS" w:hAnsi="Trebuchet MS"/>
          <w:b/>
          <w:bCs/>
          <w:color w:val="auto"/>
          <w:sz w:val="18"/>
          <w:szCs w:val="18"/>
          <w:lang w:val="en-GB"/>
        </w:rPr>
        <w:t xml:space="preserve"> </w:t>
      </w:r>
      <w:r w:rsidRPr="0027152C">
        <w:rPr>
          <w:rFonts w:ascii="Trebuchet MS" w:hAnsi="Trebuchet MS"/>
          <w:b/>
          <w:bCs/>
          <w:color w:val="auto"/>
          <w:sz w:val="18"/>
          <w:szCs w:val="18"/>
          <w:lang w:val="en-GB"/>
        </w:rPr>
        <w:t>frequencies of occurrence equal to or greater than 10</w:t>
      </w:r>
      <w:r w:rsidRPr="008D75DB">
        <w:rPr>
          <w:rFonts w:ascii="Trebuchet MS" w:hAnsi="Trebuchet MS"/>
          <w:b/>
          <w:bCs/>
          <w:color w:val="auto"/>
          <w:sz w:val="18"/>
          <w:szCs w:val="18"/>
          <w:vertAlign w:val="superscript"/>
          <w:lang w:val="en-GB"/>
        </w:rPr>
        <w:t>-2</w:t>
      </w:r>
      <w:r w:rsidRPr="005262CB">
        <w:rPr>
          <w:rFonts w:ascii="Trebuchet MS" w:hAnsi="Trebuchet MS"/>
          <w:b/>
          <w:bCs/>
          <w:color w:val="auto"/>
          <w:sz w:val="18"/>
          <w:szCs w:val="18"/>
          <w:lang w:val="en-GB"/>
        </w:rPr>
        <w:t xml:space="preserve"> per reactor year  - </w:t>
      </w:r>
      <w:r w:rsidRPr="005262CB">
        <w:rPr>
          <w:rFonts w:ascii="Trebuchet MS" w:hAnsi="Trebuchet MS"/>
          <w:color w:val="auto"/>
          <w:sz w:val="18"/>
          <w:szCs w:val="18"/>
          <w:lang w:val="en-GB"/>
        </w:rPr>
        <w:t>events  reasonably expected to occur during the lifetime of a plant, and having the potential to challenge the safety</w:t>
      </w:r>
      <w:r w:rsidR="00F63081" w:rsidRPr="005262CB">
        <w:rPr>
          <w:rFonts w:ascii="Trebuchet MS" w:hAnsi="Trebuchet MS"/>
          <w:color w:val="auto"/>
          <w:sz w:val="18"/>
          <w:szCs w:val="18"/>
          <w:lang w:val="en-GB"/>
        </w:rPr>
        <w:t>;</w:t>
      </w:r>
    </w:p>
    <w:p w:rsidR="00A93B29" w:rsidRPr="005262CB" w:rsidRDefault="00A93B29" w:rsidP="00A93B29">
      <w:pPr>
        <w:pStyle w:val="Default"/>
        <w:spacing w:line="348" w:lineRule="atLeast"/>
        <w:ind w:left="567" w:hanging="207"/>
        <w:jc w:val="both"/>
        <w:rPr>
          <w:rFonts w:ascii="Trebuchet MS" w:hAnsi="Trebuchet MS"/>
          <w:color w:val="auto"/>
          <w:sz w:val="18"/>
          <w:szCs w:val="18"/>
          <w:lang w:val="en-GB"/>
        </w:rPr>
      </w:pPr>
      <w:r w:rsidRPr="005262CB">
        <w:rPr>
          <w:rFonts w:ascii="Trebuchet MS" w:hAnsi="Trebuchet MS"/>
          <w:color w:val="auto"/>
          <w:sz w:val="18"/>
          <w:szCs w:val="18"/>
          <w:lang w:val="en-GB"/>
        </w:rPr>
        <w:t xml:space="preserve">• </w:t>
      </w:r>
      <w:r w:rsidRPr="005262CB">
        <w:rPr>
          <w:rFonts w:ascii="Trebuchet MS" w:hAnsi="Trebuchet MS"/>
          <w:b/>
          <w:bCs/>
          <w:color w:val="auto"/>
          <w:sz w:val="18"/>
          <w:szCs w:val="18"/>
          <w:lang w:val="en-GB"/>
        </w:rPr>
        <w:t>design basis accidents (DBA) –</w:t>
      </w:r>
      <w:r w:rsidR="00F63081" w:rsidRPr="005262CB">
        <w:rPr>
          <w:rFonts w:ascii="Trebuchet MS" w:hAnsi="Trebuchet MS"/>
          <w:b/>
          <w:bCs/>
          <w:color w:val="auto"/>
          <w:sz w:val="18"/>
          <w:szCs w:val="18"/>
          <w:lang w:val="en-GB"/>
        </w:rPr>
        <w:t xml:space="preserve"> </w:t>
      </w:r>
      <w:r w:rsidRPr="005262CB">
        <w:rPr>
          <w:rFonts w:ascii="Trebuchet MS" w:hAnsi="Trebuchet MS"/>
          <w:b/>
          <w:bCs/>
          <w:color w:val="auto"/>
          <w:sz w:val="18"/>
          <w:szCs w:val="18"/>
          <w:lang w:val="en-GB"/>
        </w:rPr>
        <w:t>frequencies of occurrence equal to or greater than 10</w:t>
      </w:r>
      <w:r w:rsidRPr="005262CB">
        <w:rPr>
          <w:rFonts w:ascii="Trebuchet MS" w:hAnsi="Trebuchet MS"/>
          <w:b/>
          <w:bCs/>
          <w:color w:val="auto"/>
          <w:sz w:val="18"/>
          <w:szCs w:val="18"/>
          <w:vertAlign w:val="superscript"/>
          <w:lang w:val="en-GB"/>
        </w:rPr>
        <w:t>-5</w:t>
      </w:r>
      <w:r w:rsidRPr="005262CB">
        <w:rPr>
          <w:rFonts w:ascii="Trebuchet MS" w:hAnsi="Trebuchet MS"/>
          <w:b/>
          <w:bCs/>
          <w:color w:val="auto"/>
          <w:sz w:val="18"/>
          <w:szCs w:val="18"/>
          <w:lang w:val="en-GB"/>
        </w:rPr>
        <w:t xml:space="preserve"> per reactor year, but less than 10</w:t>
      </w:r>
      <w:r w:rsidRPr="005262CB">
        <w:rPr>
          <w:rFonts w:ascii="Trebuchet MS" w:hAnsi="Trebuchet MS"/>
          <w:b/>
          <w:bCs/>
          <w:color w:val="auto"/>
          <w:sz w:val="18"/>
          <w:szCs w:val="18"/>
          <w:vertAlign w:val="superscript"/>
          <w:lang w:val="en-GB"/>
        </w:rPr>
        <w:t>-2</w:t>
      </w:r>
      <w:r w:rsidRPr="005262CB">
        <w:rPr>
          <w:rFonts w:ascii="Trebuchet MS" w:hAnsi="Trebuchet MS"/>
          <w:b/>
          <w:bCs/>
          <w:color w:val="auto"/>
          <w:sz w:val="18"/>
          <w:szCs w:val="18"/>
          <w:lang w:val="en-GB"/>
        </w:rPr>
        <w:t xml:space="preserve"> per reactor year - </w:t>
      </w:r>
      <w:r w:rsidRPr="005262CB">
        <w:rPr>
          <w:rFonts w:ascii="Trebuchet MS" w:hAnsi="Trebuchet MS"/>
          <w:color w:val="auto"/>
          <w:sz w:val="18"/>
          <w:szCs w:val="18"/>
          <w:lang w:val="en-GB"/>
        </w:rPr>
        <w:t>events considered in the design of the nuclear power plant and not expected to occur during the lifetime of a plant; however, certain groups of events with lower frequency may also be included in the plant design basis</w:t>
      </w:r>
      <w:r w:rsidR="00F63081" w:rsidRPr="005262CB">
        <w:rPr>
          <w:rFonts w:ascii="Trebuchet MS" w:hAnsi="Trebuchet MS"/>
          <w:color w:val="auto"/>
          <w:sz w:val="18"/>
          <w:szCs w:val="18"/>
          <w:lang w:val="en-GB"/>
        </w:rPr>
        <w:t>;</w:t>
      </w:r>
    </w:p>
    <w:p w:rsidR="00A93B29" w:rsidRPr="005262CB" w:rsidRDefault="00A93B29" w:rsidP="00A93B29">
      <w:pPr>
        <w:pStyle w:val="Default"/>
        <w:spacing w:line="348" w:lineRule="atLeast"/>
        <w:ind w:left="567" w:hanging="207"/>
        <w:jc w:val="both"/>
        <w:rPr>
          <w:rFonts w:ascii="Trebuchet MS" w:hAnsi="Trebuchet MS"/>
          <w:color w:val="auto"/>
          <w:sz w:val="18"/>
          <w:szCs w:val="18"/>
          <w:lang w:val="en-GB"/>
        </w:rPr>
      </w:pPr>
      <w:r w:rsidRPr="005262CB">
        <w:rPr>
          <w:rFonts w:ascii="Trebuchet MS" w:hAnsi="Trebuchet MS"/>
          <w:color w:val="auto"/>
          <w:sz w:val="18"/>
          <w:szCs w:val="18"/>
          <w:lang w:val="en-GB"/>
        </w:rPr>
        <w:t xml:space="preserve">• </w:t>
      </w:r>
      <w:r w:rsidRPr="005262CB">
        <w:rPr>
          <w:rFonts w:ascii="Trebuchet MS" w:hAnsi="Trebuchet MS"/>
          <w:b/>
          <w:bCs/>
          <w:color w:val="auto"/>
          <w:sz w:val="18"/>
          <w:szCs w:val="18"/>
          <w:lang w:val="en-GB"/>
        </w:rPr>
        <w:t>beyond design basis accidents (BDBA) –</w:t>
      </w:r>
      <w:r w:rsidR="00F63081" w:rsidRPr="005262CB">
        <w:rPr>
          <w:rFonts w:ascii="Trebuchet MS" w:hAnsi="Trebuchet MS"/>
          <w:b/>
          <w:bCs/>
          <w:color w:val="auto"/>
          <w:sz w:val="18"/>
          <w:szCs w:val="18"/>
          <w:lang w:val="en-GB"/>
        </w:rPr>
        <w:t xml:space="preserve"> </w:t>
      </w:r>
      <w:r w:rsidRPr="005262CB">
        <w:rPr>
          <w:rFonts w:ascii="Trebuchet MS" w:hAnsi="Trebuchet MS"/>
          <w:b/>
          <w:bCs/>
          <w:color w:val="auto"/>
          <w:sz w:val="18"/>
          <w:szCs w:val="18"/>
          <w:lang w:val="en-GB"/>
        </w:rPr>
        <w:t>frequencies of occurrence less than 10</w:t>
      </w:r>
      <w:r w:rsidRPr="005262CB">
        <w:rPr>
          <w:rFonts w:ascii="Trebuchet MS" w:hAnsi="Trebuchet MS"/>
          <w:b/>
          <w:bCs/>
          <w:color w:val="auto"/>
          <w:sz w:val="18"/>
          <w:szCs w:val="18"/>
          <w:vertAlign w:val="superscript"/>
          <w:lang w:val="en-GB"/>
        </w:rPr>
        <w:t>-5</w:t>
      </w:r>
      <w:r w:rsidRPr="005262CB">
        <w:rPr>
          <w:rFonts w:ascii="Trebuchet MS" w:hAnsi="Trebuchet MS"/>
          <w:b/>
          <w:bCs/>
          <w:color w:val="auto"/>
          <w:sz w:val="18"/>
          <w:szCs w:val="18"/>
          <w:lang w:val="en-GB"/>
        </w:rPr>
        <w:t xml:space="preserve"> per reactor year - </w:t>
      </w:r>
      <w:r w:rsidRPr="005262CB">
        <w:rPr>
          <w:rFonts w:ascii="Trebuchet MS" w:hAnsi="Trebuchet MS"/>
          <w:color w:val="auto"/>
          <w:sz w:val="18"/>
          <w:szCs w:val="18"/>
          <w:lang w:val="en-GB"/>
        </w:rPr>
        <w:t>events with low probabilities of expected occurrence, which may be more severe than DBA (involve multiple failures and/or operator errors)</w:t>
      </w:r>
      <w:r w:rsidR="00F63081" w:rsidRPr="005262CB">
        <w:rPr>
          <w:rFonts w:ascii="Trebuchet MS" w:hAnsi="Trebuchet MS"/>
          <w:color w:val="auto"/>
          <w:sz w:val="18"/>
          <w:szCs w:val="18"/>
          <w:lang w:val="en-GB"/>
        </w:rPr>
        <w:t>.</w:t>
      </w:r>
    </w:p>
    <w:p w:rsidR="00A93B29" w:rsidRPr="00C70893" w:rsidRDefault="00A93B29" w:rsidP="00A93B29">
      <w:pPr>
        <w:rPr>
          <w:szCs w:val="18"/>
          <w:lang w:val="en-GB"/>
        </w:rPr>
      </w:pPr>
      <w:r w:rsidRPr="005262CB">
        <w:rPr>
          <w:szCs w:val="18"/>
          <w:lang w:val="en-GB"/>
        </w:rPr>
        <w:t>An event with a predicted frequency that is on the threshold between two classes of events</w:t>
      </w:r>
      <w:r w:rsidRPr="00C70893">
        <w:rPr>
          <w:szCs w:val="18"/>
          <w:lang w:val="en-GB"/>
        </w:rPr>
        <w:t>, or wh</w:t>
      </w:r>
      <w:r w:rsidRPr="00E20701">
        <w:rPr>
          <w:szCs w:val="18"/>
          <w:lang w:val="en-GB"/>
        </w:rPr>
        <w:t>ich</w:t>
      </w:r>
      <w:r w:rsidRPr="00C70893">
        <w:rPr>
          <w:szCs w:val="18"/>
          <w:lang w:val="en-GB"/>
        </w:rPr>
        <w:t xml:space="preserve"> has a substantial uncertainty in the predicted event frequency, is classified into the higher frequency class.</w:t>
      </w:r>
    </w:p>
    <w:p w:rsidR="00A93B29" w:rsidRPr="00C70893" w:rsidRDefault="00A93B29" w:rsidP="00A93B29">
      <w:pPr>
        <w:pStyle w:val="Default"/>
        <w:spacing w:line="348" w:lineRule="atLeast"/>
        <w:jc w:val="both"/>
        <w:rPr>
          <w:rFonts w:ascii="Trebuchet MS" w:hAnsi="Trebuchet MS"/>
          <w:color w:val="auto"/>
          <w:sz w:val="18"/>
          <w:szCs w:val="18"/>
          <w:lang w:val="en-GB"/>
        </w:rPr>
      </w:pPr>
      <w:r w:rsidRPr="00C70893">
        <w:rPr>
          <w:rFonts w:ascii="Trebuchet MS" w:hAnsi="Trebuchet MS"/>
          <w:color w:val="auto"/>
          <w:sz w:val="18"/>
          <w:szCs w:val="18"/>
          <w:lang w:val="en-GB"/>
        </w:rPr>
        <w:t xml:space="preserve">In order to establish an understanding of margins of safety or </w:t>
      </w:r>
      <w:r w:rsidRPr="00E20701">
        <w:rPr>
          <w:rFonts w:ascii="Trebuchet MS" w:hAnsi="Trebuchet MS"/>
          <w:color w:val="auto"/>
          <w:sz w:val="18"/>
          <w:szCs w:val="18"/>
          <w:lang w:val="en-GB"/>
        </w:rPr>
        <w:t xml:space="preserve">of </w:t>
      </w:r>
      <w:r w:rsidRPr="00C70893">
        <w:rPr>
          <w:rFonts w:ascii="Trebuchet MS" w:hAnsi="Trebuchet MS"/>
          <w:color w:val="auto"/>
          <w:sz w:val="18"/>
          <w:szCs w:val="18"/>
          <w:lang w:val="en-GB"/>
        </w:rPr>
        <w:t xml:space="preserve">the robustness of the design, the regulatory authority may request that certain events be </w:t>
      </w:r>
      <w:r w:rsidRPr="00E20701">
        <w:rPr>
          <w:rFonts w:ascii="Trebuchet MS" w:hAnsi="Trebuchet MS"/>
          <w:color w:val="auto"/>
          <w:sz w:val="18"/>
          <w:szCs w:val="18"/>
          <w:lang w:val="en-GB"/>
        </w:rPr>
        <w:t>analysed</w:t>
      </w:r>
      <w:r w:rsidRPr="00C70893">
        <w:rPr>
          <w:rFonts w:ascii="Trebuchet MS" w:hAnsi="Trebuchet MS"/>
          <w:color w:val="auto"/>
          <w:sz w:val="18"/>
          <w:szCs w:val="18"/>
          <w:lang w:val="en-GB"/>
        </w:rPr>
        <w:t xml:space="preserve"> as design basis accidents or as representative severe accidents. Past practices and experience may indicate that certain scenarios are more critical and should be </w:t>
      </w:r>
      <w:r w:rsidRPr="00E20701">
        <w:rPr>
          <w:rFonts w:ascii="Trebuchet MS" w:hAnsi="Trebuchet MS"/>
          <w:color w:val="auto"/>
          <w:sz w:val="18"/>
          <w:szCs w:val="18"/>
          <w:lang w:val="en-GB"/>
        </w:rPr>
        <w:t>analysed</w:t>
      </w:r>
      <w:r w:rsidRPr="00C70893">
        <w:rPr>
          <w:rFonts w:ascii="Trebuchet MS" w:hAnsi="Trebuchet MS"/>
          <w:color w:val="auto"/>
          <w:sz w:val="18"/>
          <w:szCs w:val="18"/>
          <w:lang w:val="en-GB"/>
        </w:rPr>
        <w:t xml:space="preserve"> as DBA. </w:t>
      </w:r>
    </w:p>
    <w:p w:rsidR="00A93B29" w:rsidRPr="00C70893" w:rsidRDefault="00A93B29" w:rsidP="00A93B29">
      <w:pPr>
        <w:pStyle w:val="Default"/>
        <w:spacing w:line="348" w:lineRule="atLeast"/>
        <w:jc w:val="both"/>
        <w:rPr>
          <w:rFonts w:ascii="Trebuchet MS" w:hAnsi="Trebuchet MS"/>
          <w:color w:val="auto"/>
          <w:sz w:val="18"/>
          <w:szCs w:val="18"/>
          <w:lang w:val="en-GB"/>
        </w:rPr>
      </w:pPr>
    </w:p>
    <w:p w:rsidR="00A93B29" w:rsidRPr="00C70893" w:rsidRDefault="00A93B29" w:rsidP="00A93B29">
      <w:pPr>
        <w:pStyle w:val="Default"/>
        <w:spacing w:line="348" w:lineRule="atLeast"/>
        <w:jc w:val="both"/>
        <w:rPr>
          <w:rFonts w:ascii="Trebuchet MS" w:hAnsi="Trebuchet MS"/>
          <w:b/>
          <w:color w:val="auto"/>
          <w:sz w:val="18"/>
          <w:szCs w:val="18"/>
          <w:u w:val="single"/>
          <w:lang w:val="en-GB"/>
        </w:rPr>
      </w:pPr>
      <w:r w:rsidRPr="00C70893">
        <w:rPr>
          <w:rFonts w:ascii="Trebuchet MS" w:hAnsi="Trebuchet MS"/>
          <w:b/>
          <w:color w:val="auto"/>
          <w:sz w:val="18"/>
          <w:szCs w:val="18"/>
          <w:u w:val="single"/>
          <w:lang w:val="en-GB"/>
        </w:rPr>
        <w:t>Event combinations</w:t>
      </w:r>
    </w:p>
    <w:p w:rsidR="00A93B29" w:rsidRPr="00C70893" w:rsidRDefault="00A93B29" w:rsidP="00A93B29">
      <w:pPr>
        <w:pStyle w:val="Default"/>
        <w:spacing w:line="348" w:lineRule="atLeast"/>
        <w:jc w:val="both"/>
        <w:rPr>
          <w:rFonts w:ascii="Trebuchet MS" w:hAnsi="Trebuchet MS"/>
          <w:color w:val="auto"/>
          <w:sz w:val="18"/>
          <w:szCs w:val="18"/>
          <w:lang w:val="en-GB"/>
        </w:rPr>
      </w:pPr>
      <w:r w:rsidRPr="00C70893">
        <w:rPr>
          <w:rFonts w:ascii="Trebuchet MS" w:hAnsi="Trebuchet MS"/>
          <w:color w:val="auto"/>
          <w:sz w:val="18"/>
          <w:szCs w:val="18"/>
          <w:lang w:val="en-GB"/>
        </w:rPr>
        <w:t>Where the results of engineering judgment, deterministic and probabilistic safety assessments indicate that a combinations of events (which may occur either simultaneously or sequentially) could lead to AOO or to accident conditions, such combinations of events should be considered to be DBA or should be included as part of DEC, depending on their likelihood of occurrence.</w:t>
      </w:r>
    </w:p>
    <w:p w:rsidR="00A93B29" w:rsidRPr="00C70893" w:rsidRDefault="00A93B29" w:rsidP="00A93B29">
      <w:pPr>
        <w:pStyle w:val="Default"/>
        <w:spacing w:line="348" w:lineRule="atLeast"/>
        <w:jc w:val="both"/>
        <w:rPr>
          <w:rFonts w:ascii="Trebuchet MS" w:hAnsi="Trebuchet MS"/>
          <w:color w:val="auto"/>
          <w:sz w:val="18"/>
          <w:szCs w:val="18"/>
          <w:lang w:val="en-GB"/>
        </w:rPr>
      </w:pPr>
    </w:p>
    <w:p w:rsidR="00A93B29" w:rsidRPr="00C70893" w:rsidRDefault="00A93B29" w:rsidP="00A93B29">
      <w:pPr>
        <w:pStyle w:val="Default"/>
        <w:spacing w:line="348" w:lineRule="atLeast"/>
        <w:jc w:val="both"/>
        <w:rPr>
          <w:rFonts w:ascii="Trebuchet MS" w:hAnsi="Trebuchet MS"/>
          <w:color w:val="auto"/>
          <w:sz w:val="18"/>
          <w:szCs w:val="18"/>
          <w:lang w:val="en-GB"/>
        </w:rPr>
      </w:pPr>
      <w:r w:rsidRPr="00C70893">
        <w:rPr>
          <w:rFonts w:ascii="Trebuchet MS" w:hAnsi="Trebuchet MS"/>
          <w:color w:val="auto"/>
          <w:sz w:val="18"/>
          <w:szCs w:val="18"/>
          <w:lang w:val="en-GB"/>
        </w:rPr>
        <w:t xml:space="preserve">Licensees must consider combinations of events, including consequential and correlated events. Examples of consequential events include external events (such as a cooling water intake blockage caused by severe weather) and internal events (such as a fire caused by an earthquake); examples of correlated events include heavy rainfall concurrent with a storm surge or high winds caused by a hurricane. </w:t>
      </w:r>
    </w:p>
    <w:p w:rsidR="00A93B29" w:rsidRPr="00C70893" w:rsidRDefault="00A93B29" w:rsidP="00A93B29">
      <w:pPr>
        <w:pStyle w:val="Default"/>
        <w:spacing w:line="348" w:lineRule="atLeast"/>
        <w:jc w:val="both"/>
        <w:rPr>
          <w:rFonts w:ascii="Trebuchet MS" w:hAnsi="Trebuchet MS"/>
          <w:color w:val="auto"/>
          <w:sz w:val="18"/>
          <w:szCs w:val="18"/>
          <w:lang w:val="en-GB"/>
        </w:rPr>
      </w:pPr>
    </w:p>
    <w:p w:rsidR="00A93B29" w:rsidRPr="00C70893" w:rsidRDefault="00A93B29" w:rsidP="00A93B29">
      <w:pPr>
        <w:pStyle w:val="Default"/>
        <w:spacing w:line="348" w:lineRule="atLeast"/>
        <w:jc w:val="both"/>
        <w:rPr>
          <w:rFonts w:ascii="Trebuchet MS" w:hAnsi="Trebuchet MS"/>
          <w:b/>
          <w:color w:val="auto"/>
          <w:sz w:val="18"/>
          <w:szCs w:val="18"/>
          <w:lang w:val="en-GB"/>
        </w:rPr>
      </w:pPr>
      <w:r w:rsidRPr="00C70893">
        <w:rPr>
          <w:rFonts w:ascii="Trebuchet MS" w:hAnsi="Trebuchet MS"/>
          <w:color w:val="auto"/>
          <w:sz w:val="18"/>
          <w:szCs w:val="18"/>
          <w:lang w:val="en-GB"/>
        </w:rPr>
        <w:t>For a site with multiple units, the potential for specific hazards simultaneously impacting several units on the site should be considered</w:t>
      </w:r>
      <w:r w:rsidRPr="00E20701">
        <w:rPr>
          <w:rFonts w:ascii="Trebuchet MS" w:hAnsi="Trebuchet MS"/>
          <w:color w:val="auto"/>
          <w:sz w:val="18"/>
          <w:szCs w:val="18"/>
          <w:lang w:val="en-GB"/>
        </w:rPr>
        <w:t xml:space="preserve"> </w:t>
      </w:r>
      <w:r w:rsidR="00BC08E0">
        <w:rPr>
          <w:rFonts w:ascii="Trebuchet MS" w:hAnsi="Trebuchet MS"/>
          <w:color w:val="auto"/>
          <w:sz w:val="18"/>
          <w:szCs w:val="18"/>
          <w:lang w:val="en-GB"/>
        </w:rPr>
        <w:fldChar w:fldCharType="begin"/>
      </w:r>
      <w:r w:rsidR="00BC08E0">
        <w:rPr>
          <w:rFonts w:ascii="Trebuchet MS" w:hAnsi="Trebuchet MS"/>
          <w:color w:val="auto"/>
          <w:sz w:val="18"/>
          <w:szCs w:val="18"/>
          <w:lang w:val="en-GB"/>
        </w:rPr>
        <w:instrText xml:space="preserve"> REF _Ref408825081 \w \h </w:instrText>
      </w:r>
      <w:r w:rsidR="00BC08E0">
        <w:rPr>
          <w:rFonts w:ascii="Trebuchet MS" w:hAnsi="Trebuchet MS"/>
          <w:color w:val="auto"/>
          <w:sz w:val="18"/>
          <w:szCs w:val="18"/>
          <w:lang w:val="en-GB"/>
        </w:rPr>
      </w:r>
      <w:r w:rsidR="00BC08E0">
        <w:rPr>
          <w:rFonts w:ascii="Trebuchet MS" w:hAnsi="Trebuchet MS"/>
          <w:color w:val="auto"/>
          <w:sz w:val="18"/>
          <w:szCs w:val="18"/>
          <w:lang w:val="en-GB"/>
        </w:rPr>
        <w:fldChar w:fldCharType="separate"/>
      </w:r>
      <w:r w:rsidR="00E62976">
        <w:rPr>
          <w:rFonts w:ascii="Trebuchet MS" w:hAnsi="Trebuchet MS"/>
          <w:color w:val="auto"/>
          <w:sz w:val="18"/>
          <w:szCs w:val="18"/>
          <w:lang w:val="en-GB"/>
        </w:rPr>
        <w:t>[51]</w:t>
      </w:r>
      <w:r w:rsidR="00BC08E0">
        <w:rPr>
          <w:rFonts w:ascii="Trebuchet MS" w:hAnsi="Trebuchet MS"/>
          <w:color w:val="auto"/>
          <w:sz w:val="18"/>
          <w:szCs w:val="18"/>
          <w:lang w:val="en-GB"/>
        </w:rPr>
        <w:fldChar w:fldCharType="end"/>
      </w:r>
      <w:r w:rsidRPr="00C70893">
        <w:rPr>
          <w:rFonts w:ascii="Trebuchet MS" w:hAnsi="Trebuchet MS"/>
          <w:color w:val="auto"/>
          <w:sz w:val="18"/>
          <w:szCs w:val="18"/>
          <w:lang w:val="en-GB"/>
        </w:rPr>
        <w:t>.</w:t>
      </w:r>
    </w:p>
    <w:p w:rsidR="00A93B29" w:rsidRPr="00C70893" w:rsidRDefault="00A93B29" w:rsidP="00A93B29">
      <w:pPr>
        <w:autoSpaceDE w:val="0"/>
        <w:autoSpaceDN w:val="0"/>
        <w:adjustRightInd w:val="0"/>
        <w:rPr>
          <w:szCs w:val="18"/>
          <w:lang w:val="en-GB"/>
        </w:rPr>
      </w:pPr>
      <w:r w:rsidRPr="00C70893">
        <w:rPr>
          <w:szCs w:val="18"/>
          <w:lang w:val="en-GB"/>
        </w:rPr>
        <w:t xml:space="preserve">In response to the Fukushima </w:t>
      </w:r>
      <w:r w:rsidR="00BC08E0">
        <w:rPr>
          <w:szCs w:val="18"/>
          <w:lang w:val="en-GB"/>
        </w:rPr>
        <w:t xml:space="preserve">Dai-ichi </w:t>
      </w:r>
      <w:r w:rsidRPr="00C70893">
        <w:rPr>
          <w:szCs w:val="18"/>
          <w:lang w:val="en-GB"/>
        </w:rPr>
        <w:t xml:space="preserve">accident, the CNSC directed Canadian NPP licensees to review the lessons learned and </w:t>
      </w:r>
      <w:r w:rsidRPr="00E20701">
        <w:rPr>
          <w:szCs w:val="18"/>
          <w:lang w:val="en-GB"/>
        </w:rPr>
        <w:t xml:space="preserve">to </w:t>
      </w:r>
      <w:r w:rsidRPr="00C70893">
        <w:rPr>
          <w:szCs w:val="18"/>
          <w:lang w:val="en-GB"/>
        </w:rPr>
        <w:t xml:space="preserve">re-examine the safety cases of NPPs </w:t>
      </w:r>
      <w:r w:rsidRPr="00E20701">
        <w:rPr>
          <w:szCs w:val="18"/>
          <w:lang w:val="en-GB"/>
        </w:rPr>
        <w:t>for ensuring</w:t>
      </w:r>
      <w:r w:rsidRPr="00C70893">
        <w:rPr>
          <w:szCs w:val="18"/>
          <w:lang w:val="en-GB"/>
        </w:rPr>
        <w:t xml:space="preserve"> that sufficient defence-in-depth margins are available, with a focus also on external hazards such as seismic, flooding, fire and extreme weather events.</w:t>
      </w:r>
    </w:p>
    <w:p w:rsidR="00A93B29" w:rsidRPr="00E20701" w:rsidRDefault="00A93B29" w:rsidP="00FA3BDC">
      <w:pPr>
        <w:rPr>
          <w:lang w:val="en-GB"/>
        </w:rPr>
      </w:pPr>
    </w:p>
    <w:p w:rsidR="00737A59" w:rsidRPr="00E20701" w:rsidRDefault="00737A59" w:rsidP="00317481">
      <w:pPr>
        <w:pStyle w:val="Titre3"/>
        <w:rPr>
          <w:lang w:val="en-GB"/>
        </w:rPr>
      </w:pPr>
      <w:bookmarkStart w:id="403" w:name="_Toc473303555"/>
      <w:r w:rsidRPr="00E20701">
        <w:rPr>
          <w:lang w:val="en-GB"/>
        </w:rPr>
        <w:t>Czech Republic</w:t>
      </w:r>
      <w:bookmarkEnd w:id="403"/>
    </w:p>
    <w:p w:rsidR="006B4D8A" w:rsidRPr="00622ACF" w:rsidRDefault="006B4D8A" w:rsidP="00622ACF">
      <w:pPr>
        <w:autoSpaceDE w:val="0"/>
        <w:autoSpaceDN w:val="0"/>
        <w:adjustRightInd w:val="0"/>
        <w:rPr>
          <w:szCs w:val="18"/>
          <w:lang w:val="en-GB"/>
        </w:rPr>
      </w:pPr>
      <w:r w:rsidRPr="00622ACF">
        <w:rPr>
          <w:szCs w:val="18"/>
          <w:lang w:val="en-GB"/>
        </w:rPr>
        <w:t>In 2008, performance of new comprehensive external risk analyses for Czech NPP Dukovany was initiated at UJV Rez. Some of the analyses are still on-going. Guidelines, methodologies and other publications</w:t>
      </w:r>
      <w:r w:rsidRPr="005079A3">
        <w:rPr>
          <w:szCs w:val="18"/>
          <w:lang w:val="en-US"/>
        </w:rPr>
        <w:t xml:space="preserve"> released by</w:t>
      </w:r>
      <w:r w:rsidRPr="00622ACF">
        <w:rPr>
          <w:szCs w:val="18"/>
          <w:lang w:val="en-GB"/>
        </w:rPr>
        <w:t xml:space="preserve"> </w:t>
      </w:r>
      <w:r w:rsidRPr="005079A3">
        <w:rPr>
          <w:szCs w:val="18"/>
          <w:lang w:val="en-US"/>
        </w:rPr>
        <w:t>IAEA, NRC, WENRA</w:t>
      </w:r>
      <w:r w:rsidRPr="00622ACF">
        <w:rPr>
          <w:szCs w:val="18"/>
          <w:lang w:val="en-GB"/>
        </w:rPr>
        <w:t xml:space="preserve"> and EPRI have been used as the main sources of information, see ref. </w:t>
      </w:r>
      <w:r w:rsidR="008D0932">
        <w:rPr>
          <w:szCs w:val="18"/>
          <w:lang w:val="en-GB"/>
        </w:rPr>
        <w:fldChar w:fldCharType="begin"/>
      </w:r>
      <w:r w:rsidR="008D0932">
        <w:rPr>
          <w:szCs w:val="18"/>
          <w:lang w:val="en-GB"/>
        </w:rPr>
        <w:instrText xml:space="preserve"> REF _Ref443294889 \w \h </w:instrText>
      </w:r>
      <w:r w:rsidR="008D0932">
        <w:rPr>
          <w:szCs w:val="18"/>
          <w:lang w:val="en-GB"/>
        </w:rPr>
      </w:r>
      <w:r w:rsidR="008D0932">
        <w:rPr>
          <w:szCs w:val="18"/>
          <w:lang w:val="en-GB"/>
        </w:rPr>
        <w:fldChar w:fldCharType="separate"/>
      </w:r>
      <w:r w:rsidR="00E62976">
        <w:rPr>
          <w:szCs w:val="18"/>
          <w:lang w:val="en-GB"/>
        </w:rPr>
        <w:t>[2]</w:t>
      </w:r>
      <w:r w:rsidR="008D0932">
        <w:rPr>
          <w:szCs w:val="18"/>
          <w:lang w:val="en-GB"/>
        </w:rPr>
        <w:fldChar w:fldCharType="end"/>
      </w:r>
      <w:r w:rsidR="003734EF" w:rsidRPr="00622ACF">
        <w:rPr>
          <w:szCs w:val="18"/>
          <w:lang w:val="en-GB"/>
        </w:rPr>
        <w:t xml:space="preserve">, </w:t>
      </w:r>
      <w:r w:rsidR="008D0932">
        <w:rPr>
          <w:szCs w:val="18"/>
          <w:lang w:val="en-GB"/>
        </w:rPr>
        <w:fldChar w:fldCharType="begin"/>
      </w:r>
      <w:r w:rsidR="008D0932">
        <w:rPr>
          <w:szCs w:val="18"/>
          <w:lang w:val="en-GB"/>
        </w:rPr>
        <w:instrText xml:space="preserve"> REF _Ref384902153 \w \h </w:instrText>
      </w:r>
      <w:r w:rsidR="008D0932">
        <w:rPr>
          <w:szCs w:val="18"/>
          <w:lang w:val="en-GB"/>
        </w:rPr>
      </w:r>
      <w:r w:rsidR="008D0932">
        <w:rPr>
          <w:szCs w:val="18"/>
          <w:lang w:val="en-GB"/>
        </w:rPr>
        <w:fldChar w:fldCharType="separate"/>
      </w:r>
      <w:r w:rsidR="00E62976">
        <w:rPr>
          <w:szCs w:val="18"/>
          <w:lang w:val="en-GB"/>
        </w:rPr>
        <w:t>[26]</w:t>
      </w:r>
      <w:r w:rsidR="008D0932">
        <w:rPr>
          <w:szCs w:val="18"/>
          <w:lang w:val="en-GB"/>
        </w:rPr>
        <w:fldChar w:fldCharType="end"/>
      </w:r>
      <w:r w:rsidR="003734EF" w:rsidRPr="00622ACF">
        <w:rPr>
          <w:szCs w:val="18"/>
          <w:lang w:val="en-GB"/>
        </w:rPr>
        <w:t xml:space="preserve">, </w:t>
      </w:r>
      <w:r w:rsidR="008D0932">
        <w:rPr>
          <w:szCs w:val="18"/>
          <w:lang w:val="en-GB"/>
        </w:rPr>
        <w:fldChar w:fldCharType="begin"/>
      </w:r>
      <w:r w:rsidR="008D0932">
        <w:rPr>
          <w:szCs w:val="18"/>
          <w:lang w:val="en-GB"/>
        </w:rPr>
        <w:instrText xml:space="preserve"> REF _Ref384902155 \w \h </w:instrText>
      </w:r>
      <w:r w:rsidR="008D0932">
        <w:rPr>
          <w:szCs w:val="18"/>
          <w:lang w:val="en-GB"/>
        </w:rPr>
      </w:r>
      <w:r w:rsidR="008D0932">
        <w:rPr>
          <w:szCs w:val="18"/>
          <w:lang w:val="en-GB"/>
        </w:rPr>
        <w:fldChar w:fldCharType="separate"/>
      </w:r>
      <w:r w:rsidR="00E62976">
        <w:rPr>
          <w:szCs w:val="18"/>
          <w:lang w:val="en-GB"/>
        </w:rPr>
        <w:t>[27]</w:t>
      </w:r>
      <w:r w:rsidR="008D0932">
        <w:rPr>
          <w:szCs w:val="18"/>
          <w:lang w:val="en-GB"/>
        </w:rPr>
        <w:fldChar w:fldCharType="end"/>
      </w:r>
      <w:r w:rsidR="003734EF" w:rsidRPr="00622ACF">
        <w:rPr>
          <w:szCs w:val="18"/>
          <w:lang w:val="en-GB"/>
        </w:rPr>
        <w:t xml:space="preserve">, </w:t>
      </w:r>
      <w:r w:rsidR="008D0932">
        <w:rPr>
          <w:szCs w:val="18"/>
          <w:lang w:val="en-GB"/>
        </w:rPr>
        <w:fldChar w:fldCharType="begin"/>
      </w:r>
      <w:r w:rsidR="008D0932">
        <w:rPr>
          <w:szCs w:val="18"/>
          <w:lang w:val="en-GB"/>
        </w:rPr>
        <w:instrText xml:space="preserve"> REF _Ref450205827 \w \h </w:instrText>
      </w:r>
      <w:r w:rsidR="008D0932">
        <w:rPr>
          <w:szCs w:val="18"/>
          <w:lang w:val="en-GB"/>
        </w:rPr>
      </w:r>
      <w:r w:rsidR="008D0932">
        <w:rPr>
          <w:szCs w:val="18"/>
          <w:lang w:val="en-GB"/>
        </w:rPr>
        <w:fldChar w:fldCharType="separate"/>
      </w:r>
      <w:r w:rsidR="00E62976">
        <w:rPr>
          <w:szCs w:val="18"/>
          <w:lang w:val="en-GB"/>
        </w:rPr>
        <w:t>[58]</w:t>
      </w:r>
      <w:r w:rsidR="008D0932">
        <w:rPr>
          <w:szCs w:val="18"/>
          <w:lang w:val="en-GB"/>
        </w:rPr>
        <w:fldChar w:fldCharType="end"/>
      </w:r>
      <w:r w:rsidR="003D397D" w:rsidRPr="009803F6" w:rsidDel="003D397D">
        <w:rPr>
          <w:lang w:val="en-US"/>
        </w:rPr>
        <w:t xml:space="preserve"> </w:t>
      </w:r>
      <w:r w:rsidR="003734EF" w:rsidRPr="00622ACF">
        <w:rPr>
          <w:szCs w:val="18"/>
          <w:lang w:val="en-GB"/>
        </w:rPr>
        <w:t xml:space="preserve">- </w:t>
      </w:r>
      <w:r w:rsidR="008D0932">
        <w:rPr>
          <w:szCs w:val="18"/>
          <w:lang w:val="en-GB"/>
        </w:rPr>
        <w:fldChar w:fldCharType="begin"/>
      </w:r>
      <w:r w:rsidR="008D0932">
        <w:rPr>
          <w:szCs w:val="18"/>
          <w:lang w:val="en-GB"/>
        </w:rPr>
        <w:instrText xml:space="preserve"> REF _Ref464301768 \w \h </w:instrText>
      </w:r>
      <w:r w:rsidR="008D0932">
        <w:rPr>
          <w:szCs w:val="18"/>
          <w:lang w:val="en-GB"/>
        </w:rPr>
      </w:r>
      <w:r w:rsidR="008D0932">
        <w:rPr>
          <w:szCs w:val="18"/>
          <w:lang w:val="en-GB"/>
        </w:rPr>
        <w:fldChar w:fldCharType="separate"/>
      </w:r>
      <w:r w:rsidR="00E62976">
        <w:rPr>
          <w:szCs w:val="18"/>
          <w:lang w:val="en-GB"/>
        </w:rPr>
        <w:t>[65]</w:t>
      </w:r>
      <w:r w:rsidR="008D0932">
        <w:rPr>
          <w:szCs w:val="18"/>
          <w:lang w:val="en-GB"/>
        </w:rPr>
        <w:fldChar w:fldCharType="end"/>
      </w:r>
      <w:r w:rsidRPr="00622ACF">
        <w:rPr>
          <w:szCs w:val="18"/>
          <w:lang w:val="en-GB"/>
        </w:rPr>
        <w:t xml:space="preserve"> . </w:t>
      </w:r>
      <w:r w:rsidRPr="005079A3">
        <w:rPr>
          <w:szCs w:val="18"/>
          <w:lang w:val="en-US"/>
        </w:rPr>
        <w:t>National requirements related to</w:t>
      </w:r>
      <w:r w:rsidRPr="00622ACF">
        <w:rPr>
          <w:szCs w:val="18"/>
          <w:lang w:val="en-GB"/>
        </w:rPr>
        <w:t xml:space="preserve"> </w:t>
      </w:r>
      <w:r w:rsidRPr="005079A3">
        <w:rPr>
          <w:szCs w:val="18"/>
          <w:lang w:val="en-US"/>
        </w:rPr>
        <w:t>external events</w:t>
      </w:r>
      <w:r w:rsidRPr="00622ACF">
        <w:rPr>
          <w:szCs w:val="18"/>
          <w:lang w:val="en-GB"/>
        </w:rPr>
        <w:t xml:space="preserve"> </w:t>
      </w:r>
      <w:r w:rsidRPr="005079A3">
        <w:rPr>
          <w:szCs w:val="18"/>
          <w:lang w:val="en-US"/>
        </w:rPr>
        <w:t>risk assessment</w:t>
      </w:r>
      <w:r w:rsidRPr="00622ACF">
        <w:rPr>
          <w:szCs w:val="18"/>
          <w:lang w:val="en-GB"/>
        </w:rPr>
        <w:t xml:space="preserve"> (incl. combinations of external events) </w:t>
      </w:r>
      <w:r w:rsidRPr="005079A3">
        <w:rPr>
          <w:szCs w:val="18"/>
          <w:lang w:val="en-US"/>
        </w:rPr>
        <w:t>arise from</w:t>
      </w:r>
      <w:r w:rsidRPr="00622ACF">
        <w:rPr>
          <w:szCs w:val="18"/>
          <w:lang w:val="en-GB"/>
        </w:rPr>
        <w:t xml:space="preserve"> </w:t>
      </w:r>
      <w:r w:rsidRPr="005079A3">
        <w:rPr>
          <w:szCs w:val="18"/>
          <w:lang w:val="en-US"/>
        </w:rPr>
        <w:t>the safety</w:t>
      </w:r>
      <w:r w:rsidRPr="00622ACF">
        <w:rPr>
          <w:szCs w:val="18"/>
          <w:lang w:val="en-GB"/>
        </w:rPr>
        <w:t xml:space="preserve"> </w:t>
      </w:r>
      <w:r w:rsidRPr="005079A3">
        <w:rPr>
          <w:szCs w:val="18"/>
          <w:lang w:val="en-US"/>
        </w:rPr>
        <w:t>instruction</w:t>
      </w:r>
      <w:r w:rsidRPr="00622ACF">
        <w:rPr>
          <w:szCs w:val="18"/>
          <w:lang w:val="en-GB"/>
        </w:rPr>
        <w:t xml:space="preserve"> </w:t>
      </w:r>
      <w:r w:rsidRPr="005079A3">
        <w:rPr>
          <w:szCs w:val="18"/>
          <w:lang w:val="en-US"/>
        </w:rPr>
        <w:t>BN-</w:t>
      </w:r>
      <w:r w:rsidRPr="00622ACF">
        <w:rPr>
          <w:szCs w:val="18"/>
          <w:lang w:val="en-GB"/>
        </w:rPr>
        <w:t>JB</w:t>
      </w:r>
      <w:r w:rsidRPr="005079A3">
        <w:rPr>
          <w:szCs w:val="18"/>
          <w:lang w:val="en-US"/>
        </w:rPr>
        <w:t>-</w:t>
      </w:r>
      <w:r w:rsidRPr="00622ACF">
        <w:rPr>
          <w:szCs w:val="18"/>
          <w:lang w:val="en-GB"/>
        </w:rPr>
        <w:t xml:space="preserve">1.7 </w:t>
      </w:r>
      <w:r w:rsidRPr="005079A3">
        <w:rPr>
          <w:szCs w:val="18"/>
          <w:lang w:val="en-US"/>
        </w:rPr>
        <w:t>(A</w:t>
      </w:r>
      <w:r w:rsidRPr="00622ACF">
        <w:rPr>
          <w:szCs w:val="18"/>
          <w:lang w:val="en-GB"/>
        </w:rPr>
        <w:t xml:space="preserve">pplication </w:t>
      </w:r>
      <w:r w:rsidRPr="005079A3">
        <w:rPr>
          <w:szCs w:val="18"/>
          <w:lang w:val="en-US"/>
        </w:rPr>
        <w:t>of</w:t>
      </w:r>
      <w:r w:rsidRPr="00622ACF">
        <w:rPr>
          <w:szCs w:val="18"/>
          <w:lang w:val="en-GB"/>
        </w:rPr>
        <w:t xml:space="preserve"> </w:t>
      </w:r>
      <w:r w:rsidRPr="005079A3">
        <w:rPr>
          <w:szCs w:val="18"/>
          <w:lang w:val="en-US"/>
        </w:rPr>
        <w:t>PSA</w:t>
      </w:r>
      <w:r w:rsidRPr="00622ACF">
        <w:rPr>
          <w:szCs w:val="18"/>
          <w:lang w:val="en-GB"/>
        </w:rPr>
        <w:t xml:space="preserve"> </w:t>
      </w:r>
      <w:r w:rsidRPr="005079A3">
        <w:rPr>
          <w:szCs w:val="18"/>
          <w:lang w:val="en-US"/>
        </w:rPr>
        <w:t>methodology</w:t>
      </w:r>
      <w:r w:rsidRPr="00622ACF">
        <w:rPr>
          <w:szCs w:val="18"/>
          <w:lang w:val="en-GB"/>
        </w:rPr>
        <w:t xml:space="preserve"> </w:t>
      </w:r>
      <w:r w:rsidRPr="005079A3">
        <w:rPr>
          <w:szCs w:val="18"/>
          <w:lang w:val="en-US"/>
        </w:rPr>
        <w:t>in</w:t>
      </w:r>
      <w:r w:rsidRPr="00622ACF">
        <w:rPr>
          <w:szCs w:val="18"/>
          <w:lang w:val="en-GB"/>
        </w:rPr>
        <w:t xml:space="preserve"> </w:t>
      </w:r>
      <w:r w:rsidRPr="005079A3">
        <w:rPr>
          <w:szCs w:val="18"/>
          <w:lang w:val="en-US"/>
        </w:rPr>
        <w:t>the</w:t>
      </w:r>
      <w:r w:rsidRPr="00622ACF">
        <w:rPr>
          <w:szCs w:val="18"/>
          <w:lang w:val="en-GB"/>
        </w:rPr>
        <w:t xml:space="preserve"> </w:t>
      </w:r>
      <w:r w:rsidRPr="005079A3">
        <w:rPr>
          <w:szCs w:val="18"/>
          <w:lang w:val="en-US"/>
        </w:rPr>
        <w:t>regulatory</w:t>
      </w:r>
      <w:r w:rsidRPr="00622ACF">
        <w:rPr>
          <w:szCs w:val="18"/>
          <w:lang w:val="en-GB"/>
        </w:rPr>
        <w:t xml:space="preserve"> </w:t>
      </w:r>
      <w:r w:rsidRPr="005079A3">
        <w:rPr>
          <w:szCs w:val="18"/>
          <w:lang w:val="en-US"/>
        </w:rPr>
        <w:t>process)</w:t>
      </w:r>
      <w:r w:rsidR="003734EF" w:rsidRPr="005079A3">
        <w:rPr>
          <w:szCs w:val="18"/>
          <w:lang w:val="en-US"/>
        </w:rPr>
        <w:t xml:space="preserve"> </w:t>
      </w:r>
      <w:r w:rsidR="00C1595B">
        <w:rPr>
          <w:szCs w:val="18"/>
          <w:lang w:val="en-US"/>
        </w:rPr>
        <w:fldChar w:fldCharType="begin"/>
      </w:r>
      <w:r w:rsidR="00C1595B">
        <w:rPr>
          <w:szCs w:val="18"/>
          <w:lang w:val="en-US"/>
        </w:rPr>
        <w:instrText xml:space="preserve"> REF _Ref413237629 \r \h </w:instrText>
      </w:r>
      <w:r w:rsidR="00C1595B">
        <w:rPr>
          <w:szCs w:val="18"/>
          <w:lang w:val="en-US"/>
        </w:rPr>
      </w:r>
      <w:r w:rsidR="00C1595B">
        <w:rPr>
          <w:szCs w:val="18"/>
          <w:lang w:val="en-US"/>
        </w:rPr>
        <w:fldChar w:fldCharType="separate"/>
      </w:r>
      <w:r w:rsidR="00E62976">
        <w:rPr>
          <w:szCs w:val="18"/>
          <w:lang w:val="en-US"/>
        </w:rPr>
        <w:t>[66]</w:t>
      </w:r>
      <w:r w:rsidR="00C1595B">
        <w:rPr>
          <w:szCs w:val="18"/>
          <w:lang w:val="en-US"/>
        </w:rPr>
        <w:fldChar w:fldCharType="end"/>
      </w:r>
      <w:r w:rsidRPr="00622ACF">
        <w:rPr>
          <w:szCs w:val="18"/>
          <w:lang w:val="en-GB"/>
        </w:rPr>
        <w:t>.</w:t>
      </w:r>
    </w:p>
    <w:p w:rsidR="006B4D8A" w:rsidRPr="00E20701" w:rsidRDefault="006B4D8A" w:rsidP="006B4D8A">
      <w:pPr>
        <w:autoSpaceDE w:val="0"/>
        <w:autoSpaceDN w:val="0"/>
        <w:adjustRightInd w:val="0"/>
        <w:spacing w:before="240" w:line="312" w:lineRule="auto"/>
        <w:rPr>
          <w:rFonts w:cs="Arial"/>
          <w:color w:val="222222"/>
          <w:lang w:val="en-GB"/>
        </w:rPr>
      </w:pPr>
    </w:p>
    <w:p w:rsidR="006B4D8A" w:rsidRPr="00E20701" w:rsidRDefault="006B4D8A" w:rsidP="00E62976">
      <w:pPr>
        <w:numPr>
          <w:ilvl w:val="0"/>
          <w:numId w:val="28"/>
        </w:numPr>
        <w:shd w:val="clear" w:color="auto" w:fill="D9D9D9"/>
        <w:spacing w:before="60" w:after="60" w:line="312" w:lineRule="auto"/>
        <w:ind w:left="357" w:hanging="357"/>
        <w:rPr>
          <w:rFonts w:cs="Arial"/>
          <w:b/>
          <w:u w:val="single"/>
          <w:lang w:val="en-GB"/>
        </w:rPr>
      </w:pPr>
      <w:r w:rsidRPr="00E20701">
        <w:rPr>
          <w:rFonts w:cs="Arial"/>
          <w:b/>
          <w:u w:val="single"/>
          <w:lang w:val="en-GB"/>
        </w:rPr>
        <w:t>For selection and risk evaluation of external events the following principles have been applied:</w:t>
      </w:r>
    </w:p>
    <w:p w:rsidR="006B4D8A" w:rsidRPr="00E20701" w:rsidRDefault="006B4D8A" w:rsidP="006B4D8A">
      <w:pPr>
        <w:shd w:val="clear" w:color="auto" w:fill="FFFFFF"/>
        <w:spacing w:before="60" w:after="60" w:line="312" w:lineRule="auto"/>
        <w:ind w:left="360"/>
        <w:rPr>
          <w:rFonts w:cs="Arial"/>
          <w:lang w:val="en-GB"/>
        </w:rPr>
      </w:pPr>
    </w:p>
    <w:p w:rsidR="006B4D8A" w:rsidRPr="00E20701" w:rsidRDefault="006B4D8A" w:rsidP="006B4D8A">
      <w:pPr>
        <w:shd w:val="clear" w:color="auto" w:fill="D9D9D9"/>
        <w:spacing w:before="60" w:after="60" w:line="312" w:lineRule="auto"/>
        <w:rPr>
          <w:rFonts w:cs="Arial"/>
          <w:b/>
          <w:lang w:val="en-GB"/>
        </w:rPr>
      </w:pPr>
      <w:r w:rsidRPr="00E20701">
        <w:rPr>
          <w:rFonts w:cs="Arial"/>
          <w:b/>
          <w:lang w:val="en-GB"/>
        </w:rPr>
        <w:t>1.</w:t>
      </w:r>
      <w:r w:rsidRPr="00E20701">
        <w:rPr>
          <w:rFonts w:cs="Arial"/>
          <w:lang w:val="en-GB"/>
        </w:rPr>
        <w:t xml:space="preserve"> </w:t>
      </w:r>
      <w:r w:rsidRPr="00E20701">
        <w:rPr>
          <w:rFonts w:cs="Arial"/>
          <w:b/>
          <w:lang w:val="en-GB"/>
        </w:rPr>
        <w:t>Principle of external events categorization</w:t>
      </w:r>
    </w:p>
    <w:p w:rsidR="006B4D8A" w:rsidRPr="00E20701" w:rsidRDefault="006B4D8A" w:rsidP="006B4D8A">
      <w:pPr>
        <w:autoSpaceDE w:val="0"/>
        <w:autoSpaceDN w:val="0"/>
        <w:adjustRightInd w:val="0"/>
        <w:spacing w:before="240" w:line="312" w:lineRule="auto"/>
        <w:rPr>
          <w:rStyle w:val="hps"/>
          <w:rFonts w:cs="Arial"/>
          <w:color w:val="222222"/>
          <w:lang w:val="en-GB"/>
        </w:rPr>
      </w:pPr>
      <w:r w:rsidRPr="00E20701">
        <w:rPr>
          <w:rStyle w:val="hps"/>
          <w:rFonts w:cs="Arial"/>
          <w:color w:val="222222"/>
          <w:lang w:val="en-GB"/>
        </w:rPr>
        <w:t>The principle</w:t>
      </w:r>
      <w:r w:rsidRPr="00E20701">
        <w:rPr>
          <w:rFonts w:cs="Arial"/>
          <w:color w:val="222222"/>
          <w:lang w:val="en-GB"/>
        </w:rPr>
        <w:t xml:space="preserve"> </w:t>
      </w:r>
      <w:r w:rsidRPr="00E20701">
        <w:rPr>
          <w:rStyle w:val="hps"/>
          <w:rFonts w:cs="Arial"/>
          <w:color w:val="222222"/>
          <w:lang w:val="en-GB"/>
        </w:rPr>
        <w:t xml:space="preserve">requires splitting the </w:t>
      </w:r>
      <w:r w:rsidR="00875488">
        <w:rPr>
          <w:rStyle w:val="hps"/>
          <w:rFonts w:cs="Arial"/>
          <w:color w:val="222222"/>
          <w:lang w:val="en-GB"/>
        </w:rPr>
        <w:t>plant states</w:t>
      </w:r>
      <w:r w:rsidRPr="00E20701">
        <w:rPr>
          <w:rStyle w:val="hps"/>
          <w:rFonts w:cs="Arial"/>
          <w:color w:val="222222"/>
          <w:lang w:val="en-GB"/>
        </w:rPr>
        <w:t xml:space="preserve"> into two categories: 1)</w:t>
      </w:r>
      <w:r w:rsidRPr="00E20701">
        <w:rPr>
          <w:rFonts w:cs="Arial"/>
          <w:color w:val="222222"/>
          <w:lang w:val="en-GB"/>
        </w:rPr>
        <w:t xml:space="preserve"> </w:t>
      </w:r>
      <w:r w:rsidRPr="00E20701">
        <w:rPr>
          <w:rStyle w:val="hps"/>
          <w:rFonts w:cs="Arial"/>
          <w:color w:val="222222"/>
          <w:lang w:val="en-GB"/>
        </w:rPr>
        <w:t>DBA</w:t>
      </w:r>
      <w:r w:rsidRPr="00E20701">
        <w:rPr>
          <w:rFonts w:cs="Arial"/>
          <w:color w:val="222222"/>
          <w:lang w:val="en-GB"/>
        </w:rPr>
        <w:t xml:space="preserve"> </w:t>
      </w:r>
      <w:r w:rsidRPr="00E20701">
        <w:rPr>
          <w:rStyle w:val="hps"/>
          <w:rFonts w:cs="Arial"/>
          <w:color w:val="222222"/>
          <w:lang w:val="en-GB"/>
        </w:rPr>
        <w:t>(</w:t>
      </w:r>
      <w:r w:rsidRPr="00E20701">
        <w:rPr>
          <w:rFonts w:cs="Arial"/>
          <w:color w:val="222222"/>
          <w:lang w:val="en-GB"/>
        </w:rPr>
        <w:t xml:space="preserve">Design </w:t>
      </w:r>
      <w:r w:rsidRPr="00E20701">
        <w:rPr>
          <w:rStyle w:val="hps"/>
          <w:rFonts w:cs="Arial"/>
          <w:color w:val="222222"/>
          <w:lang w:val="en-GB"/>
        </w:rPr>
        <w:t>Basis</w:t>
      </w:r>
      <w:r w:rsidRPr="00E20701">
        <w:rPr>
          <w:rFonts w:cs="Arial"/>
          <w:color w:val="222222"/>
          <w:lang w:val="en-GB"/>
        </w:rPr>
        <w:t xml:space="preserve"> A</w:t>
      </w:r>
      <w:r w:rsidRPr="00E20701">
        <w:rPr>
          <w:rStyle w:val="hps"/>
          <w:rFonts w:cs="Arial"/>
          <w:color w:val="222222"/>
          <w:lang w:val="en-GB"/>
        </w:rPr>
        <w:t>ccidents</w:t>
      </w:r>
      <w:r w:rsidRPr="00E20701">
        <w:rPr>
          <w:rFonts w:cs="Arial"/>
          <w:color w:val="222222"/>
          <w:lang w:val="en-GB"/>
        </w:rPr>
        <w:t xml:space="preserve">) </w:t>
      </w:r>
      <w:r w:rsidRPr="00E20701">
        <w:rPr>
          <w:rStyle w:val="hps"/>
          <w:rFonts w:cs="Arial"/>
          <w:color w:val="222222"/>
          <w:lang w:val="en-GB"/>
        </w:rPr>
        <w:t>external events and</w:t>
      </w:r>
      <w:r w:rsidRPr="00E20701">
        <w:rPr>
          <w:rFonts w:cs="Arial"/>
          <w:color w:val="222222"/>
          <w:lang w:val="en-GB"/>
        </w:rPr>
        <w:t xml:space="preserve"> 2) </w:t>
      </w:r>
      <w:r w:rsidRPr="00E20701">
        <w:rPr>
          <w:rStyle w:val="hps"/>
          <w:rFonts w:cs="Arial"/>
          <w:color w:val="222222"/>
          <w:lang w:val="en-GB"/>
        </w:rPr>
        <w:t>DEC</w:t>
      </w:r>
      <w:r w:rsidRPr="00E20701">
        <w:rPr>
          <w:rFonts w:cs="Arial"/>
          <w:color w:val="222222"/>
          <w:lang w:val="en-GB"/>
        </w:rPr>
        <w:t xml:space="preserve"> </w:t>
      </w:r>
      <w:r w:rsidRPr="00E20701">
        <w:rPr>
          <w:rStyle w:val="hps"/>
          <w:rFonts w:cs="Arial"/>
          <w:color w:val="222222"/>
          <w:lang w:val="en-GB"/>
        </w:rPr>
        <w:t>(</w:t>
      </w:r>
      <w:r w:rsidRPr="00E20701">
        <w:rPr>
          <w:rFonts w:cs="Arial"/>
          <w:color w:val="222222"/>
          <w:lang w:val="en-GB"/>
        </w:rPr>
        <w:t xml:space="preserve">Design </w:t>
      </w:r>
      <w:r w:rsidRPr="00E20701">
        <w:rPr>
          <w:rStyle w:val="hps"/>
          <w:rFonts w:cs="Arial"/>
          <w:color w:val="222222"/>
          <w:lang w:val="en-GB"/>
        </w:rPr>
        <w:t>Extension</w:t>
      </w:r>
      <w:r w:rsidRPr="00E20701">
        <w:rPr>
          <w:rFonts w:cs="Arial"/>
          <w:color w:val="222222"/>
          <w:lang w:val="en-GB"/>
        </w:rPr>
        <w:t xml:space="preserve"> C</w:t>
      </w:r>
      <w:r w:rsidRPr="00E20701">
        <w:rPr>
          <w:rStyle w:val="hps"/>
          <w:rFonts w:cs="Arial"/>
          <w:color w:val="222222"/>
          <w:lang w:val="en-GB"/>
        </w:rPr>
        <w:t>onditions</w:t>
      </w:r>
      <w:r w:rsidRPr="00E20701">
        <w:rPr>
          <w:rFonts w:cs="Arial"/>
          <w:color w:val="222222"/>
          <w:lang w:val="en-GB"/>
        </w:rPr>
        <w:t xml:space="preserve">) </w:t>
      </w:r>
      <w:r w:rsidRPr="00E20701">
        <w:rPr>
          <w:rStyle w:val="hps"/>
          <w:rFonts w:cs="Arial"/>
          <w:color w:val="222222"/>
          <w:lang w:val="en-GB"/>
        </w:rPr>
        <w:t>external</w:t>
      </w:r>
      <w:r w:rsidRPr="00E20701">
        <w:rPr>
          <w:rFonts w:cs="Arial"/>
          <w:color w:val="222222"/>
          <w:lang w:val="en-GB"/>
        </w:rPr>
        <w:t xml:space="preserve"> </w:t>
      </w:r>
      <w:r w:rsidRPr="00E20701">
        <w:rPr>
          <w:rStyle w:val="hps"/>
          <w:rFonts w:cs="Arial"/>
          <w:color w:val="222222"/>
          <w:lang w:val="en-GB"/>
        </w:rPr>
        <w:t>events, as shown in the picture below</w:t>
      </w:r>
      <w:r w:rsidRPr="00E20701">
        <w:rPr>
          <w:rFonts w:cs="Arial"/>
          <w:color w:val="222222"/>
          <w:lang w:val="en-GB"/>
        </w:rPr>
        <w:t>.</w:t>
      </w:r>
    </w:p>
    <w:p w:rsidR="006B4D8A" w:rsidRPr="00E20701" w:rsidRDefault="006B4D8A" w:rsidP="006B4D8A">
      <w:pPr>
        <w:autoSpaceDE w:val="0"/>
        <w:autoSpaceDN w:val="0"/>
        <w:adjustRightInd w:val="0"/>
        <w:spacing w:before="240" w:line="312" w:lineRule="auto"/>
        <w:ind w:left="720"/>
        <w:rPr>
          <w:rFonts w:cs="Arial"/>
          <w:noProof/>
          <w:lang w:val="en-GB" w:eastAsia="cs-CZ"/>
        </w:rPr>
      </w:pPr>
      <w:r w:rsidRPr="00FA7763">
        <w:rPr>
          <w:rFonts w:cs="Arial"/>
          <w:noProof/>
        </w:rPr>
        <w:drawing>
          <wp:inline distT="0" distB="0" distL="0" distR="0" wp14:anchorId="48039FDE" wp14:editId="4E18E981">
            <wp:extent cx="4348480" cy="2583815"/>
            <wp:effectExtent l="19050" t="0" r="0" b="0"/>
            <wp:docPr id="9" name="obrázek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9"/>
                    <pic:cNvPicPr>
                      <a:picLocks noChangeAspect="1" noChangeArrowheads="1"/>
                    </pic:cNvPicPr>
                  </pic:nvPicPr>
                  <pic:blipFill>
                    <a:blip r:embed="rId22" cstate="print"/>
                    <a:srcRect l="12907" t="21594" r="23483" b="31129"/>
                    <a:stretch>
                      <a:fillRect/>
                    </a:stretch>
                  </pic:blipFill>
                  <pic:spPr bwMode="auto">
                    <a:xfrm>
                      <a:off x="0" y="0"/>
                      <a:ext cx="4348480" cy="2583815"/>
                    </a:xfrm>
                    <a:prstGeom prst="rect">
                      <a:avLst/>
                    </a:prstGeom>
                    <a:noFill/>
                    <a:ln w="9525">
                      <a:noFill/>
                      <a:miter lim="800000"/>
                      <a:headEnd/>
                      <a:tailEnd/>
                    </a:ln>
                  </pic:spPr>
                </pic:pic>
              </a:graphicData>
            </a:graphic>
          </wp:inline>
        </w:drawing>
      </w:r>
    </w:p>
    <w:p w:rsidR="006B4D8A" w:rsidRPr="00E20701" w:rsidRDefault="006B4D8A" w:rsidP="006B4D8A">
      <w:pPr>
        <w:autoSpaceDE w:val="0"/>
        <w:autoSpaceDN w:val="0"/>
        <w:adjustRightInd w:val="0"/>
        <w:spacing w:before="240" w:line="312" w:lineRule="auto"/>
        <w:rPr>
          <w:rStyle w:val="hps"/>
          <w:rFonts w:cs="Arial"/>
          <w:color w:val="222222"/>
          <w:lang w:val="en-GB"/>
        </w:rPr>
      </w:pPr>
      <w:r w:rsidRPr="00E20701">
        <w:rPr>
          <w:rStyle w:val="hps"/>
          <w:rFonts w:cs="Arial"/>
          <w:color w:val="222222"/>
          <w:lang w:val="en-GB"/>
        </w:rPr>
        <w:t xml:space="preserve">For purposes of the </w:t>
      </w:r>
      <w:r w:rsidRPr="00E20701">
        <w:rPr>
          <w:rStyle w:val="hps"/>
          <w:rFonts w:cs="Arial"/>
          <w:color w:val="222222"/>
          <w:u w:val="single"/>
          <w:lang w:val="en-GB"/>
        </w:rPr>
        <w:t>safety reports</w:t>
      </w:r>
      <w:r w:rsidRPr="00E20701">
        <w:rPr>
          <w:rStyle w:val="hps"/>
          <w:rFonts w:cs="Arial"/>
          <w:color w:val="222222"/>
          <w:lang w:val="en-GB"/>
        </w:rPr>
        <w:t>, it</w:t>
      </w:r>
      <w:r w:rsidRPr="00E20701">
        <w:rPr>
          <w:rStyle w:val="hps"/>
          <w:rFonts w:cs="Arial"/>
          <w:lang w:val="en-GB"/>
        </w:rPr>
        <w:t xml:space="preserve"> </w:t>
      </w:r>
      <w:r w:rsidRPr="00E20701">
        <w:rPr>
          <w:rStyle w:val="hps"/>
          <w:rFonts w:cs="Arial"/>
          <w:color w:val="222222"/>
          <w:lang w:val="en-GB"/>
        </w:rPr>
        <w:t>is</w:t>
      </w:r>
      <w:r w:rsidRPr="00E20701">
        <w:rPr>
          <w:rStyle w:val="hps"/>
          <w:rFonts w:cs="Arial"/>
          <w:lang w:val="en-GB"/>
        </w:rPr>
        <w:t xml:space="preserve"> </w:t>
      </w:r>
      <w:r w:rsidRPr="00E20701">
        <w:rPr>
          <w:rStyle w:val="hps"/>
          <w:rFonts w:cs="Arial"/>
          <w:color w:val="222222"/>
          <w:lang w:val="en-GB"/>
        </w:rPr>
        <w:t>necessary to evaluate the</w:t>
      </w:r>
      <w:r w:rsidRPr="00E20701">
        <w:rPr>
          <w:rStyle w:val="hps"/>
          <w:rFonts w:cs="Arial"/>
          <w:lang w:val="en-GB"/>
        </w:rPr>
        <w:t xml:space="preserve"> </w:t>
      </w:r>
      <w:r w:rsidRPr="00E20701">
        <w:rPr>
          <w:rStyle w:val="hps"/>
          <w:rFonts w:cs="Arial"/>
          <w:color w:val="222222"/>
          <w:lang w:val="en-GB"/>
        </w:rPr>
        <w:t>resistance of</w:t>
      </w:r>
      <w:r w:rsidRPr="00E20701">
        <w:rPr>
          <w:rStyle w:val="hps"/>
          <w:rFonts w:cs="Arial"/>
          <w:lang w:val="en-GB"/>
        </w:rPr>
        <w:t xml:space="preserve"> </w:t>
      </w:r>
      <w:r w:rsidRPr="00E20701">
        <w:rPr>
          <w:rStyle w:val="hps"/>
          <w:rFonts w:cs="Arial"/>
          <w:color w:val="222222"/>
          <w:lang w:val="en-GB"/>
        </w:rPr>
        <w:t>a NPP</w:t>
      </w:r>
      <w:r w:rsidRPr="00E20701">
        <w:rPr>
          <w:rStyle w:val="hps"/>
          <w:rFonts w:cs="Arial"/>
          <w:lang w:val="en-GB"/>
        </w:rPr>
        <w:t xml:space="preserve"> </w:t>
      </w:r>
      <w:r w:rsidRPr="00E20701">
        <w:rPr>
          <w:rStyle w:val="hps"/>
          <w:rFonts w:cs="Arial"/>
          <w:color w:val="222222"/>
          <w:lang w:val="en-GB"/>
        </w:rPr>
        <w:t>against the consequences of</w:t>
      </w:r>
      <w:r w:rsidRPr="00E20701">
        <w:rPr>
          <w:rStyle w:val="hps"/>
          <w:rFonts w:cs="Arial"/>
          <w:lang w:val="en-GB"/>
        </w:rPr>
        <w:t xml:space="preserve"> every single </w:t>
      </w:r>
      <w:r w:rsidRPr="00E20701">
        <w:rPr>
          <w:rStyle w:val="hps"/>
          <w:rFonts w:cs="Arial"/>
          <w:color w:val="222222"/>
          <w:lang w:val="en-GB"/>
        </w:rPr>
        <w:t>external event in the</w:t>
      </w:r>
      <w:r w:rsidRPr="00E20701">
        <w:rPr>
          <w:rStyle w:val="hps"/>
          <w:rFonts w:cs="Arial"/>
          <w:lang w:val="en-GB"/>
        </w:rPr>
        <w:t xml:space="preserve"> </w:t>
      </w:r>
      <w:r w:rsidRPr="00E20701">
        <w:rPr>
          <w:rStyle w:val="hps"/>
          <w:rFonts w:cs="Arial"/>
          <w:color w:val="222222"/>
          <w:lang w:val="en-GB"/>
        </w:rPr>
        <w:t>DBA</w:t>
      </w:r>
      <w:r w:rsidRPr="00E20701">
        <w:rPr>
          <w:rStyle w:val="hps"/>
          <w:rFonts w:cs="Arial"/>
          <w:lang w:val="en-GB"/>
        </w:rPr>
        <w:t xml:space="preserve"> </w:t>
      </w:r>
      <w:r w:rsidRPr="00E20701">
        <w:rPr>
          <w:rStyle w:val="hps"/>
          <w:rFonts w:cs="Arial"/>
          <w:color w:val="222222"/>
          <w:lang w:val="en-GB"/>
        </w:rPr>
        <w:t>(</w:t>
      </w:r>
      <w:r w:rsidRPr="00E20701">
        <w:rPr>
          <w:rFonts w:cs="Arial"/>
          <w:color w:val="222222"/>
          <w:lang w:val="en-GB"/>
        </w:rPr>
        <w:t xml:space="preserve">Design </w:t>
      </w:r>
      <w:r w:rsidRPr="00E20701">
        <w:rPr>
          <w:rStyle w:val="hps"/>
          <w:rFonts w:cs="Arial"/>
          <w:color w:val="222222"/>
          <w:lang w:val="en-GB"/>
        </w:rPr>
        <w:t>Basis</w:t>
      </w:r>
      <w:r w:rsidRPr="00E20701">
        <w:rPr>
          <w:rFonts w:cs="Arial"/>
          <w:color w:val="222222"/>
          <w:lang w:val="en-GB"/>
        </w:rPr>
        <w:t xml:space="preserve"> </w:t>
      </w:r>
      <w:r w:rsidRPr="00E20701">
        <w:rPr>
          <w:rStyle w:val="hps"/>
          <w:rFonts w:cs="Arial"/>
          <w:color w:val="222222"/>
          <w:lang w:val="en-GB"/>
        </w:rPr>
        <w:t>Accidents)</w:t>
      </w:r>
      <w:r w:rsidRPr="00E20701">
        <w:rPr>
          <w:rStyle w:val="hps"/>
          <w:rFonts w:cs="Arial"/>
          <w:lang w:val="en-GB"/>
        </w:rPr>
        <w:t xml:space="preserve"> category </w:t>
      </w:r>
      <w:r w:rsidRPr="00E20701">
        <w:rPr>
          <w:rStyle w:val="hps"/>
          <w:rFonts w:cs="Arial"/>
          <w:color w:val="222222"/>
          <w:lang w:val="en-GB"/>
        </w:rPr>
        <w:t>with</w:t>
      </w:r>
      <w:r w:rsidRPr="00E20701">
        <w:rPr>
          <w:rStyle w:val="hps"/>
          <w:rFonts w:cs="Arial"/>
          <w:lang w:val="en-GB"/>
        </w:rPr>
        <w:t xml:space="preserve"> </w:t>
      </w:r>
      <w:r w:rsidRPr="00E20701">
        <w:rPr>
          <w:rStyle w:val="hps"/>
          <w:rFonts w:cs="Arial"/>
          <w:color w:val="222222"/>
          <w:lang w:val="en-GB"/>
        </w:rPr>
        <w:t>annual frequency</w:t>
      </w:r>
      <w:r w:rsidRPr="00E20701">
        <w:rPr>
          <w:rStyle w:val="hps"/>
          <w:rFonts w:cs="Arial"/>
          <w:lang w:val="en-GB"/>
        </w:rPr>
        <w:t xml:space="preserve"> </w:t>
      </w:r>
      <w:r w:rsidRPr="00E20701">
        <w:rPr>
          <w:rStyle w:val="hps"/>
          <w:rFonts w:cs="Arial"/>
          <w:color w:val="222222"/>
          <w:lang w:val="en-GB"/>
        </w:rPr>
        <w:t>of occurrence</w:t>
      </w:r>
      <w:r w:rsidRPr="00E20701">
        <w:rPr>
          <w:rStyle w:val="hps"/>
          <w:rFonts w:cs="Arial"/>
          <w:lang w:val="en-GB"/>
        </w:rPr>
        <w:t xml:space="preserve"> </w:t>
      </w:r>
      <w:r w:rsidRPr="00E20701">
        <w:rPr>
          <w:rStyle w:val="hps"/>
          <w:rFonts w:cs="Arial"/>
          <w:color w:val="222222"/>
          <w:lang w:val="en-GB"/>
        </w:rPr>
        <w:t xml:space="preserve">equal to or higher than </w:t>
      </w:r>
      <w:r w:rsidRPr="00E20701">
        <w:rPr>
          <w:rStyle w:val="hps"/>
          <w:rFonts w:cs="Arial"/>
          <w:color w:val="222222"/>
          <w:u w:val="single"/>
          <w:lang w:val="en-GB"/>
        </w:rPr>
        <w:t>1</w:t>
      </w:r>
      <w:r w:rsidRPr="00E20701">
        <w:rPr>
          <w:rStyle w:val="hps"/>
          <w:rFonts w:cs="Arial"/>
          <w:u w:val="single"/>
          <w:lang w:val="en-GB"/>
        </w:rPr>
        <w:t xml:space="preserve"> </w:t>
      </w:r>
      <w:r w:rsidRPr="00E20701">
        <w:rPr>
          <w:rStyle w:val="hps"/>
          <w:rFonts w:cs="Arial"/>
          <w:color w:val="222222"/>
          <w:u w:val="single"/>
          <w:lang w:val="en-GB"/>
        </w:rPr>
        <w:t>x</w:t>
      </w:r>
      <w:r w:rsidRPr="00E20701">
        <w:rPr>
          <w:rStyle w:val="hps"/>
          <w:rFonts w:cs="Arial"/>
          <w:u w:val="single"/>
          <w:lang w:val="en-GB"/>
        </w:rPr>
        <w:t xml:space="preserve"> </w:t>
      </w:r>
      <w:r w:rsidRPr="00E20701">
        <w:rPr>
          <w:rStyle w:val="hps"/>
          <w:rFonts w:cs="Arial"/>
          <w:color w:val="222222"/>
          <w:u w:val="single"/>
          <w:lang w:val="en-GB"/>
        </w:rPr>
        <w:t>10</w:t>
      </w:r>
      <w:r w:rsidRPr="00E20701">
        <w:rPr>
          <w:rStyle w:val="hps"/>
          <w:rFonts w:cs="Arial"/>
          <w:color w:val="222222"/>
          <w:u w:val="single"/>
          <w:vertAlign w:val="superscript"/>
          <w:lang w:val="en-GB"/>
        </w:rPr>
        <w:t>-4</w:t>
      </w:r>
      <w:r w:rsidRPr="00E20701">
        <w:rPr>
          <w:rStyle w:val="hps"/>
          <w:rFonts w:cs="Arial"/>
          <w:color w:val="222222"/>
          <w:u w:val="single"/>
          <w:lang w:val="en-GB"/>
        </w:rPr>
        <w:t xml:space="preserve"> event per year.</w:t>
      </w:r>
    </w:p>
    <w:p w:rsidR="006B4D8A" w:rsidRPr="00E20701" w:rsidRDefault="006B4D8A" w:rsidP="006B4D8A">
      <w:pPr>
        <w:autoSpaceDE w:val="0"/>
        <w:autoSpaceDN w:val="0"/>
        <w:adjustRightInd w:val="0"/>
        <w:spacing w:before="240" w:line="312" w:lineRule="auto"/>
        <w:rPr>
          <w:rStyle w:val="hps"/>
          <w:rFonts w:cs="Arial"/>
          <w:color w:val="222222"/>
          <w:lang w:val="en-GB"/>
        </w:rPr>
      </w:pPr>
      <w:r w:rsidRPr="00E20701">
        <w:rPr>
          <w:rStyle w:val="hps"/>
          <w:rFonts w:cs="Arial"/>
          <w:color w:val="222222"/>
          <w:lang w:val="en-GB"/>
        </w:rPr>
        <w:t>Estimation of overall risk</w:t>
      </w:r>
      <w:r w:rsidRPr="00E20701">
        <w:rPr>
          <w:rFonts w:cs="Arial"/>
          <w:color w:val="222222"/>
          <w:lang w:val="en-GB"/>
        </w:rPr>
        <w:t xml:space="preserve"> resulting </w:t>
      </w:r>
      <w:r w:rsidRPr="00E20701">
        <w:rPr>
          <w:rStyle w:val="hps"/>
          <w:rFonts w:cs="Arial"/>
          <w:color w:val="222222"/>
          <w:lang w:val="en-GB"/>
        </w:rPr>
        <w:t>from</w:t>
      </w:r>
      <w:r w:rsidRPr="00E20701">
        <w:rPr>
          <w:rFonts w:cs="Arial"/>
          <w:color w:val="222222"/>
          <w:lang w:val="en-GB"/>
        </w:rPr>
        <w:t xml:space="preserve"> </w:t>
      </w:r>
      <w:r w:rsidRPr="00E20701">
        <w:rPr>
          <w:rStyle w:val="hps"/>
          <w:rFonts w:cs="Arial"/>
          <w:color w:val="222222"/>
          <w:lang w:val="en-GB"/>
        </w:rPr>
        <w:t>external events requires</w:t>
      </w:r>
      <w:r w:rsidRPr="00E20701">
        <w:rPr>
          <w:rFonts w:cs="Arial"/>
          <w:color w:val="222222"/>
          <w:lang w:val="en-GB"/>
        </w:rPr>
        <w:t xml:space="preserve"> also </w:t>
      </w:r>
      <w:r w:rsidRPr="00E20701">
        <w:rPr>
          <w:rStyle w:val="hps"/>
          <w:rFonts w:cs="Arial"/>
          <w:color w:val="222222"/>
          <w:lang w:val="en-GB"/>
        </w:rPr>
        <w:t xml:space="preserve">to take into account </w:t>
      </w:r>
      <w:r w:rsidRPr="00E20701">
        <w:rPr>
          <w:rFonts w:cs="Arial"/>
          <w:color w:val="222222"/>
          <w:lang w:val="en-GB"/>
        </w:rPr>
        <w:t xml:space="preserve">response of the NPP </w:t>
      </w:r>
      <w:r w:rsidRPr="00E20701">
        <w:rPr>
          <w:rStyle w:val="hps"/>
          <w:rFonts w:cs="Arial"/>
          <w:color w:val="222222"/>
          <w:lang w:val="en-GB"/>
        </w:rPr>
        <w:t>corresponding to DEC category</w:t>
      </w:r>
      <w:r w:rsidRPr="00E20701">
        <w:rPr>
          <w:rFonts w:cs="Arial"/>
          <w:color w:val="222222"/>
          <w:lang w:val="en-GB"/>
        </w:rPr>
        <w:t xml:space="preserve"> (RISK = Risk DBA + Risk DEC). </w:t>
      </w:r>
      <w:r w:rsidRPr="00E20701">
        <w:rPr>
          <w:rStyle w:val="hps"/>
          <w:rFonts w:cs="Arial"/>
          <w:color w:val="222222"/>
          <w:lang w:val="en-GB"/>
        </w:rPr>
        <w:t>The</w:t>
      </w:r>
      <w:r w:rsidRPr="00E20701">
        <w:rPr>
          <w:rStyle w:val="hps"/>
          <w:rFonts w:cs="Arial"/>
          <w:lang w:val="en-GB"/>
        </w:rPr>
        <w:t xml:space="preserve"> </w:t>
      </w:r>
      <w:r w:rsidRPr="00E20701">
        <w:rPr>
          <w:rStyle w:val="hps"/>
          <w:rFonts w:cs="Arial"/>
          <w:color w:val="222222"/>
          <w:lang w:val="en-GB"/>
        </w:rPr>
        <w:t>annual</w:t>
      </w:r>
      <w:r w:rsidRPr="00E20701">
        <w:rPr>
          <w:rStyle w:val="hps"/>
          <w:rFonts w:cs="Arial"/>
          <w:lang w:val="en-GB"/>
        </w:rPr>
        <w:t xml:space="preserve"> </w:t>
      </w:r>
      <w:r w:rsidRPr="00E20701">
        <w:rPr>
          <w:rStyle w:val="hps"/>
          <w:rFonts w:cs="Arial"/>
          <w:color w:val="222222"/>
          <w:lang w:val="en-GB"/>
        </w:rPr>
        <w:t>frequency of onset of external events for DEC (</w:t>
      </w:r>
      <w:r w:rsidRPr="00E20701">
        <w:rPr>
          <w:rFonts w:cs="Arial"/>
          <w:color w:val="222222"/>
          <w:lang w:val="en-GB"/>
        </w:rPr>
        <w:t xml:space="preserve">Design </w:t>
      </w:r>
      <w:r w:rsidRPr="00E20701">
        <w:rPr>
          <w:rStyle w:val="hps"/>
          <w:rFonts w:cs="Arial"/>
          <w:color w:val="222222"/>
          <w:lang w:val="en-GB"/>
        </w:rPr>
        <w:t xml:space="preserve">Extension Conditions) category should lie between </w:t>
      </w:r>
      <w:r w:rsidRPr="00E20701">
        <w:rPr>
          <w:rStyle w:val="hps"/>
          <w:rFonts w:cs="Arial"/>
          <w:color w:val="222222"/>
          <w:u w:val="single"/>
          <w:lang w:val="en-GB"/>
        </w:rPr>
        <w:t>1</w:t>
      </w:r>
      <w:r w:rsidRPr="00E20701">
        <w:rPr>
          <w:rStyle w:val="hps"/>
          <w:rFonts w:cs="Arial"/>
          <w:u w:val="single"/>
          <w:lang w:val="en-GB"/>
        </w:rPr>
        <w:t xml:space="preserve"> </w:t>
      </w:r>
      <w:r w:rsidRPr="00E20701">
        <w:rPr>
          <w:rStyle w:val="hps"/>
          <w:rFonts w:cs="Arial"/>
          <w:color w:val="222222"/>
          <w:u w:val="single"/>
          <w:lang w:val="en-GB"/>
        </w:rPr>
        <w:t>x</w:t>
      </w:r>
      <w:r w:rsidRPr="00E20701">
        <w:rPr>
          <w:rStyle w:val="hps"/>
          <w:rFonts w:cs="Arial"/>
          <w:u w:val="single"/>
          <w:lang w:val="en-GB"/>
        </w:rPr>
        <w:t xml:space="preserve"> </w:t>
      </w:r>
      <w:r w:rsidRPr="00E20701">
        <w:rPr>
          <w:rStyle w:val="hps"/>
          <w:rFonts w:cs="Arial"/>
          <w:color w:val="222222"/>
          <w:u w:val="single"/>
          <w:lang w:val="en-GB"/>
        </w:rPr>
        <w:t>10</w:t>
      </w:r>
      <w:r w:rsidRPr="00E20701">
        <w:rPr>
          <w:rStyle w:val="hps"/>
          <w:rFonts w:cs="Arial"/>
          <w:color w:val="222222"/>
          <w:u w:val="single"/>
          <w:vertAlign w:val="superscript"/>
          <w:lang w:val="en-GB"/>
        </w:rPr>
        <w:t>-4</w:t>
      </w:r>
      <w:r w:rsidRPr="00E20701">
        <w:rPr>
          <w:rStyle w:val="hps"/>
          <w:rFonts w:cs="Arial"/>
          <w:color w:val="222222"/>
          <w:u w:val="single"/>
          <w:lang w:val="en-GB"/>
        </w:rPr>
        <w:t xml:space="preserve"> - 1 x 10</w:t>
      </w:r>
      <w:r w:rsidRPr="00E20701">
        <w:rPr>
          <w:rStyle w:val="hps"/>
          <w:rFonts w:cs="Arial"/>
          <w:color w:val="222222"/>
          <w:u w:val="single"/>
          <w:vertAlign w:val="superscript"/>
          <w:lang w:val="en-GB"/>
        </w:rPr>
        <w:t>-7</w:t>
      </w:r>
      <w:r w:rsidRPr="00E20701">
        <w:rPr>
          <w:rStyle w:val="hps"/>
          <w:rFonts w:cs="Arial"/>
          <w:color w:val="222222"/>
          <w:u w:val="single"/>
          <w:lang w:val="en-GB"/>
        </w:rPr>
        <w:t xml:space="preserve"> event per year (if unit response</w:t>
      </w:r>
      <w:r w:rsidRPr="00E20701">
        <w:rPr>
          <w:rStyle w:val="shorttext"/>
          <w:rFonts w:cs="Arial"/>
          <w:color w:val="222222"/>
          <w:u w:val="single"/>
          <w:lang w:val="en-GB"/>
        </w:rPr>
        <w:t xml:space="preserve"> </w:t>
      </w:r>
      <w:r w:rsidRPr="00E20701">
        <w:rPr>
          <w:rStyle w:val="hps"/>
          <w:rFonts w:cs="Arial"/>
          <w:color w:val="222222"/>
          <w:u w:val="single"/>
          <w:lang w:val="en-GB"/>
        </w:rPr>
        <w:t>fails) or 1</w:t>
      </w:r>
      <w:r w:rsidRPr="00E20701">
        <w:rPr>
          <w:rStyle w:val="hps"/>
          <w:rFonts w:cs="Arial"/>
          <w:u w:val="single"/>
          <w:lang w:val="en-GB"/>
        </w:rPr>
        <w:t xml:space="preserve"> </w:t>
      </w:r>
      <w:r w:rsidRPr="00E20701">
        <w:rPr>
          <w:rStyle w:val="hps"/>
          <w:rFonts w:cs="Arial"/>
          <w:color w:val="222222"/>
          <w:u w:val="single"/>
          <w:lang w:val="en-GB"/>
        </w:rPr>
        <w:t>x</w:t>
      </w:r>
      <w:r w:rsidRPr="00E20701">
        <w:rPr>
          <w:rStyle w:val="hps"/>
          <w:rFonts w:cs="Arial"/>
          <w:u w:val="single"/>
          <w:lang w:val="en-GB"/>
        </w:rPr>
        <w:t xml:space="preserve"> </w:t>
      </w:r>
      <w:r w:rsidRPr="00E20701">
        <w:rPr>
          <w:rStyle w:val="hps"/>
          <w:rFonts w:cs="Arial"/>
          <w:color w:val="222222"/>
          <w:u w:val="single"/>
          <w:lang w:val="en-GB"/>
        </w:rPr>
        <w:t>10</w:t>
      </w:r>
      <w:r w:rsidRPr="00E20701">
        <w:rPr>
          <w:rStyle w:val="hps"/>
          <w:rFonts w:cs="Arial"/>
          <w:color w:val="222222"/>
          <w:u w:val="single"/>
          <w:vertAlign w:val="superscript"/>
          <w:lang w:val="en-GB"/>
        </w:rPr>
        <w:t>-4</w:t>
      </w:r>
      <w:r w:rsidRPr="00E20701">
        <w:rPr>
          <w:rStyle w:val="hps"/>
          <w:rFonts w:cs="Arial"/>
          <w:color w:val="222222"/>
          <w:u w:val="single"/>
          <w:lang w:val="en-GB"/>
        </w:rPr>
        <w:t xml:space="preserve"> - 1 x 10</w:t>
      </w:r>
      <w:r w:rsidRPr="00E20701">
        <w:rPr>
          <w:rStyle w:val="hps"/>
          <w:rFonts w:cs="Arial"/>
          <w:color w:val="222222"/>
          <w:u w:val="single"/>
          <w:vertAlign w:val="superscript"/>
          <w:lang w:val="en-GB"/>
        </w:rPr>
        <w:t>-6</w:t>
      </w:r>
      <w:r w:rsidRPr="00E20701">
        <w:rPr>
          <w:rStyle w:val="hps"/>
          <w:rFonts w:cs="Arial"/>
          <w:color w:val="222222"/>
          <w:u w:val="single"/>
          <w:lang w:val="en-GB"/>
        </w:rPr>
        <w:t xml:space="preserve"> event per year (if unit response</w:t>
      </w:r>
      <w:r w:rsidRPr="00E20701">
        <w:rPr>
          <w:rStyle w:val="shorttext"/>
          <w:rFonts w:cs="Arial"/>
          <w:color w:val="222222"/>
          <w:u w:val="single"/>
          <w:lang w:val="en-GB"/>
        </w:rPr>
        <w:t xml:space="preserve"> </w:t>
      </w:r>
      <w:r w:rsidRPr="00E20701">
        <w:rPr>
          <w:rStyle w:val="hps"/>
          <w:rFonts w:cs="Arial"/>
          <w:color w:val="222222"/>
          <w:u w:val="single"/>
          <w:lang w:val="en-GB"/>
        </w:rPr>
        <w:t>is limited)</w:t>
      </w:r>
      <w:r w:rsidRPr="00E20701">
        <w:rPr>
          <w:rStyle w:val="hps"/>
          <w:rFonts w:cs="Arial"/>
          <w:color w:val="222222"/>
          <w:lang w:val="en-GB"/>
        </w:rPr>
        <w:t>. Control</w:t>
      </w:r>
      <w:r w:rsidRPr="00E20701">
        <w:rPr>
          <w:rFonts w:cs="Arial"/>
          <w:color w:val="222222"/>
          <w:lang w:val="en-GB"/>
        </w:rPr>
        <w:t xml:space="preserve"> </w:t>
      </w:r>
      <w:r w:rsidRPr="00E20701">
        <w:rPr>
          <w:rStyle w:val="hps"/>
          <w:rFonts w:cs="Arial"/>
          <w:color w:val="222222"/>
          <w:lang w:val="en-GB"/>
        </w:rPr>
        <w:t>risk indicators</w:t>
      </w:r>
      <w:r w:rsidRPr="00E20701">
        <w:rPr>
          <w:rFonts w:cs="Arial"/>
          <w:color w:val="222222"/>
          <w:lang w:val="en-GB"/>
        </w:rPr>
        <w:t xml:space="preserve"> - </w:t>
      </w:r>
      <w:r w:rsidRPr="00E20701">
        <w:rPr>
          <w:rStyle w:val="hps"/>
          <w:rFonts w:cs="Arial"/>
          <w:color w:val="222222"/>
          <w:lang w:val="en-GB"/>
        </w:rPr>
        <w:t>CDF</w:t>
      </w:r>
      <w:r w:rsidRPr="00E20701">
        <w:rPr>
          <w:rFonts w:cs="Arial"/>
          <w:color w:val="222222"/>
          <w:lang w:val="en-GB"/>
        </w:rPr>
        <w:t xml:space="preserve">, </w:t>
      </w:r>
      <w:r w:rsidRPr="00E20701">
        <w:rPr>
          <w:rStyle w:val="hps"/>
          <w:rFonts w:cs="Arial"/>
          <w:color w:val="222222"/>
          <w:lang w:val="en-GB"/>
        </w:rPr>
        <w:t>LERF and “</w:t>
      </w:r>
      <w:r w:rsidRPr="00E20701">
        <w:rPr>
          <w:rFonts w:cs="Arial"/>
          <w:lang w:val="en-GB"/>
        </w:rPr>
        <w:t>Cliff Edge Effects</w:t>
      </w:r>
      <w:r w:rsidRPr="00E20701">
        <w:rPr>
          <w:rStyle w:val="hps"/>
          <w:rFonts w:cs="Arial"/>
          <w:color w:val="222222"/>
          <w:lang w:val="en-GB"/>
        </w:rPr>
        <w:t>“ (CCDP) – have been used for selection of</w:t>
      </w:r>
      <w:r w:rsidRPr="00E20701">
        <w:rPr>
          <w:rFonts w:cs="Arial"/>
          <w:color w:val="222222"/>
          <w:lang w:val="en-GB"/>
        </w:rPr>
        <w:t xml:space="preserve"> </w:t>
      </w:r>
      <w:r w:rsidRPr="00E20701">
        <w:rPr>
          <w:rStyle w:val="hps"/>
          <w:rFonts w:cs="Arial"/>
          <w:color w:val="222222"/>
          <w:lang w:val="en-GB"/>
        </w:rPr>
        <w:t>external events</w:t>
      </w:r>
      <w:r w:rsidRPr="00E20701">
        <w:rPr>
          <w:rFonts w:cs="Arial"/>
          <w:color w:val="222222"/>
          <w:lang w:val="en-GB"/>
        </w:rPr>
        <w:t xml:space="preserve"> </w:t>
      </w:r>
      <w:r w:rsidRPr="00E20701">
        <w:rPr>
          <w:rStyle w:val="hps"/>
          <w:rFonts w:cs="Arial"/>
          <w:color w:val="222222"/>
          <w:lang w:val="en-GB"/>
        </w:rPr>
        <w:t>in</w:t>
      </w:r>
      <w:r w:rsidRPr="00E20701">
        <w:rPr>
          <w:rFonts w:cs="Arial"/>
          <w:color w:val="222222"/>
          <w:lang w:val="en-GB"/>
        </w:rPr>
        <w:t xml:space="preserve"> </w:t>
      </w:r>
      <w:r w:rsidRPr="00E20701">
        <w:rPr>
          <w:rStyle w:val="hps"/>
          <w:rFonts w:cs="Arial"/>
          <w:color w:val="222222"/>
          <w:lang w:val="en-GB"/>
        </w:rPr>
        <w:t>PSA</w:t>
      </w:r>
      <w:r w:rsidRPr="00E20701">
        <w:rPr>
          <w:rFonts w:cs="Arial"/>
          <w:color w:val="222222"/>
          <w:lang w:val="en-GB"/>
        </w:rPr>
        <w:t xml:space="preserve"> </w:t>
      </w:r>
      <w:r w:rsidRPr="00E20701">
        <w:rPr>
          <w:rStyle w:val="hps"/>
          <w:rFonts w:cs="Arial"/>
          <w:color w:val="222222"/>
          <w:lang w:val="en-GB"/>
        </w:rPr>
        <w:t>model.</w:t>
      </w:r>
    </w:p>
    <w:p w:rsidR="006B4D8A" w:rsidRPr="00E20701" w:rsidRDefault="006B4D8A" w:rsidP="006B4D8A">
      <w:pPr>
        <w:autoSpaceDE w:val="0"/>
        <w:autoSpaceDN w:val="0"/>
        <w:adjustRightInd w:val="0"/>
        <w:spacing w:before="240" w:line="312" w:lineRule="auto"/>
        <w:rPr>
          <w:rStyle w:val="hps"/>
          <w:rFonts w:cs="Arial"/>
          <w:color w:val="222222"/>
          <w:lang w:val="en-GB"/>
        </w:rPr>
      </w:pPr>
      <w:r w:rsidRPr="00E20701">
        <w:rPr>
          <w:rStyle w:val="hps"/>
          <w:rFonts w:cs="Arial"/>
          <w:color w:val="222222"/>
          <w:u w:val="single"/>
          <w:lang w:val="en-GB"/>
        </w:rPr>
        <w:t>The principle of</w:t>
      </w:r>
      <w:r w:rsidRPr="00E20701">
        <w:rPr>
          <w:rFonts w:cs="Arial"/>
          <w:color w:val="222222"/>
          <w:u w:val="single"/>
          <w:lang w:val="en-GB"/>
        </w:rPr>
        <w:t xml:space="preserve"> </w:t>
      </w:r>
      <w:r w:rsidRPr="00E20701">
        <w:rPr>
          <w:rStyle w:val="hps"/>
          <w:rFonts w:cs="Arial"/>
          <w:color w:val="222222"/>
          <w:u w:val="single"/>
          <w:lang w:val="en-GB"/>
        </w:rPr>
        <w:t>categorization</w:t>
      </w:r>
      <w:r w:rsidRPr="00E20701">
        <w:rPr>
          <w:rFonts w:cs="Arial"/>
          <w:color w:val="222222"/>
          <w:u w:val="single"/>
          <w:lang w:val="en-GB"/>
        </w:rPr>
        <w:t xml:space="preserve"> </w:t>
      </w:r>
      <w:r w:rsidRPr="00E20701">
        <w:rPr>
          <w:rStyle w:val="hps"/>
          <w:rFonts w:cs="Arial"/>
          <w:color w:val="222222"/>
          <w:u w:val="single"/>
          <w:lang w:val="en-GB"/>
        </w:rPr>
        <w:t>also includes preparation of a structured list of external</w:t>
      </w:r>
      <w:r w:rsidRPr="00E20701">
        <w:rPr>
          <w:rFonts w:cs="Arial"/>
          <w:color w:val="222222"/>
          <w:u w:val="single"/>
          <w:lang w:val="en-GB"/>
        </w:rPr>
        <w:t xml:space="preserve"> </w:t>
      </w:r>
      <w:r w:rsidRPr="00E20701">
        <w:rPr>
          <w:rStyle w:val="hps"/>
          <w:rFonts w:cs="Arial"/>
          <w:color w:val="222222"/>
          <w:u w:val="single"/>
          <w:lang w:val="en-GB"/>
        </w:rPr>
        <w:t>events</w:t>
      </w:r>
      <w:r w:rsidRPr="00E20701">
        <w:rPr>
          <w:rFonts w:cs="Arial"/>
          <w:color w:val="222222"/>
          <w:lang w:val="en-GB"/>
        </w:rPr>
        <w:t xml:space="preserve"> </w:t>
      </w:r>
      <w:r w:rsidRPr="00E20701">
        <w:rPr>
          <w:rStyle w:val="hps"/>
          <w:rFonts w:cs="Arial"/>
          <w:color w:val="222222"/>
          <w:lang w:val="en-GB"/>
        </w:rPr>
        <w:t>containing the following parameters: 1. Areas</w:t>
      </w:r>
      <w:r w:rsidRPr="00E20701">
        <w:rPr>
          <w:rStyle w:val="shorttext"/>
          <w:rFonts w:cs="Arial"/>
          <w:color w:val="222222"/>
          <w:lang w:val="en-GB"/>
        </w:rPr>
        <w:t xml:space="preserve"> </w:t>
      </w:r>
      <w:r w:rsidRPr="00E20701">
        <w:rPr>
          <w:rStyle w:val="hps"/>
          <w:rFonts w:cs="Arial"/>
          <w:color w:val="222222"/>
          <w:lang w:val="en-GB"/>
        </w:rPr>
        <w:t>of event occurrence, 2. Category of event and 3. Type of event. For example,</w:t>
      </w:r>
      <w:r w:rsidRPr="00E20701">
        <w:rPr>
          <w:rFonts w:cs="Arial"/>
          <w:color w:val="222222"/>
          <w:lang w:val="en-GB"/>
        </w:rPr>
        <w:t xml:space="preserve"> </w:t>
      </w:r>
      <w:r w:rsidRPr="00E20701">
        <w:rPr>
          <w:rStyle w:val="hps"/>
          <w:rFonts w:cs="Arial"/>
          <w:color w:val="222222"/>
          <w:lang w:val="en-GB"/>
        </w:rPr>
        <w:t>external</w:t>
      </w:r>
      <w:r w:rsidRPr="00E20701">
        <w:rPr>
          <w:rFonts w:cs="Arial"/>
          <w:color w:val="222222"/>
          <w:lang w:val="en-GB"/>
        </w:rPr>
        <w:t xml:space="preserve"> </w:t>
      </w:r>
      <w:r w:rsidRPr="00E20701">
        <w:rPr>
          <w:rStyle w:val="hps"/>
          <w:rFonts w:cs="Arial"/>
          <w:color w:val="222222"/>
          <w:lang w:val="en-GB"/>
        </w:rPr>
        <w:t>events belonging to the same</w:t>
      </w:r>
      <w:r w:rsidRPr="00E20701">
        <w:rPr>
          <w:rFonts w:cs="Arial"/>
          <w:color w:val="222222"/>
          <w:lang w:val="en-GB"/>
        </w:rPr>
        <w:t xml:space="preserve"> </w:t>
      </w:r>
      <w:r w:rsidRPr="00E20701">
        <w:rPr>
          <w:rStyle w:val="hps"/>
          <w:rFonts w:cs="Arial"/>
          <w:color w:val="222222"/>
          <w:lang w:val="en-GB"/>
        </w:rPr>
        <w:t>Category of event</w:t>
      </w:r>
      <w:r w:rsidRPr="00E20701">
        <w:rPr>
          <w:rFonts w:cs="Arial"/>
          <w:color w:val="222222"/>
          <w:lang w:val="en-GB"/>
        </w:rPr>
        <w:t xml:space="preserve"> can be</w:t>
      </w:r>
      <w:r w:rsidRPr="00E20701">
        <w:rPr>
          <w:rStyle w:val="hps"/>
          <w:rFonts w:cs="Arial"/>
          <w:color w:val="222222"/>
          <w:lang w:val="en-GB"/>
        </w:rPr>
        <w:t xml:space="preserve"> used for estimation of</w:t>
      </w:r>
      <w:r w:rsidRPr="00E20701">
        <w:rPr>
          <w:rFonts w:cs="Arial"/>
          <w:color w:val="222222"/>
          <w:lang w:val="en-GB"/>
        </w:rPr>
        <w:t xml:space="preserve"> </w:t>
      </w:r>
      <w:r w:rsidRPr="00E20701">
        <w:rPr>
          <w:rStyle w:val="hps"/>
          <w:rFonts w:cs="Arial"/>
          <w:color w:val="222222"/>
          <w:lang w:val="en-GB"/>
        </w:rPr>
        <w:t>the annual</w:t>
      </w:r>
      <w:r w:rsidRPr="00E20701">
        <w:rPr>
          <w:rFonts w:cs="Arial"/>
          <w:color w:val="222222"/>
          <w:lang w:val="en-GB"/>
        </w:rPr>
        <w:t xml:space="preserve"> </w:t>
      </w:r>
      <w:r w:rsidRPr="00E20701">
        <w:rPr>
          <w:rStyle w:val="hps"/>
          <w:rFonts w:cs="Arial"/>
          <w:color w:val="222222"/>
          <w:lang w:val="en-GB"/>
        </w:rPr>
        <w:t>frequency of occurrence and</w:t>
      </w:r>
      <w:r w:rsidRPr="00E20701">
        <w:rPr>
          <w:rFonts w:cs="Arial"/>
          <w:color w:val="222222"/>
          <w:lang w:val="en-GB"/>
        </w:rPr>
        <w:t xml:space="preserve"> </w:t>
      </w:r>
      <w:r w:rsidRPr="00E20701">
        <w:rPr>
          <w:rStyle w:val="hps"/>
          <w:rFonts w:cs="Arial"/>
          <w:color w:val="222222"/>
          <w:lang w:val="en-GB"/>
        </w:rPr>
        <w:t>to determine the</w:t>
      </w:r>
      <w:r w:rsidRPr="00E20701">
        <w:rPr>
          <w:rFonts w:cs="Arial"/>
          <w:color w:val="222222"/>
          <w:lang w:val="en-GB"/>
        </w:rPr>
        <w:t xml:space="preserve"> </w:t>
      </w:r>
      <w:r w:rsidRPr="00E20701">
        <w:rPr>
          <w:rStyle w:val="hps"/>
          <w:rFonts w:cs="Arial"/>
          <w:color w:val="222222"/>
          <w:lang w:val="en-GB"/>
        </w:rPr>
        <w:t>resistance of structures</w:t>
      </w:r>
      <w:r w:rsidRPr="00E20701">
        <w:rPr>
          <w:rFonts w:cs="Arial"/>
          <w:color w:val="222222"/>
          <w:lang w:val="en-GB"/>
        </w:rPr>
        <w:t xml:space="preserve"> </w:t>
      </w:r>
      <w:r w:rsidRPr="00E20701">
        <w:rPr>
          <w:rStyle w:val="hps"/>
          <w:rFonts w:cs="Arial"/>
          <w:color w:val="222222"/>
          <w:lang w:val="en-GB"/>
        </w:rPr>
        <w:t>and systems</w:t>
      </w:r>
      <w:r w:rsidRPr="00E20701">
        <w:rPr>
          <w:rFonts w:cs="Arial"/>
          <w:color w:val="222222"/>
          <w:lang w:val="en-GB"/>
        </w:rPr>
        <w:t xml:space="preserve"> </w:t>
      </w:r>
      <w:r w:rsidRPr="00E20701">
        <w:rPr>
          <w:rStyle w:val="hps"/>
          <w:rFonts w:cs="Arial"/>
          <w:color w:val="222222"/>
          <w:lang w:val="en-GB"/>
        </w:rPr>
        <w:t>against the effects of</w:t>
      </w:r>
      <w:r w:rsidRPr="00E20701">
        <w:rPr>
          <w:rFonts w:cs="Arial"/>
          <w:color w:val="222222"/>
          <w:lang w:val="en-GB"/>
        </w:rPr>
        <w:t xml:space="preserve"> </w:t>
      </w:r>
      <w:r w:rsidRPr="00E20701">
        <w:rPr>
          <w:rStyle w:val="hps"/>
          <w:rFonts w:cs="Arial"/>
          <w:color w:val="222222"/>
          <w:lang w:val="en-GB"/>
        </w:rPr>
        <w:t>external events.</w:t>
      </w:r>
    </w:p>
    <w:p w:rsidR="006B4D8A" w:rsidRPr="00E20701" w:rsidRDefault="006B4D8A" w:rsidP="006B4D8A">
      <w:pPr>
        <w:spacing w:before="60" w:after="60" w:line="312" w:lineRule="auto"/>
        <w:rPr>
          <w:rFonts w:cs="Arial"/>
          <w:lang w:val="en-GB"/>
        </w:rPr>
      </w:pPr>
    </w:p>
    <w:p w:rsidR="006B4D8A" w:rsidRPr="00E20701" w:rsidRDefault="006B4D8A" w:rsidP="006B4D8A">
      <w:pPr>
        <w:shd w:val="clear" w:color="auto" w:fill="D9D9D9"/>
        <w:spacing w:before="60" w:after="60" w:line="312" w:lineRule="auto"/>
        <w:rPr>
          <w:rFonts w:cs="Arial"/>
          <w:b/>
          <w:lang w:val="en-GB"/>
        </w:rPr>
      </w:pPr>
      <w:r w:rsidRPr="00E20701">
        <w:rPr>
          <w:rFonts w:cs="Arial"/>
          <w:b/>
          <w:lang w:val="en-GB"/>
        </w:rPr>
        <w:t xml:space="preserve">2. Principle of practical elimination </w:t>
      </w:r>
    </w:p>
    <w:p w:rsidR="006B4D8A" w:rsidRPr="00E20701" w:rsidRDefault="006B4D8A" w:rsidP="006B4D8A">
      <w:pPr>
        <w:spacing w:before="60" w:after="60" w:line="312" w:lineRule="auto"/>
        <w:rPr>
          <w:rFonts w:cs="Arial"/>
          <w:color w:val="222222"/>
          <w:lang w:val="en-GB"/>
        </w:rPr>
      </w:pPr>
      <w:r w:rsidRPr="00E20701">
        <w:rPr>
          <w:rStyle w:val="hps"/>
          <w:rFonts w:cs="Arial"/>
          <w:color w:val="222222"/>
          <w:lang w:val="en-GB"/>
        </w:rPr>
        <w:t>Principle</w:t>
      </w:r>
      <w:r w:rsidRPr="00E20701">
        <w:rPr>
          <w:rFonts w:cs="Arial"/>
          <w:color w:val="222222"/>
          <w:lang w:val="en-GB"/>
        </w:rPr>
        <w:t xml:space="preserve"> of </w:t>
      </w:r>
      <w:r w:rsidRPr="00E20701">
        <w:rPr>
          <w:rStyle w:val="hps"/>
          <w:rFonts w:cs="Arial"/>
          <w:color w:val="222222"/>
          <w:lang w:val="en-GB"/>
        </w:rPr>
        <w:t>practical</w:t>
      </w:r>
      <w:r w:rsidRPr="00E20701">
        <w:rPr>
          <w:rFonts w:cs="Arial"/>
          <w:color w:val="222222"/>
          <w:lang w:val="en-GB"/>
        </w:rPr>
        <w:t xml:space="preserve"> </w:t>
      </w:r>
      <w:r w:rsidRPr="00E20701">
        <w:rPr>
          <w:rStyle w:val="hps"/>
          <w:rFonts w:cs="Arial"/>
          <w:color w:val="222222"/>
          <w:lang w:val="en-GB"/>
        </w:rPr>
        <w:t>elimination</w:t>
      </w:r>
      <w:r w:rsidRPr="00E20701">
        <w:rPr>
          <w:rFonts w:cs="Arial"/>
          <w:color w:val="222222"/>
          <w:lang w:val="en-GB"/>
        </w:rPr>
        <w:t xml:space="preserve"> </w:t>
      </w:r>
      <w:r w:rsidRPr="00E20701">
        <w:rPr>
          <w:rStyle w:val="hps"/>
          <w:rFonts w:cs="Arial"/>
          <w:color w:val="222222"/>
          <w:lang w:val="en-GB"/>
        </w:rPr>
        <w:t>allows</w:t>
      </w:r>
      <w:r w:rsidRPr="00E20701">
        <w:rPr>
          <w:rFonts w:cs="Arial"/>
          <w:color w:val="222222"/>
          <w:lang w:val="en-GB"/>
        </w:rPr>
        <w:t xml:space="preserve"> </w:t>
      </w:r>
      <w:r w:rsidRPr="00E20701">
        <w:rPr>
          <w:rStyle w:val="hps"/>
          <w:rFonts w:cs="Arial"/>
          <w:color w:val="222222"/>
          <w:lang w:val="en-GB"/>
        </w:rPr>
        <w:t>excluding</w:t>
      </w:r>
      <w:r w:rsidRPr="00E20701">
        <w:rPr>
          <w:rFonts w:cs="Arial"/>
          <w:color w:val="222222"/>
          <w:lang w:val="en-GB"/>
        </w:rPr>
        <w:t xml:space="preserve"> the </w:t>
      </w:r>
      <w:r w:rsidRPr="00E20701">
        <w:rPr>
          <w:rStyle w:val="hps"/>
          <w:rFonts w:cs="Arial"/>
          <w:color w:val="222222"/>
          <w:lang w:val="en-GB"/>
        </w:rPr>
        <w:t>external</w:t>
      </w:r>
      <w:r w:rsidRPr="00E20701">
        <w:rPr>
          <w:rFonts w:cs="Arial"/>
          <w:color w:val="222222"/>
          <w:lang w:val="en-GB"/>
        </w:rPr>
        <w:t xml:space="preserve"> </w:t>
      </w:r>
      <w:r w:rsidRPr="00E20701">
        <w:rPr>
          <w:rStyle w:val="hps"/>
          <w:rFonts w:cs="Arial"/>
          <w:color w:val="222222"/>
          <w:lang w:val="en-GB"/>
        </w:rPr>
        <w:t>events</w:t>
      </w:r>
      <w:r w:rsidRPr="00E20701">
        <w:rPr>
          <w:rFonts w:cs="Arial"/>
          <w:color w:val="222222"/>
          <w:lang w:val="en-GB"/>
        </w:rPr>
        <w:t xml:space="preserve"> </w:t>
      </w:r>
      <w:r w:rsidRPr="00E20701">
        <w:rPr>
          <w:rStyle w:val="hps"/>
          <w:rFonts w:cs="Arial"/>
          <w:color w:val="222222"/>
          <w:lang w:val="en-GB"/>
        </w:rPr>
        <w:t>with negligible</w:t>
      </w:r>
      <w:r w:rsidRPr="00E20701">
        <w:rPr>
          <w:rFonts w:cs="Arial"/>
          <w:color w:val="222222"/>
          <w:lang w:val="en-GB"/>
        </w:rPr>
        <w:t xml:space="preserve"> </w:t>
      </w:r>
      <w:r w:rsidRPr="00E20701">
        <w:rPr>
          <w:rStyle w:val="hps"/>
          <w:rFonts w:cs="Arial"/>
          <w:color w:val="222222"/>
          <w:lang w:val="en-GB"/>
        </w:rPr>
        <w:t>contribution</w:t>
      </w:r>
      <w:r w:rsidRPr="00E20701">
        <w:rPr>
          <w:rFonts w:cs="Arial"/>
          <w:color w:val="222222"/>
          <w:lang w:val="en-GB"/>
        </w:rPr>
        <w:t xml:space="preserve"> </w:t>
      </w:r>
      <w:r w:rsidRPr="00E20701">
        <w:rPr>
          <w:rStyle w:val="hps"/>
          <w:rFonts w:cs="Arial"/>
          <w:color w:val="222222"/>
          <w:lang w:val="en-GB"/>
        </w:rPr>
        <w:t>to the risk of</w:t>
      </w:r>
      <w:r w:rsidRPr="00E20701">
        <w:rPr>
          <w:rFonts w:cs="Arial"/>
          <w:color w:val="222222"/>
          <w:lang w:val="en-GB"/>
        </w:rPr>
        <w:t xml:space="preserve"> the NPP.</w:t>
      </w:r>
    </w:p>
    <w:p w:rsidR="006B4D8A" w:rsidRPr="00E20701" w:rsidRDefault="006B4D8A" w:rsidP="006B4D8A">
      <w:pPr>
        <w:spacing w:before="60" w:after="60" w:line="312" w:lineRule="auto"/>
        <w:rPr>
          <w:rStyle w:val="hps"/>
          <w:rFonts w:cs="Arial"/>
          <w:color w:val="222222"/>
          <w:lang w:val="en-GB"/>
        </w:rPr>
      </w:pPr>
      <w:r w:rsidRPr="00E20701">
        <w:rPr>
          <w:rStyle w:val="hps"/>
          <w:rFonts w:cs="Arial"/>
          <w:color w:val="222222"/>
          <w:lang w:val="en-GB"/>
        </w:rPr>
        <w:t>The contribution rate depends</w:t>
      </w:r>
      <w:r w:rsidRPr="00E20701">
        <w:rPr>
          <w:rFonts w:cs="Arial"/>
          <w:color w:val="222222"/>
          <w:lang w:val="en-GB"/>
        </w:rPr>
        <w:t xml:space="preserve"> </w:t>
      </w:r>
      <w:r w:rsidRPr="00E20701">
        <w:rPr>
          <w:rStyle w:val="hps"/>
          <w:rFonts w:cs="Arial"/>
          <w:color w:val="222222"/>
          <w:lang w:val="en-GB"/>
        </w:rPr>
        <w:t>on the age of</w:t>
      </w:r>
      <w:r w:rsidRPr="00E20701">
        <w:rPr>
          <w:rFonts w:cs="Arial"/>
          <w:color w:val="222222"/>
          <w:lang w:val="en-GB"/>
        </w:rPr>
        <w:t xml:space="preserve"> </w:t>
      </w:r>
      <w:r w:rsidRPr="00E20701">
        <w:rPr>
          <w:rStyle w:val="hps"/>
          <w:rFonts w:cs="Arial"/>
          <w:color w:val="222222"/>
          <w:lang w:val="en-GB"/>
        </w:rPr>
        <w:t>technology</w:t>
      </w:r>
      <w:r w:rsidRPr="00E20701">
        <w:rPr>
          <w:rFonts w:cs="Arial"/>
          <w:color w:val="222222"/>
          <w:lang w:val="en-GB"/>
        </w:rPr>
        <w:t xml:space="preserve"> </w:t>
      </w:r>
      <w:r w:rsidRPr="00E20701">
        <w:rPr>
          <w:rStyle w:val="hps"/>
          <w:rFonts w:cs="Arial"/>
          <w:color w:val="222222"/>
          <w:lang w:val="en-GB"/>
        </w:rPr>
        <w:t>and</w:t>
      </w:r>
      <w:r w:rsidRPr="00E20701">
        <w:rPr>
          <w:rFonts w:cs="Arial"/>
          <w:color w:val="222222"/>
          <w:lang w:val="en-GB"/>
        </w:rPr>
        <w:t xml:space="preserve"> </w:t>
      </w:r>
      <w:r w:rsidRPr="00E20701">
        <w:rPr>
          <w:rStyle w:val="hps"/>
          <w:rFonts w:cs="Arial"/>
          <w:color w:val="222222"/>
          <w:lang w:val="en-GB"/>
        </w:rPr>
        <w:t>the basic level</w:t>
      </w:r>
      <w:r w:rsidRPr="00E20701">
        <w:rPr>
          <w:rFonts w:cs="Arial"/>
          <w:color w:val="222222"/>
          <w:lang w:val="en-GB"/>
        </w:rPr>
        <w:t xml:space="preserve"> </w:t>
      </w:r>
      <w:r w:rsidRPr="00E20701">
        <w:rPr>
          <w:rStyle w:val="hps"/>
          <w:rFonts w:cs="Arial"/>
          <w:color w:val="222222"/>
          <w:lang w:val="en-GB"/>
        </w:rPr>
        <w:t>of unit risk</w:t>
      </w:r>
      <w:r w:rsidRPr="00E20701">
        <w:rPr>
          <w:rFonts w:cs="Arial"/>
          <w:color w:val="222222"/>
          <w:lang w:val="en-GB"/>
        </w:rPr>
        <w:t xml:space="preserve"> </w:t>
      </w:r>
      <w:r w:rsidRPr="00E20701">
        <w:rPr>
          <w:rStyle w:val="hps"/>
          <w:rFonts w:cs="Arial"/>
          <w:color w:val="222222"/>
          <w:lang w:val="en-GB"/>
        </w:rPr>
        <w:t>(CDF)</w:t>
      </w:r>
      <w:r w:rsidRPr="00E20701">
        <w:rPr>
          <w:rFonts w:cs="Arial"/>
          <w:color w:val="222222"/>
          <w:lang w:val="en-GB"/>
        </w:rPr>
        <w:t xml:space="preserve">. At UJV Rez, the </w:t>
      </w:r>
      <w:r w:rsidRPr="00E20701">
        <w:rPr>
          <w:rStyle w:val="hps"/>
          <w:rFonts w:cs="Arial"/>
          <w:color w:val="222222"/>
          <w:lang w:val="en-GB"/>
        </w:rPr>
        <w:t>negligible</w:t>
      </w:r>
      <w:r w:rsidRPr="00E20701">
        <w:rPr>
          <w:rFonts w:cs="Arial"/>
          <w:color w:val="222222"/>
          <w:lang w:val="en-GB"/>
        </w:rPr>
        <w:t xml:space="preserve"> </w:t>
      </w:r>
      <w:r w:rsidRPr="00E20701">
        <w:rPr>
          <w:rStyle w:val="hps"/>
          <w:rFonts w:cs="Arial"/>
          <w:color w:val="222222"/>
          <w:lang w:val="en-GB"/>
        </w:rPr>
        <w:t>contribution</w:t>
      </w:r>
      <w:r w:rsidRPr="00E20701">
        <w:rPr>
          <w:rFonts w:cs="Arial"/>
          <w:color w:val="222222"/>
          <w:lang w:val="en-GB"/>
        </w:rPr>
        <w:t xml:space="preserve"> </w:t>
      </w:r>
      <w:r w:rsidRPr="00E20701">
        <w:rPr>
          <w:rStyle w:val="hps"/>
          <w:rFonts w:cs="Arial"/>
          <w:color w:val="222222"/>
          <w:lang w:val="en-GB"/>
        </w:rPr>
        <w:t>to unit risk</w:t>
      </w:r>
      <w:r w:rsidRPr="00E20701">
        <w:rPr>
          <w:rFonts w:cs="Arial"/>
          <w:color w:val="222222"/>
          <w:lang w:val="en-GB"/>
        </w:rPr>
        <w:t xml:space="preserve"> was defined as proportion - </w:t>
      </w:r>
      <w:r w:rsidRPr="00E20701">
        <w:rPr>
          <w:rStyle w:val="hps"/>
          <w:rFonts w:cs="Arial"/>
          <w:color w:val="222222"/>
          <w:lang w:val="en-GB"/>
        </w:rPr>
        <w:t>1</w:t>
      </w:r>
      <w:r w:rsidRPr="00E20701">
        <w:rPr>
          <w:rFonts w:cs="Arial"/>
          <w:color w:val="222222"/>
          <w:lang w:val="en-GB"/>
        </w:rPr>
        <w:t xml:space="preserve">% of the </w:t>
      </w:r>
      <w:r w:rsidRPr="00E20701">
        <w:rPr>
          <w:rStyle w:val="hps"/>
          <w:rFonts w:cs="Arial"/>
          <w:color w:val="222222"/>
          <w:lang w:val="en-GB"/>
        </w:rPr>
        <w:t>total annual unit risk</w:t>
      </w:r>
      <w:r w:rsidRPr="00E20701">
        <w:rPr>
          <w:rFonts w:cs="Arial"/>
          <w:color w:val="222222"/>
          <w:lang w:val="en-GB"/>
        </w:rPr>
        <w:t xml:space="preserve"> </w:t>
      </w:r>
      <w:r w:rsidRPr="00E20701">
        <w:rPr>
          <w:rStyle w:val="hps"/>
          <w:rFonts w:cs="Arial"/>
          <w:color w:val="222222"/>
          <w:lang w:val="en-GB"/>
        </w:rPr>
        <w:t>(</w:t>
      </w:r>
      <w:r w:rsidRPr="00E20701">
        <w:rPr>
          <w:rFonts w:cs="Arial"/>
          <w:color w:val="222222"/>
          <w:lang w:val="en-GB"/>
        </w:rPr>
        <w:t xml:space="preserve">CDF, </w:t>
      </w:r>
      <w:r w:rsidRPr="00E20701">
        <w:rPr>
          <w:rStyle w:val="hps"/>
          <w:rFonts w:cs="Arial"/>
          <w:color w:val="222222"/>
          <w:lang w:val="en-GB"/>
        </w:rPr>
        <w:t>LERF</w:t>
      </w:r>
      <w:r w:rsidRPr="00E20701">
        <w:rPr>
          <w:rFonts w:cs="Arial"/>
          <w:color w:val="222222"/>
          <w:lang w:val="en-GB"/>
        </w:rPr>
        <w:t>).</w:t>
      </w:r>
    </w:p>
    <w:p w:rsidR="006B4D8A" w:rsidRPr="00E20701" w:rsidRDefault="006B4D8A" w:rsidP="006B4D8A">
      <w:pPr>
        <w:spacing w:before="60" w:after="60" w:line="312" w:lineRule="auto"/>
        <w:rPr>
          <w:rStyle w:val="hps"/>
          <w:rFonts w:cs="Arial"/>
          <w:color w:val="222222"/>
          <w:lang w:val="en-GB"/>
        </w:rPr>
      </w:pPr>
    </w:p>
    <w:p w:rsidR="006B4D8A" w:rsidRPr="00E20701" w:rsidRDefault="006B4D8A" w:rsidP="006B4D8A">
      <w:pPr>
        <w:spacing w:before="60" w:after="60" w:line="312" w:lineRule="auto"/>
        <w:rPr>
          <w:rFonts w:cs="Arial"/>
          <w:color w:val="222222"/>
          <w:lang w:val="en-GB"/>
        </w:rPr>
      </w:pPr>
      <w:r w:rsidRPr="00E20701">
        <w:rPr>
          <w:rFonts w:cs="Arial"/>
          <w:color w:val="222222"/>
          <w:lang w:val="en-GB"/>
        </w:rPr>
        <w:t>E</w:t>
      </w:r>
      <w:r w:rsidRPr="00E20701">
        <w:rPr>
          <w:rStyle w:val="hps"/>
          <w:rFonts w:cs="Arial"/>
          <w:color w:val="222222"/>
          <w:lang w:val="en-GB"/>
        </w:rPr>
        <w:t>xternal events</w:t>
      </w:r>
      <w:r w:rsidRPr="00E20701">
        <w:rPr>
          <w:rFonts w:cs="Arial"/>
          <w:color w:val="222222"/>
          <w:lang w:val="en-GB"/>
        </w:rPr>
        <w:t xml:space="preserve"> </w:t>
      </w:r>
      <w:r w:rsidRPr="00E20701">
        <w:rPr>
          <w:rStyle w:val="hps"/>
          <w:rFonts w:cs="Arial"/>
          <w:color w:val="222222"/>
          <w:lang w:val="en-GB"/>
        </w:rPr>
        <w:t>with</w:t>
      </w:r>
      <w:r w:rsidRPr="00E20701">
        <w:rPr>
          <w:rFonts w:cs="Arial"/>
          <w:color w:val="222222"/>
          <w:lang w:val="en-GB"/>
        </w:rPr>
        <w:t xml:space="preserve"> not </w:t>
      </w:r>
      <w:r w:rsidRPr="00E20701">
        <w:rPr>
          <w:rStyle w:val="hps"/>
          <w:rFonts w:cs="Arial"/>
          <w:color w:val="222222"/>
          <w:lang w:val="en-GB"/>
        </w:rPr>
        <w:t>well-defined</w:t>
      </w:r>
      <w:r w:rsidRPr="00E20701">
        <w:rPr>
          <w:rFonts w:cs="Arial"/>
          <w:color w:val="222222"/>
          <w:lang w:val="en-GB"/>
        </w:rPr>
        <w:t xml:space="preserve"> </w:t>
      </w:r>
      <w:r w:rsidRPr="00E20701">
        <w:rPr>
          <w:rStyle w:val="hps"/>
          <w:rFonts w:cs="Arial"/>
          <w:color w:val="222222"/>
          <w:lang w:val="en-GB"/>
        </w:rPr>
        <w:t>scope</w:t>
      </w:r>
      <w:r w:rsidRPr="00E20701">
        <w:rPr>
          <w:rFonts w:cs="Arial"/>
          <w:color w:val="222222"/>
          <w:lang w:val="en-GB"/>
        </w:rPr>
        <w:t xml:space="preserve"> </w:t>
      </w:r>
      <w:r w:rsidRPr="00E20701">
        <w:rPr>
          <w:rStyle w:val="hps"/>
          <w:rFonts w:cs="Arial"/>
          <w:color w:val="222222"/>
          <w:lang w:val="en-GB"/>
        </w:rPr>
        <w:t>or parameters were also discarded. Typical examples of discarded external events are</w:t>
      </w:r>
      <w:r w:rsidRPr="00E20701">
        <w:rPr>
          <w:rFonts w:cs="Arial"/>
          <w:color w:val="222222"/>
          <w:lang w:val="en-GB"/>
        </w:rPr>
        <w:t xml:space="preserve"> </w:t>
      </w:r>
      <w:r w:rsidRPr="00E20701">
        <w:rPr>
          <w:rStyle w:val="hps"/>
          <w:rFonts w:cs="Arial"/>
          <w:color w:val="222222"/>
          <w:lang w:val="en-GB"/>
        </w:rPr>
        <w:t>events in</w:t>
      </w:r>
      <w:r w:rsidRPr="00E20701">
        <w:rPr>
          <w:rFonts w:cs="Arial"/>
          <w:color w:val="222222"/>
          <w:lang w:val="en-GB"/>
        </w:rPr>
        <w:t xml:space="preserve"> </w:t>
      </w:r>
      <w:r w:rsidRPr="00E20701">
        <w:rPr>
          <w:rStyle w:val="hps"/>
          <w:rFonts w:cs="Arial"/>
          <w:color w:val="222222"/>
          <w:lang w:val="en-GB"/>
        </w:rPr>
        <w:t>the research stage</w:t>
      </w:r>
      <w:r w:rsidRPr="00E20701">
        <w:rPr>
          <w:rFonts w:cs="Arial"/>
          <w:color w:val="222222"/>
          <w:lang w:val="en-GB"/>
        </w:rPr>
        <w:t xml:space="preserve">, events </w:t>
      </w:r>
      <w:r w:rsidRPr="00E20701">
        <w:rPr>
          <w:rStyle w:val="hps"/>
          <w:rFonts w:cs="Arial"/>
          <w:color w:val="222222"/>
          <w:lang w:val="en-GB"/>
        </w:rPr>
        <w:t>with large</w:t>
      </w:r>
      <w:r w:rsidRPr="00E20701">
        <w:rPr>
          <w:rFonts w:cs="Arial"/>
          <w:color w:val="222222"/>
          <w:lang w:val="en-GB"/>
        </w:rPr>
        <w:t xml:space="preserve"> </w:t>
      </w:r>
      <w:r w:rsidRPr="00E20701">
        <w:rPr>
          <w:rStyle w:val="hps"/>
          <w:rFonts w:cs="Arial"/>
          <w:color w:val="222222"/>
          <w:lang w:val="en-GB"/>
        </w:rPr>
        <w:t>uncertainties</w:t>
      </w:r>
      <w:r w:rsidRPr="00E20701">
        <w:rPr>
          <w:rFonts w:cs="Arial"/>
          <w:color w:val="222222"/>
          <w:lang w:val="en-GB"/>
        </w:rPr>
        <w:t xml:space="preserve"> </w:t>
      </w:r>
      <w:r w:rsidRPr="00E20701">
        <w:rPr>
          <w:rStyle w:val="hps"/>
          <w:rFonts w:cs="Arial"/>
          <w:color w:val="222222"/>
          <w:lang w:val="en-GB"/>
        </w:rPr>
        <w:t>in frequency of occurrence</w:t>
      </w:r>
      <w:r w:rsidRPr="00E20701">
        <w:rPr>
          <w:rFonts w:cs="Arial"/>
          <w:color w:val="222222"/>
          <w:lang w:val="en-GB"/>
        </w:rPr>
        <w:t xml:space="preserve"> or with uncertainty in </w:t>
      </w:r>
      <w:r w:rsidRPr="00E20701">
        <w:rPr>
          <w:rStyle w:val="hps"/>
          <w:rFonts w:cs="Arial"/>
          <w:color w:val="222222"/>
          <w:lang w:val="en-GB"/>
        </w:rPr>
        <w:t>intensity of</w:t>
      </w:r>
      <w:r w:rsidRPr="00E20701">
        <w:rPr>
          <w:rFonts w:cs="Arial"/>
          <w:color w:val="222222"/>
          <w:lang w:val="en-GB"/>
        </w:rPr>
        <w:t xml:space="preserve"> the hazard (e.g. sun storm).</w:t>
      </w:r>
    </w:p>
    <w:p w:rsidR="006B4D8A" w:rsidRPr="00E20701" w:rsidRDefault="006B4D8A" w:rsidP="006B4D8A">
      <w:pPr>
        <w:spacing w:before="60" w:after="60" w:line="312" w:lineRule="auto"/>
        <w:rPr>
          <w:rFonts w:cs="Arial"/>
          <w:lang w:val="en-GB"/>
        </w:rPr>
      </w:pPr>
    </w:p>
    <w:p w:rsidR="006B4D8A" w:rsidRPr="00E20701" w:rsidRDefault="006B4D8A" w:rsidP="006B4D8A">
      <w:pPr>
        <w:shd w:val="clear" w:color="auto" w:fill="D9D9D9"/>
        <w:spacing w:before="60" w:after="60" w:line="312" w:lineRule="auto"/>
        <w:rPr>
          <w:rFonts w:cs="Arial"/>
          <w:b/>
          <w:u w:val="single"/>
          <w:lang w:val="en-GB"/>
        </w:rPr>
      </w:pPr>
      <w:r w:rsidRPr="00E20701">
        <w:rPr>
          <w:rStyle w:val="hps"/>
          <w:rFonts w:cs="Arial"/>
          <w:b/>
          <w:color w:val="222222"/>
          <w:u w:val="single"/>
          <w:lang w:val="en-GB"/>
        </w:rPr>
        <w:t>B. External events identification and screening</w:t>
      </w:r>
    </w:p>
    <w:p w:rsidR="006B4D8A" w:rsidRPr="00E20701" w:rsidRDefault="006B4D8A" w:rsidP="006B4D8A">
      <w:pPr>
        <w:spacing w:before="60" w:after="60" w:line="312" w:lineRule="auto"/>
        <w:rPr>
          <w:rStyle w:val="hps"/>
          <w:rFonts w:cs="Arial"/>
          <w:color w:val="222222"/>
          <w:lang w:val="en-GB"/>
        </w:rPr>
      </w:pPr>
      <w:r w:rsidRPr="00E20701">
        <w:rPr>
          <w:rStyle w:val="hps"/>
          <w:rFonts w:cs="Arial"/>
          <w:color w:val="222222"/>
          <w:lang w:val="en-GB"/>
        </w:rPr>
        <w:t>The main steps of</w:t>
      </w:r>
      <w:r w:rsidRPr="00E20701">
        <w:rPr>
          <w:rStyle w:val="shorttext"/>
          <w:rFonts w:cs="Arial"/>
          <w:color w:val="222222"/>
          <w:lang w:val="en-GB"/>
        </w:rPr>
        <w:t xml:space="preserve"> identification and screening</w:t>
      </w:r>
      <w:r w:rsidRPr="00E20701">
        <w:rPr>
          <w:rStyle w:val="hps"/>
          <w:rFonts w:cs="Arial"/>
          <w:lang w:val="en-GB"/>
        </w:rPr>
        <w:t xml:space="preserve"> </w:t>
      </w:r>
      <w:r w:rsidRPr="00E20701">
        <w:rPr>
          <w:rStyle w:val="hps"/>
          <w:rFonts w:cs="Arial"/>
          <w:color w:val="222222"/>
          <w:lang w:val="en-GB"/>
        </w:rPr>
        <w:t>external</w:t>
      </w:r>
      <w:r w:rsidRPr="00E20701">
        <w:rPr>
          <w:rStyle w:val="shorttext"/>
          <w:rFonts w:cs="Arial"/>
          <w:color w:val="222222"/>
          <w:lang w:val="en-GB"/>
        </w:rPr>
        <w:t xml:space="preserve"> </w:t>
      </w:r>
      <w:r w:rsidRPr="00E20701">
        <w:rPr>
          <w:rStyle w:val="hps"/>
          <w:rFonts w:cs="Arial"/>
          <w:color w:val="222222"/>
          <w:lang w:val="en-GB"/>
        </w:rPr>
        <w:t>events</w:t>
      </w:r>
      <w:r w:rsidRPr="00E20701">
        <w:rPr>
          <w:rStyle w:val="shorttext"/>
          <w:rFonts w:cs="Arial"/>
          <w:color w:val="222222"/>
          <w:lang w:val="en-GB"/>
        </w:rPr>
        <w:t xml:space="preserve"> </w:t>
      </w:r>
      <w:r w:rsidRPr="00E20701">
        <w:rPr>
          <w:rStyle w:val="hps"/>
          <w:rFonts w:cs="Arial"/>
          <w:color w:val="222222"/>
          <w:lang w:val="en-GB"/>
        </w:rPr>
        <w:t>are:</w:t>
      </w:r>
    </w:p>
    <w:p w:rsidR="006B4D8A" w:rsidRPr="00E20701" w:rsidRDefault="006B4D8A" w:rsidP="006B4D8A">
      <w:pPr>
        <w:spacing w:before="240" w:after="60" w:line="312" w:lineRule="auto"/>
        <w:ind w:left="709"/>
        <w:rPr>
          <w:rStyle w:val="hps"/>
          <w:rFonts w:cs="Arial"/>
          <w:color w:val="222222"/>
          <w:lang w:val="en-GB"/>
        </w:rPr>
      </w:pPr>
      <w:r w:rsidRPr="00E20701">
        <w:rPr>
          <w:rStyle w:val="hps"/>
          <w:rFonts w:cs="Arial"/>
          <w:color w:val="222222"/>
          <w:lang w:val="en-GB"/>
        </w:rPr>
        <w:t>a) Full list of all external events (used sources: EPRI, WENRA, IAEA)</w:t>
      </w:r>
    </w:p>
    <w:p w:rsidR="006B4D8A" w:rsidRPr="00E20701" w:rsidRDefault="006B4D8A" w:rsidP="006B4D8A">
      <w:pPr>
        <w:spacing w:before="60" w:after="60" w:line="312" w:lineRule="auto"/>
        <w:ind w:left="709"/>
        <w:rPr>
          <w:rStyle w:val="hps"/>
          <w:rFonts w:cs="Arial"/>
          <w:color w:val="222222"/>
          <w:lang w:val="en-GB"/>
        </w:rPr>
      </w:pPr>
      <w:r w:rsidRPr="00E20701">
        <w:rPr>
          <w:rStyle w:val="hps"/>
          <w:rFonts w:cs="Arial"/>
          <w:color w:val="222222"/>
          <w:lang w:val="en-GB"/>
        </w:rPr>
        <w:t>b) Qualitative screening (questions of applicability, possibility, speed)</w:t>
      </w:r>
    </w:p>
    <w:p w:rsidR="006B4D8A" w:rsidRPr="00E20701" w:rsidRDefault="006B4D8A" w:rsidP="006B4D8A">
      <w:pPr>
        <w:spacing w:before="60" w:after="60" w:line="312" w:lineRule="auto"/>
        <w:ind w:left="709"/>
        <w:rPr>
          <w:rStyle w:val="hps"/>
          <w:rFonts w:cs="Arial"/>
          <w:color w:val="222222"/>
          <w:lang w:val="en-GB"/>
        </w:rPr>
      </w:pPr>
      <w:r w:rsidRPr="00E20701">
        <w:rPr>
          <w:rStyle w:val="hps"/>
          <w:rFonts w:cs="Arial"/>
          <w:color w:val="222222"/>
          <w:lang w:val="en-GB"/>
        </w:rPr>
        <w:t>c) Quantitative screening (1. frequency of</w:t>
      </w:r>
      <w:r w:rsidRPr="00E20701">
        <w:rPr>
          <w:rStyle w:val="hps"/>
          <w:rFonts w:cs="Arial"/>
          <w:lang w:val="en-GB"/>
        </w:rPr>
        <w:t xml:space="preserve"> </w:t>
      </w:r>
      <w:r w:rsidRPr="00E20701">
        <w:rPr>
          <w:rStyle w:val="hps"/>
          <w:rFonts w:cs="Arial"/>
          <w:color w:val="222222"/>
          <w:lang w:val="en-GB"/>
        </w:rPr>
        <w:t>external event, 2. hazard parameters, 3. risk measures)</w:t>
      </w:r>
    </w:p>
    <w:p w:rsidR="006B4D8A" w:rsidRPr="00E20701" w:rsidRDefault="006B4D8A" w:rsidP="006B4D8A">
      <w:pPr>
        <w:spacing w:before="240" w:after="240" w:line="312" w:lineRule="auto"/>
        <w:rPr>
          <w:rFonts w:cs="Arial"/>
          <w:lang w:val="en-GB"/>
        </w:rPr>
      </w:pPr>
      <w:r w:rsidRPr="00E20701">
        <w:rPr>
          <w:rFonts w:cs="Arial"/>
          <w:lang w:val="en-GB"/>
        </w:rPr>
        <w:t xml:space="preserve">Acc. a) The full list of all external events </w:t>
      </w:r>
      <w:r w:rsidRPr="00E20701">
        <w:rPr>
          <w:rStyle w:val="hps"/>
          <w:rFonts w:cs="Arial"/>
          <w:color w:val="222222"/>
          <w:lang w:val="en-GB"/>
        </w:rPr>
        <w:t>was compiled as a sum of</w:t>
      </w:r>
      <w:r w:rsidRPr="00E20701">
        <w:rPr>
          <w:rFonts w:cs="Arial"/>
          <w:color w:val="222222"/>
          <w:lang w:val="en-GB"/>
        </w:rPr>
        <w:t xml:space="preserve"> all </w:t>
      </w:r>
      <w:r w:rsidRPr="00E20701">
        <w:rPr>
          <w:rStyle w:val="hps"/>
          <w:rFonts w:cs="Arial"/>
          <w:color w:val="222222"/>
          <w:lang w:val="en-GB"/>
        </w:rPr>
        <w:t>external events</w:t>
      </w:r>
      <w:r w:rsidRPr="00E20701">
        <w:rPr>
          <w:rFonts w:cs="Arial"/>
          <w:color w:val="222222"/>
          <w:lang w:val="en-GB"/>
        </w:rPr>
        <w:t xml:space="preserve"> </w:t>
      </w:r>
      <w:r w:rsidRPr="00E20701">
        <w:rPr>
          <w:rStyle w:val="hps"/>
          <w:rFonts w:cs="Arial"/>
          <w:color w:val="222222"/>
          <w:lang w:val="en-GB"/>
        </w:rPr>
        <w:t>specified</w:t>
      </w:r>
      <w:r w:rsidRPr="00E20701">
        <w:rPr>
          <w:rFonts w:cs="Arial"/>
          <w:color w:val="222222"/>
          <w:lang w:val="en-GB"/>
        </w:rPr>
        <w:t xml:space="preserve"> </w:t>
      </w:r>
      <w:r w:rsidRPr="00E20701">
        <w:rPr>
          <w:rStyle w:val="hps"/>
          <w:rFonts w:cs="Arial"/>
          <w:color w:val="222222"/>
          <w:lang w:val="en-GB"/>
        </w:rPr>
        <w:t>in the following documents</w:t>
      </w:r>
      <w:r w:rsidRPr="00E20701">
        <w:rPr>
          <w:rFonts w:cs="Arial"/>
          <w:lang w:val="en-GB"/>
        </w:rPr>
        <w:t>:</w:t>
      </w:r>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7762"/>
      </w:tblGrid>
      <w:tr w:rsidR="006B4D8A" w:rsidRPr="00304D8A" w:rsidTr="006B4D8A">
        <w:tc>
          <w:tcPr>
            <w:tcW w:w="1701" w:type="dxa"/>
          </w:tcPr>
          <w:p w:rsidR="006B4D8A" w:rsidRPr="00E20701" w:rsidRDefault="006B4D8A" w:rsidP="006B4D8A">
            <w:pPr>
              <w:spacing w:before="60" w:after="60" w:line="312" w:lineRule="auto"/>
              <w:rPr>
                <w:rFonts w:cs="Arial"/>
                <w:lang w:val="en-GB"/>
              </w:rPr>
            </w:pPr>
            <w:r w:rsidRPr="00E20701">
              <w:rPr>
                <w:rFonts w:cs="Arial"/>
                <w:lang w:val="en-GB"/>
              </w:rPr>
              <w:t>1) EPRI 1022997</w:t>
            </w:r>
          </w:p>
        </w:tc>
        <w:tc>
          <w:tcPr>
            <w:tcW w:w="7762" w:type="dxa"/>
          </w:tcPr>
          <w:p w:rsidR="006B4D8A" w:rsidRPr="00E20701" w:rsidRDefault="006B4D8A" w:rsidP="006B4D8A">
            <w:pPr>
              <w:spacing w:before="60" w:after="60" w:line="312" w:lineRule="auto"/>
              <w:rPr>
                <w:rFonts w:cs="Arial"/>
                <w:lang w:val="en-GB"/>
              </w:rPr>
            </w:pPr>
            <w:r w:rsidRPr="00E20701">
              <w:rPr>
                <w:rFonts w:cs="Arial"/>
                <w:lang w:val="en-GB"/>
              </w:rPr>
              <w:t>Identification of External Hazards for Analysis in Probabilistic Risk Assessment.</w:t>
            </w:r>
          </w:p>
        </w:tc>
      </w:tr>
      <w:tr w:rsidR="006B4D8A" w:rsidRPr="00304D8A" w:rsidTr="006B4D8A">
        <w:tc>
          <w:tcPr>
            <w:tcW w:w="1701" w:type="dxa"/>
          </w:tcPr>
          <w:p w:rsidR="006B4D8A" w:rsidRPr="00C70893" w:rsidRDefault="006B4D8A" w:rsidP="006B4D8A">
            <w:pPr>
              <w:spacing w:before="60" w:after="60" w:line="312" w:lineRule="auto"/>
              <w:rPr>
                <w:rFonts w:cs="Arial"/>
                <w:lang w:val="en-GB"/>
              </w:rPr>
            </w:pPr>
            <w:r w:rsidRPr="00C70893">
              <w:rPr>
                <w:rFonts w:cs="Arial"/>
                <w:lang w:val="en-GB"/>
              </w:rPr>
              <w:t>2) WENRA</w:t>
            </w:r>
          </w:p>
        </w:tc>
        <w:tc>
          <w:tcPr>
            <w:tcW w:w="7762" w:type="dxa"/>
          </w:tcPr>
          <w:p w:rsidR="006B4D8A" w:rsidRPr="00C70893" w:rsidRDefault="006B4D8A" w:rsidP="006B4D8A">
            <w:pPr>
              <w:spacing w:before="60" w:after="60" w:line="312" w:lineRule="auto"/>
              <w:rPr>
                <w:rFonts w:cs="Arial"/>
                <w:lang w:val="en-GB"/>
              </w:rPr>
            </w:pPr>
            <w:r w:rsidRPr="00C70893">
              <w:rPr>
                <w:rFonts w:cs="Arial"/>
                <w:lang w:val="en-GB"/>
              </w:rPr>
              <w:t>Guidance Document Issue T: Natural Hazards Head Document, Guideline for the WENRA-RHWG Safety Reference Levels for Natural hazards introduced as lesson learned from TEPCO Fukushima Daiichi accident.</w:t>
            </w:r>
          </w:p>
        </w:tc>
      </w:tr>
      <w:tr w:rsidR="006B4D8A" w:rsidRPr="00304D8A" w:rsidTr="006B4D8A">
        <w:tc>
          <w:tcPr>
            <w:tcW w:w="1701" w:type="dxa"/>
          </w:tcPr>
          <w:p w:rsidR="006B4D8A" w:rsidRPr="00C70893" w:rsidRDefault="006B4D8A" w:rsidP="006B4D8A">
            <w:pPr>
              <w:spacing w:before="60" w:after="60" w:line="312" w:lineRule="auto"/>
              <w:rPr>
                <w:rFonts w:cs="Arial"/>
                <w:lang w:val="en-GB"/>
              </w:rPr>
            </w:pPr>
            <w:r w:rsidRPr="00C70893">
              <w:rPr>
                <w:rFonts w:cs="Arial"/>
                <w:lang w:val="en-GB"/>
              </w:rPr>
              <w:t>3) IAEA NS-G</w:t>
            </w:r>
            <w:r w:rsidR="00D1419B">
              <w:rPr>
                <w:rFonts w:cs="Arial"/>
                <w:lang w:val="en-GB"/>
              </w:rPr>
              <w:t>-</w:t>
            </w:r>
            <w:r w:rsidRPr="00C70893">
              <w:rPr>
                <w:rFonts w:cs="Arial"/>
                <w:lang w:val="en-GB"/>
              </w:rPr>
              <w:t>3.3</w:t>
            </w:r>
          </w:p>
        </w:tc>
        <w:tc>
          <w:tcPr>
            <w:tcW w:w="7762" w:type="dxa"/>
          </w:tcPr>
          <w:p w:rsidR="006B4D8A" w:rsidRPr="00C70893" w:rsidRDefault="006B4D8A" w:rsidP="006B4D8A">
            <w:pPr>
              <w:spacing w:before="60" w:after="60" w:line="312" w:lineRule="auto"/>
              <w:rPr>
                <w:rFonts w:cs="Arial"/>
                <w:lang w:val="en-GB"/>
              </w:rPr>
            </w:pPr>
            <w:r w:rsidRPr="00C70893">
              <w:rPr>
                <w:rFonts w:cs="Arial"/>
                <w:lang w:val="en-GB"/>
              </w:rPr>
              <w:t>Evaluation of Seismic Hazards for Nuclear Power Plants.</w:t>
            </w:r>
          </w:p>
        </w:tc>
      </w:tr>
      <w:tr w:rsidR="006B4D8A" w:rsidRPr="00304D8A" w:rsidTr="006B4D8A">
        <w:tc>
          <w:tcPr>
            <w:tcW w:w="1701" w:type="dxa"/>
          </w:tcPr>
          <w:p w:rsidR="006B4D8A" w:rsidRPr="00C70893" w:rsidRDefault="006B4D8A" w:rsidP="006B4D8A">
            <w:pPr>
              <w:spacing w:before="60" w:after="60" w:line="312" w:lineRule="auto"/>
              <w:rPr>
                <w:rFonts w:cs="Arial"/>
                <w:lang w:val="en-GB"/>
              </w:rPr>
            </w:pPr>
            <w:r w:rsidRPr="00C70893">
              <w:rPr>
                <w:rFonts w:cs="Arial"/>
                <w:lang w:val="en-GB"/>
              </w:rPr>
              <w:t>4) IAEA NS-R-3</w:t>
            </w:r>
          </w:p>
        </w:tc>
        <w:tc>
          <w:tcPr>
            <w:tcW w:w="7762" w:type="dxa"/>
          </w:tcPr>
          <w:p w:rsidR="006B4D8A" w:rsidRPr="00C70893" w:rsidRDefault="006B4D8A" w:rsidP="006B4D8A">
            <w:pPr>
              <w:spacing w:before="60" w:after="60" w:line="312" w:lineRule="auto"/>
              <w:rPr>
                <w:rFonts w:cs="Arial"/>
                <w:lang w:val="en-GB"/>
              </w:rPr>
            </w:pPr>
            <w:r w:rsidRPr="00C70893">
              <w:rPr>
                <w:rFonts w:cs="Arial"/>
                <w:lang w:val="en-GB"/>
              </w:rPr>
              <w:t>Site Evaluation for Nuclear Installations.</w:t>
            </w:r>
          </w:p>
        </w:tc>
      </w:tr>
      <w:tr w:rsidR="006B4D8A" w:rsidRPr="00304D8A" w:rsidTr="006B4D8A">
        <w:tc>
          <w:tcPr>
            <w:tcW w:w="1701" w:type="dxa"/>
          </w:tcPr>
          <w:p w:rsidR="006B4D8A" w:rsidRPr="00C70893" w:rsidRDefault="006B4D8A" w:rsidP="006B4D8A">
            <w:pPr>
              <w:spacing w:before="60" w:after="60" w:line="312" w:lineRule="auto"/>
              <w:rPr>
                <w:rFonts w:cs="Arial"/>
                <w:lang w:val="en-GB"/>
              </w:rPr>
            </w:pPr>
            <w:r w:rsidRPr="00C70893">
              <w:rPr>
                <w:rFonts w:cs="Arial"/>
                <w:lang w:val="en-GB"/>
              </w:rPr>
              <w:t>5) IAEA DS433</w:t>
            </w:r>
          </w:p>
        </w:tc>
        <w:tc>
          <w:tcPr>
            <w:tcW w:w="7762" w:type="dxa"/>
          </w:tcPr>
          <w:p w:rsidR="006B4D8A" w:rsidRPr="00C70893" w:rsidRDefault="006B4D8A" w:rsidP="006B4D8A">
            <w:pPr>
              <w:spacing w:before="60" w:after="60" w:line="312" w:lineRule="auto"/>
              <w:rPr>
                <w:rFonts w:cs="Arial"/>
                <w:lang w:val="en-GB"/>
              </w:rPr>
            </w:pPr>
            <w:r w:rsidRPr="00C70893">
              <w:rPr>
                <w:rFonts w:cs="Arial"/>
                <w:lang w:val="en-GB"/>
              </w:rPr>
              <w:t>Safety Aspects in Siting for Nuclear Installations</w:t>
            </w:r>
          </w:p>
        </w:tc>
      </w:tr>
      <w:tr w:rsidR="006B4D8A" w:rsidRPr="00304D8A" w:rsidTr="006B4D8A">
        <w:tc>
          <w:tcPr>
            <w:tcW w:w="1701" w:type="dxa"/>
          </w:tcPr>
          <w:p w:rsidR="006B4D8A" w:rsidRPr="00C70893" w:rsidRDefault="006B4D8A" w:rsidP="006B4D8A">
            <w:pPr>
              <w:spacing w:before="60" w:after="60" w:line="312" w:lineRule="auto"/>
              <w:rPr>
                <w:rFonts w:cs="Arial"/>
                <w:lang w:val="en-GB"/>
              </w:rPr>
            </w:pPr>
            <w:r w:rsidRPr="00C70893">
              <w:rPr>
                <w:rFonts w:cs="Arial"/>
                <w:lang w:val="en-GB"/>
              </w:rPr>
              <w:t>6) IAEA SSG-25</w:t>
            </w:r>
          </w:p>
        </w:tc>
        <w:tc>
          <w:tcPr>
            <w:tcW w:w="7762" w:type="dxa"/>
          </w:tcPr>
          <w:p w:rsidR="006B4D8A" w:rsidRPr="00C70893" w:rsidRDefault="006B4D8A" w:rsidP="006B4D8A">
            <w:pPr>
              <w:spacing w:before="60" w:after="60" w:line="312" w:lineRule="auto"/>
              <w:rPr>
                <w:rFonts w:cs="Arial"/>
                <w:lang w:val="en-GB"/>
              </w:rPr>
            </w:pPr>
            <w:r w:rsidRPr="00C70893">
              <w:rPr>
                <w:rFonts w:cs="Arial"/>
                <w:lang w:val="en-GB"/>
              </w:rPr>
              <w:t>Periodic Safety Review for Nuclear Power Plants</w:t>
            </w:r>
          </w:p>
        </w:tc>
      </w:tr>
    </w:tbl>
    <w:p w:rsidR="006B4D8A" w:rsidRPr="00C70893" w:rsidRDefault="006B4D8A" w:rsidP="006B4D8A">
      <w:pPr>
        <w:spacing w:before="240" w:after="240" w:line="312" w:lineRule="auto"/>
        <w:rPr>
          <w:rFonts w:cs="Arial"/>
          <w:lang w:val="en-GB"/>
        </w:rPr>
      </w:pPr>
      <w:r w:rsidRPr="00C70893">
        <w:rPr>
          <w:rFonts w:cs="Arial"/>
          <w:lang w:val="en-GB"/>
        </w:rPr>
        <w:t xml:space="preserve">Note: The full list </w:t>
      </w:r>
      <w:r w:rsidRPr="00C70893">
        <w:rPr>
          <w:rStyle w:val="hps"/>
          <w:rFonts w:cs="Arial"/>
          <w:color w:val="222222"/>
          <w:lang w:val="en-GB"/>
        </w:rPr>
        <w:t>includes</w:t>
      </w:r>
      <w:r w:rsidRPr="00C70893">
        <w:rPr>
          <w:rStyle w:val="shorttext"/>
          <w:rFonts w:cs="Arial"/>
          <w:color w:val="222222"/>
          <w:lang w:val="en-GB"/>
        </w:rPr>
        <w:t xml:space="preserve"> </w:t>
      </w:r>
      <w:r w:rsidRPr="00C70893">
        <w:rPr>
          <w:rStyle w:val="hps"/>
          <w:rFonts w:cs="Arial"/>
          <w:color w:val="222222"/>
          <w:lang w:val="en-GB"/>
        </w:rPr>
        <w:t>70</w:t>
      </w:r>
      <w:r w:rsidRPr="00C70893">
        <w:rPr>
          <w:rStyle w:val="shorttext"/>
          <w:rFonts w:cs="Arial"/>
          <w:color w:val="222222"/>
          <w:lang w:val="en-GB"/>
        </w:rPr>
        <w:t xml:space="preserve"> external </w:t>
      </w:r>
      <w:r w:rsidRPr="00C70893">
        <w:rPr>
          <w:rStyle w:val="hps"/>
          <w:rFonts w:cs="Arial"/>
          <w:color w:val="222222"/>
          <w:lang w:val="en-GB"/>
        </w:rPr>
        <w:t>events (Dukovany NPP).</w:t>
      </w:r>
    </w:p>
    <w:p w:rsidR="006B4D8A" w:rsidRPr="00C70893" w:rsidRDefault="006B4D8A" w:rsidP="006B4D8A">
      <w:pPr>
        <w:spacing w:before="240" w:after="240" w:line="312" w:lineRule="auto"/>
        <w:rPr>
          <w:rStyle w:val="hps"/>
          <w:rFonts w:cs="Arial"/>
          <w:color w:val="222222"/>
          <w:lang w:val="en-GB"/>
        </w:rPr>
      </w:pPr>
      <w:r w:rsidRPr="00C70893">
        <w:rPr>
          <w:rStyle w:val="hps"/>
          <w:rFonts w:cs="Arial"/>
          <w:color w:val="222222"/>
          <w:lang w:val="en-GB"/>
        </w:rPr>
        <w:t>Acc. b) The following information and criteria were used for qualitative screening (questions of applicability, possibility, speed):</w:t>
      </w:r>
    </w:p>
    <w:tbl>
      <w:tblPr>
        <w:tblW w:w="9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
        <w:gridCol w:w="2165"/>
        <w:gridCol w:w="4584"/>
        <w:gridCol w:w="2504"/>
      </w:tblGrid>
      <w:tr w:rsidR="006B4D8A" w:rsidRPr="00E20701" w:rsidTr="006B4D8A">
        <w:trPr>
          <w:tblHeader/>
          <w:jc w:val="center"/>
        </w:trPr>
        <w:tc>
          <w:tcPr>
            <w:tcW w:w="481" w:type="dxa"/>
          </w:tcPr>
          <w:p w:rsidR="006B4D8A" w:rsidRPr="00C70893" w:rsidRDefault="006B4D8A" w:rsidP="006B4D8A">
            <w:pPr>
              <w:spacing w:line="312" w:lineRule="auto"/>
              <w:rPr>
                <w:rFonts w:cs="Arial"/>
                <w:b/>
                <w:sz w:val="20"/>
                <w:szCs w:val="20"/>
                <w:lang w:val="en-GB"/>
              </w:rPr>
            </w:pPr>
          </w:p>
        </w:tc>
        <w:tc>
          <w:tcPr>
            <w:tcW w:w="2165" w:type="dxa"/>
          </w:tcPr>
          <w:p w:rsidR="006B4D8A" w:rsidRPr="00C70893" w:rsidRDefault="006B4D8A" w:rsidP="006B4D8A">
            <w:pPr>
              <w:spacing w:line="312" w:lineRule="auto"/>
              <w:rPr>
                <w:rFonts w:cs="Arial"/>
                <w:b/>
                <w:sz w:val="20"/>
                <w:szCs w:val="20"/>
                <w:lang w:val="en-GB"/>
              </w:rPr>
            </w:pPr>
            <w:r w:rsidRPr="00C70893">
              <w:rPr>
                <w:rFonts w:cs="Arial"/>
                <w:b/>
                <w:sz w:val="20"/>
                <w:szCs w:val="20"/>
                <w:lang w:val="en-GB"/>
              </w:rPr>
              <w:t>Data</w:t>
            </w:r>
          </w:p>
        </w:tc>
        <w:tc>
          <w:tcPr>
            <w:tcW w:w="4584" w:type="dxa"/>
          </w:tcPr>
          <w:p w:rsidR="006B4D8A" w:rsidRPr="00C70893" w:rsidRDefault="006B4D8A" w:rsidP="006B4D8A">
            <w:pPr>
              <w:spacing w:line="312" w:lineRule="auto"/>
              <w:jc w:val="left"/>
              <w:rPr>
                <w:rFonts w:cs="Arial"/>
                <w:b/>
                <w:sz w:val="20"/>
                <w:szCs w:val="20"/>
                <w:lang w:val="en-GB"/>
              </w:rPr>
            </w:pPr>
            <w:r w:rsidRPr="00C70893">
              <w:rPr>
                <w:rStyle w:val="Titre2Car"/>
                <w:color w:val="222222"/>
                <w:lang w:val="en-GB"/>
              </w:rPr>
              <w:t xml:space="preserve"> </w:t>
            </w:r>
            <w:r w:rsidRPr="00C70893">
              <w:rPr>
                <w:rStyle w:val="hps"/>
                <w:rFonts w:cs="Arial"/>
                <w:b/>
                <w:color w:val="222222"/>
                <w:lang w:val="en-GB"/>
              </w:rPr>
              <w:t>Area of interest</w:t>
            </w:r>
            <w:r w:rsidRPr="00C70893">
              <w:rPr>
                <w:rStyle w:val="shorttext"/>
                <w:rFonts w:cs="Arial"/>
                <w:b/>
                <w:color w:val="222222"/>
                <w:lang w:val="en-GB"/>
              </w:rPr>
              <w:t xml:space="preserve"> </w:t>
            </w:r>
            <w:r w:rsidRPr="00C70893">
              <w:rPr>
                <w:rStyle w:val="hps"/>
                <w:rFonts w:cs="Arial"/>
                <w:b/>
                <w:color w:val="222222"/>
                <w:lang w:val="en-GB"/>
              </w:rPr>
              <w:t>/</w:t>
            </w:r>
            <w:r w:rsidRPr="00C70893">
              <w:rPr>
                <w:rStyle w:val="shorttext"/>
                <w:rFonts w:cs="Arial"/>
                <w:b/>
                <w:color w:val="222222"/>
                <w:lang w:val="en-GB"/>
              </w:rPr>
              <w:t xml:space="preserve"> </w:t>
            </w:r>
            <w:r w:rsidRPr="00C70893">
              <w:rPr>
                <w:rStyle w:val="hps"/>
                <w:rFonts w:cs="Arial"/>
                <w:b/>
                <w:color w:val="222222"/>
                <w:lang w:val="en-GB"/>
              </w:rPr>
              <w:t>desired</w:t>
            </w:r>
            <w:r w:rsidRPr="00C70893">
              <w:rPr>
                <w:rStyle w:val="shorttext"/>
                <w:rFonts w:cs="Arial"/>
                <w:b/>
                <w:color w:val="222222"/>
                <w:lang w:val="en-GB"/>
              </w:rPr>
              <w:t xml:space="preserve"> </w:t>
            </w:r>
            <w:r w:rsidRPr="00C70893">
              <w:rPr>
                <w:rStyle w:val="hps"/>
                <w:rFonts w:cs="Arial"/>
                <w:b/>
                <w:color w:val="222222"/>
                <w:lang w:val="en-GB"/>
              </w:rPr>
              <w:t>data</w:t>
            </w:r>
          </w:p>
        </w:tc>
        <w:tc>
          <w:tcPr>
            <w:tcW w:w="2504" w:type="dxa"/>
          </w:tcPr>
          <w:p w:rsidR="006B4D8A" w:rsidRPr="00C70893" w:rsidRDefault="006B4D8A" w:rsidP="006B4D8A">
            <w:pPr>
              <w:spacing w:line="312" w:lineRule="auto"/>
              <w:jc w:val="left"/>
              <w:rPr>
                <w:rFonts w:cs="Arial"/>
                <w:b/>
                <w:sz w:val="20"/>
                <w:szCs w:val="20"/>
                <w:lang w:val="en-GB"/>
              </w:rPr>
            </w:pPr>
            <w:r w:rsidRPr="00C70893">
              <w:rPr>
                <w:rStyle w:val="hps"/>
                <w:rFonts w:cs="Arial"/>
                <w:b/>
                <w:color w:val="222222"/>
                <w:lang w:val="en-GB"/>
              </w:rPr>
              <w:t>Area of interest</w:t>
            </w:r>
            <w:r w:rsidRPr="00C70893">
              <w:rPr>
                <w:rStyle w:val="shorttext"/>
                <w:rFonts w:cs="Arial"/>
                <w:b/>
                <w:color w:val="222222"/>
                <w:lang w:val="en-GB"/>
              </w:rPr>
              <w:t xml:space="preserve"> </w:t>
            </w:r>
            <w:r w:rsidRPr="00C70893">
              <w:rPr>
                <w:rStyle w:val="hps"/>
                <w:rFonts w:cs="Arial"/>
                <w:b/>
                <w:color w:val="222222"/>
                <w:lang w:val="en-GB"/>
              </w:rPr>
              <w:t>(criterion</w:t>
            </w:r>
            <w:r w:rsidRPr="00C70893">
              <w:rPr>
                <w:rStyle w:val="shorttext"/>
                <w:rFonts w:cs="Arial"/>
                <w:b/>
                <w:color w:val="222222"/>
                <w:lang w:val="en-GB"/>
              </w:rPr>
              <w:t>)</w:t>
            </w:r>
          </w:p>
        </w:tc>
      </w:tr>
      <w:tr w:rsidR="006B4D8A" w:rsidRPr="00E20701" w:rsidTr="006B4D8A">
        <w:trPr>
          <w:jc w:val="center"/>
        </w:trPr>
        <w:tc>
          <w:tcPr>
            <w:tcW w:w="481" w:type="dxa"/>
          </w:tcPr>
          <w:p w:rsidR="006B4D8A" w:rsidRPr="00C70893" w:rsidRDefault="006B4D8A" w:rsidP="006B4D8A">
            <w:pPr>
              <w:spacing w:line="312" w:lineRule="auto"/>
              <w:rPr>
                <w:rFonts w:cs="Arial"/>
                <w:sz w:val="20"/>
                <w:szCs w:val="20"/>
                <w:lang w:val="en-GB"/>
              </w:rPr>
            </w:pPr>
            <w:r w:rsidRPr="00C70893">
              <w:rPr>
                <w:rFonts w:cs="Arial"/>
                <w:sz w:val="20"/>
                <w:szCs w:val="20"/>
                <w:lang w:val="en-GB"/>
              </w:rPr>
              <w:t>a)</w:t>
            </w:r>
          </w:p>
        </w:tc>
        <w:tc>
          <w:tcPr>
            <w:tcW w:w="2165" w:type="dxa"/>
          </w:tcPr>
          <w:p w:rsidR="006B4D8A" w:rsidRPr="00C70893" w:rsidRDefault="006B4D8A" w:rsidP="006B4D8A">
            <w:pPr>
              <w:spacing w:line="312" w:lineRule="auto"/>
              <w:jc w:val="left"/>
              <w:rPr>
                <w:rFonts w:cs="Arial"/>
                <w:sz w:val="20"/>
                <w:szCs w:val="20"/>
                <w:lang w:val="en-GB"/>
              </w:rPr>
            </w:pPr>
            <w:r w:rsidRPr="00C70893">
              <w:rPr>
                <w:rStyle w:val="hps"/>
                <w:rFonts w:cs="Arial"/>
                <w:color w:val="222222"/>
                <w:lang w:val="en-GB"/>
              </w:rPr>
              <w:t>Geographical</w:t>
            </w:r>
            <w:r w:rsidRPr="00C70893">
              <w:rPr>
                <w:rStyle w:val="shorttext"/>
                <w:rFonts w:cs="Arial"/>
                <w:color w:val="222222"/>
                <w:lang w:val="en-GB"/>
              </w:rPr>
              <w:t xml:space="preserve"> </w:t>
            </w:r>
            <w:r w:rsidRPr="00C70893">
              <w:rPr>
                <w:rStyle w:val="hps"/>
                <w:rFonts w:cs="Arial"/>
                <w:color w:val="222222"/>
                <w:lang w:val="en-GB"/>
              </w:rPr>
              <w:t>data</w:t>
            </w:r>
          </w:p>
        </w:tc>
        <w:tc>
          <w:tcPr>
            <w:tcW w:w="4584" w:type="dxa"/>
          </w:tcPr>
          <w:p w:rsidR="006B4D8A" w:rsidRPr="00C70893" w:rsidRDefault="006B4D8A" w:rsidP="006B4D8A">
            <w:pPr>
              <w:spacing w:line="312" w:lineRule="auto"/>
              <w:jc w:val="left"/>
              <w:rPr>
                <w:rFonts w:cs="Arial"/>
                <w:sz w:val="20"/>
                <w:szCs w:val="20"/>
                <w:lang w:val="en-GB"/>
              </w:rPr>
            </w:pPr>
            <w:bookmarkStart w:id="404" w:name="OLE_LINK4"/>
            <w:bookmarkStart w:id="405" w:name="OLE_LINK5"/>
            <w:bookmarkStart w:id="406" w:name="OLE_LINK6"/>
            <w:r w:rsidRPr="00C70893">
              <w:rPr>
                <w:rFonts w:cs="Arial"/>
                <w:i/>
                <w:lang w:val="en-GB"/>
              </w:rPr>
              <w:t>Site vicinity</w:t>
            </w:r>
            <w:bookmarkEnd w:id="404"/>
            <w:bookmarkEnd w:id="405"/>
            <w:bookmarkEnd w:id="406"/>
            <w:r w:rsidRPr="00C70893">
              <w:rPr>
                <w:rFonts w:cs="Arial"/>
                <w:i/>
                <w:lang w:val="en-GB"/>
              </w:rPr>
              <w:t xml:space="preserve"> (0 -5 km), Near region (5 – 25 km)</w:t>
            </w:r>
            <w:r w:rsidRPr="00C70893">
              <w:rPr>
                <w:rFonts w:cs="Arial"/>
                <w:sz w:val="20"/>
                <w:szCs w:val="20"/>
                <w:lang w:val="en-GB"/>
              </w:rPr>
              <w:t xml:space="preserve"> /</w:t>
            </w:r>
          </w:p>
          <w:p w:rsidR="006B4D8A" w:rsidRPr="00C70893" w:rsidRDefault="006B4D8A" w:rsidP="006B4D8A">
            <w:pPr>
              <w:spacing w:line="312" w:lineRule="auto"/>
              <w:jc w:val="left"/>
              <w:rPr>
                <w:rFonts w:cs="Arial"/>
                <w:sz w:val="20"/>
                <w:szCs w:val="20"/>
                <w:lang w:val="en-GB"/>
              </w:rPr>
            </w:pPr>
            <w:r w:rsidRPr="00C70893">
              <w:rPr>
                <w:rStyle w:val="hps"/>
                <w:rFonts w:cs="Arial"/>
                <w:color w:val="222222"/>
                <w:lang w:val="en-GB"/>
              </w:rPr>
              <w:t>Geographical</w:t>
            </w:r>
            <w:r w:rsidRPr="00C70893">
              <w:rPr>
                <w:rFonts w:cs="Arial"/>
                <w:color w:val="222222"/>
                <w:lang w:val="en-GB"/>
              </w:rPr>
              <w:t xml:space="preserve"> </w:t>
            </w:r>
            <w:r w:rsidRPr="00C70893">
              <w:rPr>
                <w:rStyle w:val="hps"/>
                <w:rFonts w:cs="Arial"/>
                <w:color w:val="222222"/>
                <w:lang w:val="en-GB"/>
              </w:rPr>
              <w:t>location of</w:t>
            </w:r>
            <w:r w:rsidRPr="00C70893">
              <w:rPr>
                <w:rFonts w:cs="Arial"/>
                <w:color w:val="222222"/>
                <w:lang w:val="en-GB"/>
              </w:rPr>
              <w:t xml:space="preserve"> </w:t>
            </w:r>
            <w:r w:rsidRPr="00C70893">
              <w:rPr>
                <w:rStyle w:val="hps"/>
                <w:rFonts w:cs="Arial"/>
                <w:color w:val="222222"/>
                <w:lang w:val="en-GB"/>
              </w:rPr>
              <w:t>the unit,</w:t>
            </w:r>
            <w:r w:rsidRPr="00C70893">
              <w:rPr>
                <w:rFonts w:cs="Arial"/>
                <w:color w:val="222222"/>
                <w:lang w:val="en-GB"/>
              </w:rPr>
              <w:t xml:space="preserve"> </w:t>
            </w:r>
            <w:r w:rsidRPr="00C70893">
              <w:rPr>
                <w:rStyle w:val="hps"/>
                <w:rFonts w:cs="Arial"/>
                <w:color w:val="222222"/>
                <w:lang w:val="en-GB"/>
              </w:rPr>
              <w:t>a unit</w:t>
            </w:r>
            <w:r w:rsidRPr="00C70893">
              <w:rPr>
                <w:rFonts w:cs="Arial"/>
                <w:color w:val="222222"/>
                <w:lang w:val="en-GB"/>
              </w:rPr>
              <w:t xml:space="preserve"> </w:t>
            </w:r>
            <w:r w:rsidRPr="00C70893">
              <w:rPr>
                <w:rStyle w:val="hps"/>
                <w:rFonts w:cs="Arial"/>
                <w:color w:val="222222"/>
                <w:lang w:val="en-GB"/>
              </w:rPr>
              <w:t>altitude</w:t>
            </w:r>
            <w:r w:rsidRPr="00C70893">
              <w:rPr>
                <w:rFonts w:cs="Arial"/>
                <w:color w:val="222222"/>
                <w:lang w:val="en-GB"/>
              </w:rPr>
              <w:t xml:space="preserve">, </w:t>
            </w:r>
            <w:r w:rsidRPr="00C70893">
              <w:rPr>
                <w:rStyle w:val="hps"/>
                <w:rFonts w:cs="Arial"/>
                <w:color w:val="222222"/>
                <w:lang w:val="en-GB"/>
              </w:rPr>
              <w:t>position</w:t>
            </w:r>
            <w:r w:rsidRPr="00C70893">
              <w:rPr>
                <w:rFonts w:cs="Arial"/>
                <w:color w:val="222222"/>
                <w:lang w:val="en-GB"/>
              </w:rPr>
              <w:t xml:space="preserve"> </w:t>
            </w:r>
            <w:r w:rsidRPr="00C70893">
              <w:rPr>
                <w:rStyle w:val="hps"/>
                <w:rFonts w:cs="Arial"/>
                <w:color w:val="222222"/>
                <w:lang w:val="en-GB"/>
              </w:rPr>
              <w:t>of rivers,</w:t>
            </w:r>
            <w:r w:rsidRPr="00C70893">
              <w:rPr>
                <w:rFonts w:cs="Arial"/>
                <w:color w:val="222222"/>
                <w:lang w:val="en-GB"/>
              </w:rPr>
              <w:t xml:space="preserve"> position of </w:t>
            </w:r>
            <w:r w:rsidRPr="00C70893">
              <w:rPr>
                <w:rStyle w:val="hps"/>
                <w:rFonts w:cs="Arial"/>
                <w:color w:val="222222"/>
                <w:lang w:val="en-GB"/>
              </w:rPr>
              <w:t>industrial operations</w:t>
            </w:r>
            <w:r w:rsidRPr="00C70893">
              <w:rPr>
                <w:rFonts w:cs="Arial"/>
                <w:color w:val="222222"/>
                <w:lang w:val="en-GB"/>
              </w:rPr>
              <w:t xml:space="preserve">, position of military </w:t>
            </w:r>
            <w:r w:rsidRPr="00C70893">
              <w:rPr>
                <w:rStyle w:val="hps"/>
                <w:rFonts w:cs="Arial"/>
                <w:color w:val="222222"/>
                <w:lang w:val="en-GB"/>
              </w:rPr>
              <w:t>operations</w:t>
            </w:r>
            <w:r w:rsidRPr="00C70893">
              <w:rPr>
                <w:rFonts w:cs="Arial"/>
                <w:color w:val="222222"/>
                <w:lang w:val="en-GB"/>
              </w:rPr>
              <w:t xml:space="preserve">, position of airports, position of </w:t>
            </w:r>
            <w:r w:rsidRPr="00C70893">
              <w:rPr>
                <w:rStyle w:val="hps"/>
                <w:rFonts w:cs="Arial"/>
                <w:color w:val="222222"/>
                <w:lang w:val="en-GB"/>
              </w:rPr>
              <w:t>transport</w:t>
            </w:r>
            <w:r w:rsidRPr="00C70893">
              <w:rPr>
                <w:rFonts w:cs="Arial"/>
                <w:color w:val="222222"/>
                <w:lang w:val="en-GB"/>
              </w:rPr>
              <w:t xml:space="preserve"> </w:t>
            </w:r>
            <w:r w:rsidRPr="00C70893">
              <w:rPr>
                <w:rStyle w:val="hps"/>
                <w:rFonts w:cs="Arial"/>
                <w:color w:val="222222"/>
                <w:lang w:val="en-GB"/>
              </w:rPr>
              <w:t>routes</w:t>
            </w:r>
            <w:r w:rsidRPr="00C70893">
              <w:rPr>
                <w:rFonts w:cs="Arial"/>
                <w:color w:val="222222"/>
                <w:lang w:val="en-GB"/>
              </w:rPr>
              <w:t xml:space="preserve"> </w:t>
            </w:r>
            <w:r w:rsidRPr="00C70893">
              <w:rPr>
                <w:rStyle w:val="hps"/>
                <w:rFonts w:cs="Arial"/>
                <w:color w:val="222222"/>
                <w:lang w:val="en-GB"/>
              </w:rPr>
              <w:t>etc.</w:t>
            </w:r>
          </w:p>
        </w:tc>
        <w:tc>
          <w:tcPr>
            <w:tcW w:w="2504" w:type="dxa"/>
          </w:tcPr>
          <w:p w:rsidR="006B4D8A" w:rsidRPr="00C70893" w:rsidRDefault="006B4D8A" w:rsidP="006B4D8A">
            <w:pPr>
              <w:spacing w:line="312" w:lineRule="auto"/>
              <w:rPr>
                <w:rFonts w:cs="Arial"/>
                <w:sz w:val="20"/>
                <w:szCs w:val="20"/>
                <w:lang w:val="en-GB"/>
              </w:rPr>
            </w:pPr>
            <w:r w:rsidRPr="00C70893">
              <w:rPr>
                <w:rFonts w:cs="Arial"/>
                <w:sz w:val="20"/>
                <w:szCs w:val="20"/>
                <w:lang w:val="en-GB"/>
              </w:rPr>
              <w:t>0 - 25 km</w:t>
            </w:r>
          </w:p>
          <w:p w:rsidR="006B4D8A" w:rsidRPr="00C70893" w:rsidRDefault="006B4D8A" w:rsidP="006B4D8A">
            <w:pPr>
              <w:spacing w:line="312" w:lineRule="auto"/>
              <w:rPr>
                <w:rFonts w:cs="Arial"/>
                <w:sz w:val="20"/>
                <w:szCs w:val="20"/>
                <w:lang w:val="en-GB"/>
              </w:rPr>
            </w:pPr>
          </w:p>
        </w:tc>
      </w:tr>
      <w:tr w:rsidR="006B4D8A" w:rsidRPr="00E20701" w:rsidTr="006B4D8A">
        <w:trPr>
          <w:jc w:val="center"/>
        </w:trPr>
        <w:tc>
          <w:tcPr>
            <w:tcW w:w="481" w:type="dxa"/>
          </w:tcPr>
          <w:p w:rsidR="006B4D8A" w:rsidRPr="00C70893" w:rsidRDefault="006B4D8A" w:rsidP="006B4D8A">
            <w:pPr>
              <w:spacing w:line="312" w:lineRule="auto"/>
              <w:rPr>
                <w:rFonts w:cs="Arial"/>
                <w:sz w:val="20"/>
                <w:szCs w:val="20"/>
                <w:lang w:val="en-GB"/>
              </w:rPr>
            </w:pPr>
            <w:r w:rsidRPr="00C70893">
              <w:rPr>
                <w:rFonts w:cs="Arial"/>
                <w:sz w:val="20"/>
                <w:szCs w:val="20"/>
                <w:lang w:val="en-GB"/>
              </w:rPr>
              <w:t>b)</w:t>
            </w:r>
          </w:p>
        </w:tc>
        <w:tc>
          <w:tcPr>
            <w:tcW w:w="2165" w:type="dxa"/>
          </w:tcPr>
          <w:p w:rsidR="006B4D8A" w:rsidRPr="00C70893" w:rsidRDefault="006B4D8A" w:rsidP="006B4D8A">
            <w:pPr>
              <w:spacing w:line="312" w:lineRule="auto"/>
              <w:jc w:val="left"/>
              <w:rPr>
                <w:rFonts w:cs="Arial"/>
                <w:sz w:val="20"/>
                <w:szCs w:val="20"/>
                <w:lang w:val="en-GB"/>
              </w:rPr>
            </w:pPr>
            <w:r w:rsidRPr="00C70893">
              <w:rPr>
                <w:rStyle w:val="hps"/>
                <w:rFonts w:cs="Arial"/>
                <w:color w:val="222222"/>
                <w:lang w:val="en-GB"/>
              </w:rPr>
              <w:t>Geological</w:t>
            </w:r>
            <w:r w:rsidRPr="00C70893">
              <w:rPr>
                <w:rStyle w:val="shorttext"/>
                <w:rFonts w:cs="Arial"/>
                <w:color w:val="222222"/>
                <w:lang w:val="en-GB"/>
              </w:rPr>
              <w:t xml:space="preserve"> </w:t>
            </w:r>
            <w:r w:rsidRPr="00C70893">
              <w:rPr>
                <w:rStyle w:val="hps"/>
                <w:rFonts w:cs="Arial"/>
                <w:color w:val="222222"/>
                <w:lang w:val="en-GB"/>
              </w:rPr>
              <w:t>data</w:t>
            </w:r>
          </w:p>
        </w:tc>
        <w:tc>
          <w:tcPr>
            <w:tcW w:w="4584" w:type="dxa"/>
          </w:tcPr>
          <w:p w:rsidR="006B4D8A" w:rsidRPr="00C70893" w:rsidRDefault="006B4D8A" w:rsidP="006B4D8A">
            <w:pPr>
              <w:spacing w:line="312" w:lineRule="auto"/>
              <w:jc w:val="left"/>
              <w:rPr>
                <w:rFonts w:cs="Arial"/>
                <w:sz w:val="20"/>
                <w:szCs w:val="20"/>
                <w:lang w:val="en-GB"/>
              </w:rPr>
            </w:pPr>
            <w:r w:rsidRPr="00C70893">
              <w:rPr>
                <w:rFonts w:cs="Arial"/>
                <w:i/>
                <w:lang w:val="en-GB"/>
              </w:rPr>
              <w:t>Site vicinity (0 -5 km), Region (25 – 300 km)</w:t>
            </w:r>
            <w:r w:rsidRPr="00C70893">
              <w:rPr>
                <w:rFonts w:cs="Arial"/>
                <w:sz w:val="20"/>
                <w:szCs w:val="20"/>
                <w:lang w:val="en-GB"/>
              </w:rPr>
              <w:t xml:space="preserve"> /</w:t>
            </w:r>
          </w:p>
          <w:p w:rsidR="006B4D8A" w:rsidRPr="00C70893" w:rsidRDefault="006B4D8A" w:rsidP="00D1419B">
            <w:pPr>
              <w:spacing w:line="312" w:lineRule="auto"/>
              <w:jc w:val="left"/>
              <w:rPr>
                <w:rFonts w:cs="Arial"/>
                <w:szCs w:val="18"/>
                <w:lang w:val="en-GB"/>
              </w:rPr>
            </w:pPr>
            <w:r w:rsidRPr="00C70893">
              <w:rPr>
                <w:rFonts w:cs="Arial"/>
                <w:szCs w:val="18"/>
                <w:lang w:val="en-GB"/>
              </w:rPr>
              <w:t>Position of local geological faults, geological data from the area of NPP, geological data from the region of NPP etc.</w:t>
            </w:r>
          </w:p>
        </w:tc>
        <w:tc>
          <w:tcPr>
            <w:tcW w:w="2504" w:type="dxa"/>
          </w:tcPr>
          <w:p w:rsidR="006B4D8A" w:rsidRPr="00C70893" w:rsidRDefault="006B4D8A" w:rsidP="006B4D8A">
            <w:pPr>
              <w:spacing w:line="312" w:lineRule="auto"/>
              <w:rPr>
                <w:rFonts w:cs="Arial"/>
                <w:sz w:val="20"/>
                <w:szCs w:val="20"/>
                <w:lang w:val="en-GB"/>
              </w:rPr>
            </w:pPr>
            <w:r w:rsidRPr="00C70893">
              <w:rPr>
                <w:rFonts w:cs="Arial"/>
                <w:sz w:val="20"/>
                <w:szCs w:val="20"/>
                <w:lang w:val="en-GB"/>
              </w:rPr>
              <w:t>0 - 300 km</w:t>
            </w:r>
          </w:p>
        </w:tc>
      </w:tr>
      <w:tr w:rsidR="006B4D8A" w:rsidRPr="00E20701" w:rsidTr="006B4D8A">
        <w:trPr>
          <w:jc w:val="center"/>
        </w:trPr>
        <w:tc>
          <w:tcPr>
            <w:tcW w:w="481" w:type="dxa"/>
          </w:tcPr>
          <w:p w:rsidR="006B4D8A" w:rsidRPr="00C70893" w:rsidRDefault="006B4D8A" w:rsidP="006B4D8A">
            <w:pPr>
              <w:spacing w:line="312" w:lineRule="auto"/>
              <w:rPr>
                <w:rFonts w:cs="Arial"/>
                <w:sz w:val="20"/>
                <w:szCs w:val="20"/>
                <w:lang w:val="en-GB"/>
              </w:rPr>
            </w:pPr>
            <w:r w:rsidRPr="00C70893">
              <w:rPr>
                <w:rFonts w:cs="Arial"/>
                <w:sz w:val="20"/>
                <w:szCs w:val="20"/>
                <w:lang w:val="en-GB"/>
              </w:rPr>
              <w:t>c)</w:t>
            </w:r>
          </w:p>
        </w:tc>
        <w:tc>
          <w:tcPr>
            <w:tcW w:w="2165" w:type="dxa"/>
          </w:tcPr>
          <w:p w:rsidR="006B4D8A" w:rsidRPr="00C70893" w:rsidRDefault="006B4D8A" w:rsidP="006B4D8A">
            <w:pPr>
              <w:spacing w:line="312" w:lineRule="auto"/>
              <w:jc w:val="left"/>
              <w:rPr>
                <w:rFonts w:cs="Arial"/>
                <w:sz w:val="20"/>
                <w:szCs w:val="20"/>
                <w:lang w:val="en-GB"/>
              </w:rPr>
            </w:pPr>
            <w:r w:rsidRPr="00C70893">
              <w:rPr>
                <w:rStyle w:val="hps"/>
                <w:rFonts w:cs="Arial"/>
                <w:color w:val="222222"/>
                <w:lang w:val="en-GB"/>
              </w:rPr>
              <w:t>Meteorological</w:t>
            </w:r>
            <w:r w:rsidRPr="00C70893">
              <w:rPr>
                <w:rStyle w:val="shorttext"/>
                <w:rFonts w:cs="Arial"/>
                <w:color w:val="222222"/>
                <w:lang w:val="en-GB"/>
              </w:rPr>
              <w:t xml:space="preserve"> </w:t>
            </w:r>
            <w:r w:rsidRPr="00C70893">
              <w:rPr>
                <w:rStyle w:val="hps"/>
                <w:rFonts w:cs="Arial"/>
                <w:color w:val="222222"/>
                <w:lang w:val="en-GB"/>
              </w:rPr>
              <w:t>data</w:t>
            </w:r>
          </w:p>
        </w:tc>
        <w:tc>
          <w:tcPr>
            <w:tcW w:w="4584" w:type="dxa"/>
          </w:tcPr>
          <w:p w:rsidR="006B4D8A" w:rsidRPr="00C70893" w:rsidRDefault="006B4D8A" w:rsidP="00D1419B">
            <w:pPr>
              <w:spacing w:line="312" w:lineRule="auto"/>
              <w:jc w:val="left"/>
              <w:rPr>
                <w:rFonts w:cs="Arial"/>
                <w:sz w:val="20"/>
                <w:szCs w:val="20"/>
                <w:lang w:val="en-GB"/>
              </w:rPr>
            </w:pPr>
            <w:r w:rsidRPr="00C70893">
              <w:rPr>
                <w:rFonts w:cs="Arial"/>
                <w:i/>
                <w:lang w:val="en-GB"/>
              </w:rPr>
              <w:t>Site vicinity (0 -5 km), Near region (5 – 25 km)</w:t>
            </w:r>
            <w:r w:rsidRPr="00C70893">
              <w:rPr>
                <w:rFonts w:cs="Arial"/>
                <w:sz w:val="20"/>
                <w:szCs w:val="20"/>
                <w:lang w:val="en-GB"/>
              </w:rPr>
              <w:t xml:space="preserve"> / S</w:t>
            </w:r>
            <w:r w:rsidRPr="00C70893">
              <w:rPr>
                <w:rStyle w:val="hps"/>
                <w:rFonts w:cs="Arial"/>
                <w:color w:val="222222"/>
                <w:lang w:val="en-GB"/>
              </w:rPr>
              <w:t>tatistics</w:t>
            </w:r>
            <w:r w:rsidRPr="00C70893">
              <w:rPr>
                <w:rFonts w:cs="Arial"/>
                <w:color w:val="222222"/>
                <w:lang w:val="en-GB"/>
              </w:rPr>
              <w:t xml:space="preserve"> </w:t>
            </w:r>
            <w:r w:rsidRPr="00C70893">
              <w:rPr>
                <w:rStyle w:val="hps"/>
                <w:rFonts w:cs="Arial"/>
                <w:color w:val="222222"/>
                <w:lang w:val="en-GB"/>
              </w:rPr>
              <w:t>data related to rainfall,</w:t>
            </w:r>
            <w:r w:rsidRPr="00C70893">
              <w:rPr>
                <w:rFonts w:cs="Arial"/>
                <w:color w:val="222222"/>
                <w:lang w:val="en-GB"/>
              </w:rPr>
              <w:t xml:space="preserve"> </w:t>
            </w:r>
            <w:r w:rsidRPr="00C70893">
              <w:rPr>
                <w:rStyle w:val="hps"/>
                <w:rFonts w:cs="Arial"/>
                <w:color w:val="222222"/>
                <w:lang w:val="en-GB"/>
              </w:rPr>
              <w:t>temperature</w:t>
            </w:r>
            <w:r w:rsidRPr="00C70893">
              <w:rPr>
                <w:rFonts w:cs="Arial"/>
                <w:color w:val="222222"/>
                <w:lang w:val="en-GB"/>
              </w:rPr>
              <w:t xml:space="preserve">, </w:t>
            </w:r>
            <w:r w:rsidRPr="00C70893">
              <w:rPr>
                <w:rStyle w:val="hps"/>
                <w:rFonts w:cs="Arial"/>
                <w:color w:val="222222"/>
                <w:lang w:val="en-GB"/>
              </w:rPr>
              <w:t>wind speed</w:t>
            </w:r>
            <w:r w:rsidRPr="00C70893">
              <w:rPr>
                <w:rFonts w:cs="Arial"/>
                <w:color w:val="222222"/>
                <w:lang w:val="en-GB"/>
              </w:rPr>
              <w:t xml:space="preserve"> </w:t>
            </w:r>
            <w:r w:rsidRPr="00C70893">
              <w:rPr>
                <w:rStyle w:val="hps"/>
                <w:rFonts w:cs="Arial"/>
                <w:color w:val="222222"/>
                <w:lang w:val="en-GB"/>
              </w:rPr>
              <w:t>etc.</w:t>
            </w:r>
          </w:p>
        </w:tc>
        <w:tc>
          <w:tcPr>
            <w:tcW w:w="2504" w:type="dxa"/>
          </w:tcPr>
          <w:p w:rsidR="006B4D8A" w:rsidRPr="00C70893" w:rsidRDefault="006B4D8A" w:rsidP="006B4D8A">
            <w:pPr>
              <w:spacing w:line="312" w:lineRule="auto"/>
              <w:rPr>
                <w:rFonts w:cs="Arial"/>
                <w:sz w:val="20"/>
                <w:szCs w:val="20"/>
                <w:lang w:val="en-GB"/>
              </w:rPr>
            </w:pPr>
            <w:r w:rsidRPr="00C70893">
              <w:rPr>
                <w:rFonts w:cs="Arial"/>
                <w:sz w:val="20"/>
                <w:szCs w:val="20"/>
                <w:lang w:val="en-GB"/>
              </w:rPr>
              <w:t>0 - 25 km</w:t>
            </w:r>
          </w:p>
        </w:tc>
      </w:tr>
      <w:tr w:rsidR="006B4D8A" w:rsidRPr="00E20701" w:rsidTr="006B4D8A">
        <w:trPr>
          <w:jc w:val="center"/>
        </w:trPr>
        <w:tc>
          <w:tcPr>
            <w:tcW w:w="481" w:type="dxa"/>
          </w:tcPr>
          <w:p w:rsidR="006B4D8A" w:rsidRPr="00C70893" w:rsidRDefault="006B4D8A" w:rsidP="006B4D8A">
            <w:pPr>
              <w:spacing w:line="312" w:lineRule="auto"/>
              <w:rPr>
                <w:rFonts w:cs="Arial"/>
                <w:sz w:val="20"/>
                <w:szCs w:val="20"/>
                <w:lang w:val="en-GB"/>
              </w:rPr>
            </w:pPr>
            <w:r w:rsidRPr="00C70893">
              <w:rPr>
                <w:rFonts w:cs="Arial"/>
                <w:sz w:val="20"/>
                <w:szCs w:val="20"/>
                <w:lang w:val="en-GB"/>
              </w:rPr>
              <w:t>d)</w:t>
            </w:r>
          </w:p>
        </w:tc>
        <w:tc>
          <w:tcPr>
            <w:tcW w:w="2165" w:type="dxa"/>
          </w:tcPr>
          <w:p w:rsidR="006B4D8A" w:rsidRPr="00C70893" w:rsidRDefault="006B4D8A" w:rsidP="006B4D8A">
            <w:pPr>
              <w:spacing w:line="312" w:lineRule="auto"/>
              <w:jc w:val="left"/>
              <w:rPr>
                <w:rFonts w:cs="Arial"/>
                <w:sz w:val="20"/>
                <w:szCs w:val="20"/>
                <w:u w:val="single"/>
                <w:lang w:val="en-GB"/>
              </w:rPr>
            </w:pPr>
            <w:r w:rsidRPr="00C70893">
              <w:rPr>
                <w:rStyle w:val="hps"/>
                <w:rFonts w:cs="Arial"/>
                <w:color w:val="222222"/>
                <w:lang w:val="en-GB"/>
              </w:rPr>
              <w:t>Biological data</w:t>
            </w:r>
          </w:p>
        </w:tc>
        <w:tc>
          <w:tcPr>
            <w:tcW w:w="4584" w:type="dxa"/>
          </w:tcPr>
          <w:p w:rsidR="006B4D8A" w:rsidRPr="00C70893" w:rsidRDefault="006B4D8A" w:rsidP="006B4D8A">
            <w:pPr>
              <w:spacing w:line="312" w:lineRule="auto"/>
              <w:jc w:val="left"/>
              <w:rPr>
                <w:rFonts w:cs="Arial"/>
                <w:sz w:val="20"/>
                <w:szCs w:val="20"/>
                <w:lang w:val="en-GB"/>
              </w:rPr>
            </w:pPr>
            <w:r w:rsidRPr="00C70893">
              <w:rPr>
                <w:rFonts w:cs="Arial"/>
                <w:i/>
                <w:lang w:val="en-GB"/>
              </w:rPr>
              <w:t xml:space="preserve">Site vicinity (0 -5 km) </w:t>
            </w:r>
            <w:r w:rsidRPr="00C70893">
              <w:rPr>
                <w:rFonts w:cs="Arial"/>
                <w:sz w:val="20"/>
                <w:szCs w:val="20"/>
                <w:lang w:val="en-GB"/>
              </w:rPr>
              <w:t>/</w:t>
            </w:r>
          </w:p>
          <w:p w:rsidR="006B4D8A" w:rsidRPr="00C70893" w:rsidRDefault="006B4D8A" w:rsidP="006B4D8A">
            <w:pPr>
              <w:spacing w:line="312" w:lineRule="auto"/>
              <w:jc w:val="left"/>
              <w:rPr>
                <w:rFonts w:cs="Arial"/>
                <w:sz w:val="20"/>
                <w:szCs w:val="20"/>
                <w:u w:val="single"/>
                <w:lang w:val="en-GB"/>
              </w:rPr>
            </w:pPr>
            <w:r w:rsidRPr="00C70893">
              <w:rPr>
                <w:rStyle w:val="hps"/>
                <w:rFonts w:cs="Arial"/>
                <w:color w:val="222222"/>
                <w:lang w:val="en-GB"/>
              </w:rPr>
              <w:t>Occurrence</w:t>
            </w:r>
            <w:r w:rsidRPr="00C70893">
              <w:rPr>
                <w:rFonts w:cs="Arial"/>
                <w:color w:val="222222"/>
                <w:lang w:val="en-GB"/>
              </w:rPr>
              <w:t xml:space="preserve"> </w:t>
            </w:r>
            <w:r w:rsidRPr="00C70893">
              <w:rPr>
                <w:rStyle w:val="hps"/>
                <w:rFonts w:cs="Arial"/>
                <w:color w:val="222222"/>
                <w:lang w:val="en-GB"/>
              </w:rPr>
              <w:t>of fauna and flora</w:t>
            </w:r>
            <w:r w:rsidRPr="00C70893">
              <w:rPr>
                <w:rFonts w:cs="Arial"/>
                <w:color w:val="222222"/>
                <w:lang w:val="en-GB"/>
              </w:rPr>
              <w:t xml:space="preserve">, with possible impact </w:t>
            </w:r>
            <w:r w:rsidRPr="00C70893">
              <w:rPr>
                <w:rStyle w:val="hps"/>
                <w:rFonts w:cs="Arial"/>
                <w:color w:val="222222"/>
                <w:lang w:val="en-GB"/>
              </w:rPr>
              <w:t>on</w:t>
            </w:r>
            <w:r w:rsidRPr="00C70893">
              <w:rPr>
                <w:rFonts w:cs="Arial"/>
                <w:color w:val="222222"/>
                <w:lang w:val="en-GB"/>
              </w:rPr>
              <w:t xml:space="preserve"> the NPP.</w:t>
            </w:r>
          </w:p>
        </w:tc>
        <w:tc>
          <w:tcPr>
            <w:tcW w:w="2504" w:type="dxa"/>
          </w:tcPr>
          <w:p w:rsidR="006B4D8A" w:rsidRPr="00C70893" w:rsidRDefault="006B4D8A" w:rsidP="006B4D8A">
            <w:pPr>
              <w:spacing w:line="312" w:lineRule="auto"/>
              <w:rPr>
                <w:rFonts w:cs="Arial"/>
                <w:sz w:val="20"/>
                <w:szCs w:val="20"/>
                <w:lang w:val="en-GB"/>
              </w:rPr>
            </w:pPr>
            <w:r w:rsidRPr="00C70893">
              <w:rPr>
                <w:rFonts w:cs="Arial"/>
                <w:sz w:val="20"/>
                <w:szCs w:val="20"/>
                <w:lang w:val="en-GB"/>
              </w:rPr>
              <w:t>0 - 5 km</w:t>
            </w:r>
          </w:p>
          <w:p w:rsidR="006B4D8A" w:rsidRPr="00C70893" w:rsidRDefault="006B4D8A" w:rsidP="006B4D8A">
            <w:pPr>
              <w:spacing w:line="312" w:lineRule="auto"/>
              <w:rPr>
                <w:rFonts w:cs="Arial"/>
                <w:sz w:val="20"/>
                <w:szCs w:val="20"/>
                <w:lang w:val="en-GB"/>
              </w:rPr>
            </w:pPr>
          </w:p>
        </w:tc>
      </w:tr>
      <w:tr w:rsidR="006B4D8A" w:rsidRPr="00E20701" w:rsidTr="006B4D8A">
        <w:trPr>
          <w:jc w:val="center"/>
        </w:trPr>
        <w:tc>
          <w:tcPr>
            <w:tcW w:w="481" w:type="dxa"/>
          </w:tcPr>
          <w:p w:rsidR="006B4D8A" w:rsidRPr="00C70893" w:rsidRDefault="006B4D8A" w:rsidP="006B4D8A">
            <w:pPr>
              <w:spacing w:line="312" w:lineRule="auto"/>
              <w:rPr>
                <w:rFonts w:cs="Arial"/>
                <w:sz w:val="20"/>
                <w:szCs w:val="20"/>
                <w:lang w:val="en-GB"/>
              </w:rPr>
            </w:pPr>
            <w:r w:rsidRPr="00C70893">
              <w:rPr>
                <w:rFonts w:cs="Arial"/>
                <w:sz w:val="20"/>
                <w:szCs w:val="20"/>
                <w:lang w:val="en-GB"/>
              </w:rPr>
              <w:t>d)</w:t>
            </w:r>
          </w:p>
        </w:tc>
        <w:tc>
          <w:tcPr>
            <w:tcW w:w="2165" w:type="dxa"/>
          </w:tcPr>
          <w:p w:rsidR="006B4D8A" w:rsidRPr="00C70893" w:rsidRDefault="006B4D8A" w:rsidP="006B4D8A">
            <w:pPr>
              <w:spacing w:line="312" w:lineRule="auto"/>
              <w:jc w:val="left"/>
              <w:rPr>
                <w:rFonts w:cs="Arial"/>
                <w:sz w:val="20"/>
                <w:szCs w:val="20"/>
                <w:lang w:val="en-GB"/>
              </w:rPr>
            </w:pPr>
            <w:r w:rsidRPr="00C70893">
              <w:rPr>
                <w:rStyle w:val="hps"/>
                <w:rFonts w:cs="Arial"/>
                <w:color w:val="222222"/>
                <w:lang w:val="en-GB"/>
              </w:rPr>
              <w:t>Transport data</w:t>
            </w:r>
          </w:p>
        </w:tc>
        <w:tc>
          <w:tcPr>
            <w:tcW w:w="4584" w:type="dxa"/>
          </w:tcPr>
          <w:p w:rsidR="006B4D8A" w:rsidRPr="00C70893" w:rsidRDefault="006B4D8A" w:rsidP="006B4D8A">
            <w:pPr>
              <w:spacing w:line="312" w:lineRule="auto"/>
              <w:jc w:val="left"/>
              <w:rPr>
                <w:rStyle w:val="hps"/>
                <w:rFonts w:cs="Arial"/>
                <w:color w:val="222222"/>
                <w:lang w:val="en-GB"/>
              </w:rPr>
            </w:pPr>
            <w:r w:rsidRPr="00C70893">
              <w:rPr>
                <w:rFonts w:cs="Arial"/>
                <w:i/>
                <w:lang w:val="en-GB"/>
              </w:rPr>
              <w:t>Site area</w:t>
            </w:r>
            <w:r w:rsidRPr="00C70893">
              <w:rPr>
                <w:rFonts w:cs="Arial"/>
                <w:i/>
                <w:sz w:val="20"/>
                <w:szCs w:val="20"/>
                <w:lang w:val="en-GB"/>
              </w:rPr>
              <w:t xml:space="preserve"> (location of unit),</w:t>
            </w:r>
            <w:r w:rsidRPr="00C70893">
              <w:rPr>
                <w:rFonts w:cs="Arial"/>
                <w:sz w:val="20"/>
                <w:szCs w:val="20"/>
                <w:lang w:val="en-GB"/>
              </w:rPr>
              <w:t xml:space="preserve"> S</w:t>
            </w:r>
            <w:r w:rsidRPr="00C70893">
              <w:rPr>
                <w:rFonts w:cs="Arial"/>
                <w:i/>
                <w:lang w:val="en-GB"/>
              </w:rPr>
              <w:t xml:space="preserve">ite vicinity (0 – 5 km), Near region (5 – 25 km) </w:t>
            </w:r>
            <w:r w:rsidRPr="00C70893">
              <w:rPr>
                <w:rFonts w:cs="Arial"/>
                <w:sz w:val="20"/>
                <w:szCs w:val="20"/>
                <w:lang w:val="en-GB"/>
              </w:rPr>
              <w:t>/</w:t>
            </w:r>
            <w:r w:rsidRPr="00C70893">
              <w:rPr>
                <w:rStyle w:val="hps"/>
                <w:rFonts w:cs="Arial"/>
                <w:color w:val="222222"/>
                <w:lang w:val="en-GB"/>
              </w:rPr>
              <w:t xml:space="preserve"> </w:t>
            </w:r>
          </w:p>
          <w:p w:rsidR="006B4D8A" w:rsidRPr="00C70893" w:rsidRDefault="006B4D8A" w:rsidP="006B4D8A">
            <w:pPr>
              <w:spacing w:line="312" w:lineRule="auto"/>
              <w:jc w:val="left"/>
              <w:rPr>
                <w:rFonts w:cs="Arial"/>
                <w:sz w:val="20"/>
                <w:szCs w:val="20"/>
                <w:lang w:val="en-GB"/>
              </w:rPr>
            </w:pPr>
            <w:r w:rsidRPr="00C70893">
              <w:rPr>
                <w:rStyle w:val="hps"/>
                <w:rFonts w:cs="Arial"/>
                <w:color w:val="222222"/>
                <w:lang w:val="en-GB"/>
              </w:rPr>
              <w:t>Frequency and</w:t>
            </w:r>
            <w:r w:rsidRPr="00C70893">
              <w:rPr>
                <w:rFonts w:cs="Arial"/>
                <w:color w:val="222222"/>
                <w:lang w:val="en-GB"/>
              </w:rPr>
              <w:t xml:space="preserve"> </w:t>
            </w:r>
            <w:r w:rsidRPr="00C70893">
              <w:rPr>
                <w:rStyle w:val="hps"/>
                <w:rFonts w:cs="Arial"/>
                <w:color w:val="222222"/>
                <w:lang w:val="en-GB"/>
              </w:rPr>
              <w:t>location of</w:t>
            </w:r>
            <w:r w:rsidRPr="00C70893">
              <w:rPr>
                <w:rFonts w:cs="Arial"/>
                <w:color w:val="222222"/>
                <w:lang w:val="en-GB"/>
              </w:rPr>
              <w:t xml:space="preserve"> </w:t>
            </w:r>
            <w:r w:rsidRPr="00C70893">
              <w:rPr>
                <w:rStyle w:val="hps"/>
                <w:rFonts w:cs="Arial"/>
                <w:color w:val="222222"/>
                <w:lang w:val="en-GB"/>
              </w:rPr>
              <w:t>air corridors</w:t>
            </w:r>
            <w:r w:rsidRPr="00C70893">
              <w:rPr>
                <w:rFonts w:cs="Arial"/>
                <w:color w:val="222222"/>
                <w:lang w:val="en-GB"/>
              </w:rPr>
              <w:t xml:space="preserve">, </w:t>
            </w:r>
            <w:r w:rsidRPr="00C70893">
              <w:rPr>
                <w:rStyle w:val="hps"/>
                <w:rFonts w:cs="Arial"/>
                <w:color w:val="222222"/>
                <w:lang w:val="en-GB"/>
              </w:rPr>
              <w:t>the frequency and size</w:t>
            </w:r>
            <w:r w:rsidRPr="00C70893">
              <w:rPr>
                <w:rFonts w:cs="Arial"/>
                <w:color w:val="222222"/>
                <w:lang w:val="en-GB"/>
              </w:rPr>
              <w:t xml:space="preserve"> </w:t>
            </w:r>
            <w:r w:rsidRPr="00C70893">
              <w:rPr>
                <w:rStyle w:val="hps"/>
                <w:rFonts w:cs="Arial"/>
                <w:color w:val="222222"/>
                <w:lang w:val="en-GB"/>
              </w:rPr>
              <w:t>of transports</w:t>
            </w:r>
            <w:r w:rsidRPr="00C70893">
              <w:rPr>
                <w:rFonts w:cs="Arial"/>
                <w:color w:val="222222"/>
                <w:lang w:val="en-GB"/>
              </w:rPr>
              <w:t xml:space="preserve"> </w:t>
            </w:r>
            <w:r w:rsidRPr="00C70893">
              <w:rPr>
                <w:rStyle w:val="hps"/>
                <w:rFonts w:cs="Arial"/>
                <w:color w:val="222222"/>
                <w:lang w:val="en-GB"/>
              </w:rPr>
              <w:t>inside and outside site area</w:t>
            </w:r>
            <w:r w:rsidRPr="00E20701">
              <w:rPr>
                <w:rStyle w:val="st"/>
                <w:rFonts w:eastAsia="Calibri" w:cs="Arial"/>
                <w:color w:val="222222"/>
                <w:lang w:val="en-GB"/>
              </w:rPr>
              <w:t xml:space="preserve"> etc.</w:t>
            </w:r>
          </w:p>
        </w:tc>
        <w:tc>
          <w:tcPr>
            <w:tcW w:w="2504" w:type="dxa"/>
          </w:tcPr>
          <w:p w:rsidR="006B4D8A" w:rsidRPr="00C70893" w:rsidRDefault="006B4D8A" w:rsidP="006B4D8A">
            <w:pPr>
              <w:spacing w:line="312" w:lineRule="auto"/>
              <w:rPr>
                <w:rFonts w:cs="Arial"/>
                <w:sz w:val="20"/>
                <w:szCs w:val="20"/>
                <w:lang w:val="en-GB"/>
              </w:rPr>
            </w:pPr>
            <w:r w:rsidRPr="00C70893">
              <w:rPr>
                <w:rFonts w:cs="Arial"/>
                <w:sz w:val="20"/>
                <w:szCs w:val="20"/>
                <w:lang w:val="en-GB"/>
              </w:rPr>
              <w:t xml:space="preserve">0 - 10 km (6 mil) </w:t>
            </w:r>
          </w:p>
        </w:tc>
      </w:tr>
      <w:tr w:rsidR="006B4D8A" w:rsidRPr="00E20701" w:rsidTr="006B4D8A">
        <w:trPr>
          <w:jc w:val="center"/>
        </w:trPr>
        <w:tc>
          <w:tcPr>
            <w:tcW w:w="481" w:type="dxa"/>
          </w:tcPr>
          <w:p w:rsidR="006B4D8A" w:rsidRPr="00C70893" w:rsidRDefault="006B4D8A" w:rsidP="006B4D8A">
            <w:pPr>
              <w:spacing w:line="312" w:lineRule="auto"/>
              <w:rPr>
                <w:rFonts w:cs="Arial"/>
                <w:sz w:val="20"/>
                <w:szCs w:val="20"/>
                <w:lang w:val="en-GB"/>
              </w:rPr>
            </w:pPr>
            <w:r w:rsidRPr="00C70893">
              <w:rPr>
                <w:rFonts w:cs="Arial"/>
                <w:sz w:val="20"/>
                <w:szCs w:val="20"/>
                <w:lang w:val="en-GB"/>
              </w:rPr>
              <w:t>e)</w:t>
            </w:r>
          </w:p>
        </w:tc>
        <w:tc>
          <w:tcPr>
            <w:tcW w:w="2165" w:type="dxa"/>
          </w:tcPr>
          <w:p w:rsidR="006B4D8A" w:rsidRPr="00C70893" w:rsidRDefault="006B4D8A" w:rsidP="006B4D8A">
            <w:pPr>
              <w:spacing w:line="312" w:lineRule="auto"/>
              <w:jc w:val="left"/>
              <w:rPr>
                <w:rStyle w:val="hps"/>
                <w:rFonts w:cs="Arial"/>
                <w:color w:val="222222"/>
                <w:lang w:val="en-GB"/>
              </w:rPr>
            </w:pPr>
            <w:r w:rsidRPr="00C70893">
              <w:rPr>
                <w:rStyle w:val="hps"/>
                <w:rFonts w:cs="Arial"/>
                <w:color w:val="222222"/>
                <w:lang w:val="en-GB"/>
              </w:rPr>
              <w:t>Data</w:t>
            </w:r>
            <w:r w:rsidRPr="00C70893">
              <w:rPr>
                <w:rStyle w:val="shorttext"/>
                <w:rFonts w:cs="Arial"/>
                <w:color w:val="222222"/>
                <w:lang w:val="en-GB"/>
              </w:rPr>
              <w:t xml:space="preserve"> </w:t>
            </w:r>
            <w:r w:rsidRPr="00C70893">
              <w:rPr>
                <w:rStyle w:val="hps"/>
                <w:rFonts w:cs="Arial"/>
                <w:color w:val="222222"/>
                <w:lang w:val="en-GB"/>
              </w:rPr>
              <w:t>from balance</w:t>
            </w:r>
            <w:r w:rsidRPr="00C70893">
              <w:rPr>
                <w:rStyle w:val="shorttext"/>
                <w:rFonts w:cs="Arial"/>
                <w:color w:val="222222"/>
                <w:lang w:val="en-GB"/>
              </w:rPr>
              <w:t xml:space="preserve"> </w:t>
            </w:r>
            <w:r w:rsidRPr="00C70893">
              <w:rPr>
                <w:rStyle w:val="hps"/>
                <w:rFonts w:cs="Arial"/>
                <w:color w:val="222222"/>
                <w:lang w:val="en-GB"/>
              </w:rPr>
              <w:t>and</w:t>
            </w:r>
            <w:r w:rsidRPr="00C70893">
              <w:rPr>
                <w:rStyle w:val="shorttext"/>
                <w:rFonts w:cs="Arial"/>
                <w:color w:val="222222"/>
                <w:lang w:val="en-GB"/>
              </w:rPr>
              <w:t xml:space="preserve"> </w:t>
            </w:r>
            <w:r w:rsidRPr="00C70893">
              <w:rPr>
                <w:rStyle w:val="hps"/>
                <w:rFonts w:cs="Arial"/>
                <w:color w:val="222222"/>
                <w:lang w:val="en-GB"/>
              </w:rPr>
              <w:t>logistical</w:t>
            </w:r>
            <w:r w:rsidRPr="00C70893">
              <w:rPr>
                <w:rStyle w:val="shorttext"/>
                <w:rFonts w:cs="Arial"/>
                <w:color w:val="222222"/>
                <w:lang w:val="en-GB"/>
              </w:rPr>
              <w:t xml:space="preserve"> </w:t>
            </w:r>
            <w:r w:rsidR="001B44C9" w:rsidRPr="00C70893">
              <w:rPr>
                <w:rStyle w:val="hps"/>
                <w:rFonts w:cs="Arial"/>
                <w:color w:val="222222"/>
                <w:lang w:val="en-GB"/>
              </w:rPr>
              <w:t>analyses</w:t>
            </w:r>
          </w:p>
        </w:tc>
        <w:tc>
          <w:tcPr>
            <w:tcW w:w="4584" w:type="dxa"/>
          </w:tcPr>
          <w:p w:rsidR="006B4D8A" w:rsidRPr="00C70893" w:rsidRDefault="006B4D8A" w:rsidP="006B4D8A">
            <w:pPr>
              <w:spacing w:line="312" w:lineRule="auto"/>
              <w:jc w:val="left"/>
              <w:rPr>
                <w:rFonts w:cs="Arial"/>
                <w:i/>
                <w:lang w:val="en-GB"/>
              </w:rPr>
            </w:pPr>
            <w:r w:rsidRPr="00C70893">
              <w:rPr>
                <w:rFonts w:cs="Arial"/>
                <w:i/>
                <w:lang w:val="en-GB"/>
              </w:rPr>
              <w:t>Site vicinity (0 -5 km)</w:t>
            </w:r>
            <w:r w:rsidRPr="00C70893">
              <w:rPr>
                <w:rFonts w:cs="Arial"/>
                <w:sz w:val="20"/>
                <w:szCs w:val="20"/>
                <w:lang w:val="en-GB"/>
              </w:rPr>
              <w:t xml:space="preserve"> /</w:t>
            </w:r>
          </w:p>
          <w:p w:rsidR="006B4D8A" w:rsidRPr="00C70893" w:rsidRDefault="006B4D8A" w:rsidP="006B4D8A">
            <w:pPr>
              <w:spacing w:line="312" w:lineRule="auto"/>
              <w:jc w:val="left"/>
              <w:rPr>
                <w:rFonts w:cs="Arial"/>
                <w:i/>
                <w:lang w:val="en-GB"/>
              </w:rPr>
            </w:pPr>
            <w:r w:rsidRPr="00C70893">
              <w:rPr>
                <w:rStyle w:val="hps"/>
                <w:rFonts w:cs="Arial"/>
                <w:color w:val="222222"/>
                <w:lang w:val="en-GB"/>
              </w:rPr>
              <w:t>Balance of water inventories</w:t>
            </w:r>
            <w:r w:rsidRPr="00C70893">
              <w:rPr>
                <w:rStyle w:val="hps"/>
                <w:rFonts w:cs="Arial"/>
                <w:lang w:val="en-GB"/>
              </w:rPr>
              <w:t xml:space="preserve">, possibility for </w:t>
            </w:r>
            <w:r w:rsidRPr="00C70893">
              <w:rPr>
                <w:rStyle w:val="hps"/>
                <w:rFonts w:cs="Arial"/>
                <w:color w:val="222222"/>
                <w:lang w:val="en-GB"/>
              </w:rPr>
              <w:t>external</w:t>
            </w:r>
            <w:r w:rsidRPr="00C70893">
              <w:rPr>
                <w:rStyle w:val="hps"/>
                <w:rFonts w:cs="Arial"/>
                <w:lang w:val="en-GB"/>
              </w:rPr>
              <w:t xml:space="preserve"> </w:t>
            </w:r>
            <w:r w:rsidRPr="00C70893">
              <w:rPr>
                <w:rStyle w:val="hps"/>
                <w:rFonts w:cs="Arial"/>
                <w:color w:val="222222"/>
                <w:lang w:val="en-GB"/>
              </w:rPr>
              <w:t>power sources</w:t>
            </w:r>
            <w:r w:rsidRPr="00C70893">
              <w:rPr>
                <w:rStyle w:val="hps"/>
                <w:rFonts w:cs="Arial"/>
                <w:lang w:val="en-GB"/>
              </w:rPr>
              <w:t xml:space="preserve"> restoration </w:t>
            </w:r>
            <w:r w:rsidRPr="00C70893">
              <w:rPr>
                <w:rStyle w:val="hps"/>
                <w:rFonts w:cs="Arial"/>
                <w:color w:val="222222"/>
                <w:lang w:val="en-GB"/>
              </w:rPr>
              <w:t>etc.</w:t>
            </w:r>
          </w:p>
        </w:tc>
        <w:tc>
          <w:tcPr>
            <w:tcW w:w="2504" w:type="dxa"/>
          </w:tcPr>
          <w:p w:rsidR="006B4D8A" w:rsidRPr="00C70893" w:rsidRDefault="006B4D8A" w:rsidP="006B4D8A">
            <w:pPr>
              <w:spacing w:line="312" w:lineRule="auto"/>
              <w:rPr>
                <w:rFonts w:cs="Arial"/>
                <w:sz w:val="20"/>
                <w:szCs w:val="20"/>
                <w:lang w:val="en-GB"/>
              </w:rPr>
            </w:pPr>
            <w:r w:rsidRPr="00C70893">
              <w:rPr>
                <w:rFonts w:cs="Arial"/>
                <w:sz w:val="20"/>
                <w:szCs w:val="20"/>
                <w:lang w:val="en-GB"/>
              </w:rPr>
              <w:t>0 – 5 km</w:t>
            </w:r>
          </w:p>
        </w:tc>
      </w:tr>
    </w:tbl>
    <w:p w:rsidR="006B4D8A" w:rsidRPr="00E20701" w:rsidRDefault="006B4D8A" w:rsidP="006B4D8A">
      <w:pPr>
        <w:spacing w:before="240" w:after="240" w:line="312" w:lineRule="auto"/>
        <w:rPr>
          <w:rFonts w:cs="Arial"/>
          <w:lang w:val="en-GB"/>
        </w:rPr>
      </w:pPr>
      <w:r w:rsidRPr="00E20701">
        <w:rPr>
          <w:rFonts w:cs="Arial"/>
          <w:lang w:val="en-GB"/>
        </w:rPr>
        <w:t xml:space="preserve">Note: Based on the qualitative screening, 33 external events </w:t>
      </w:r>
      <w:r w:rsidRPr="00E20701">
        <w:rPr>
          <w:rStyle w:val="hps"/>
          <w:rFonts w:cs="Arial"/>
          <w:color w:val="222222"/>
          <w:lang w:val="en-GB"/>
        </w:rPr>
        <w:t>were excluded from the full list of 70 external events for Dukovany NPP.</w:t>
      </w:r>
    </w:p>
    <w:p w:rsidR="006B4D8A" w:rsidRPr="00E20701" w:rsidRDefault="006B4D8A" w:rsidP="006B4D8A">
      <w:pPr>
        <w:spacing w:before="240" w:after="240" w:line="312" w:lineRule="auto"/>
        <w:rPr>
          <w:rFonts w:cs="Arial"/>
          <w:lang w:val="en-GB"/>
        </w:rPr>
      </w:pPr>
      <w:r w:rsidRPr="00E20701">
        <w:rPr>
          <w:rStyle w:val="hps"/>
          <w:rFonts w:cs="Arial"/>
          <w:color w:val="222222"/>
          <w:lang w:val="en-GB"/>
        </w:rPr>
        <w:t>Acc. c1) Frequency of</w:t>
      </w:r>
      <w:r w:rsidRPr="00E20701">
        <w:rPr>
          <w:rStyle w:val="shorttext"/>
          <w:rFonts w:cs="Arial"/>
          <w:color w:val="222222"/>
          <w:lang w:val="en-GB"/>
        </w:rPr>
        <w:t xml:space="preserve"> occurrence of </w:t>
      </w:r>
      <w:r w:rsidRPr="00E20701">
        <w:rPr>
          <w:rStyle w:val="hps"/>
          <w:rFonts w:cs="Arial"/>
          <w:color w:val="222222"/>
          <w:lang w:val="en-GB"/>
        </w:rPr>
        <w:t xml:space="preserve">external events at </w:t>
      </w:r>
      <w:r w:rsidRPr="00E20701">
        <w:rPr>
          <w:rStyle w:val="hps"/>
          <w:rFonts w:cs="Arial"/>
          <w:lang w:val="en-GB"/>
        </w:rPr>
        <w:t>the NPP</w:t>
      </w:r>
      <w:r w:rsidRPr="00E20701">
        <w:rPr>
          <w:rFonts w:cs="Arial"/>
          <w:color w:val="222222"/>
          <w:lang w:val="en-GB"/>
        </w:rPr>
        <w:t xml:space="preserve"> area was assessed </w:t>
      </w:r>
      <w:r w:rsidRPr="00E20701">
        <w:rPr>
          <w:rStyle w:val="hps"/>
          <w:rFonts w:cs="Arial"/>
          <w:color w:val="222222"/>
          <w:lang w:val="en-GB"/>
        </w:rPr>
        <w:t>by considering</w:t>
      </w:r>
      <w:r w:rsidRPr="00E20701">
        <w:rPr>
          <w:rStyle w:val="shorttext"/>
          <w:rFonts w:cs="Arial"/>
          <w:color w:val="222222"/>
          <w:lang w:val="en-GB"/>
        </w:rPr>
        <w:t xml:space="preserve"> </w:t>
      </w:r>
      <w:r w:rsidRPr="00E20701">
        <w:rPr>
          <w:rStyle w:val="hps"/>
          <w:rFonts w:cs="Arial"/>
          <w:color w:val="222222"/>
          <w:lang w:val="en-GB"/>
        </w:rPr>
        <w:t>the following information:</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
        <w:gridCol w:w="2164"/>
        <w:gridCol w:w="4585"/>
        <w:gridCol w:w="2598"/>
      </w:tblGrid>
      <w:tr w:rsidR="00015AF0" w:rsidRPr="00E20701" w:rsidTr="00F10899">
        <w:trPr>
          <w:tblHeader/>
          <w:jc w:val="center"/>
        </w:trPr>
        <w:tc>
          <w:tcPr>
            <w:tcW w:w="481" w:type="dxa"/>
          </w:tcPr>
          <w:p w:rsidR="006B4D8A" w:rsidRPr="00E20701" w:rsidRDefault="006B4D8A" w:rsidP="006B4D8A">
            <w:pPr>
              <w:spacing w:line="312" w:lineRule="auto"/>
              <w:rPr>
                <w:rFonts w:cs="Arial"/>
                <w:b/>
                <w:szCs w:val="18"/>
                <w:lang w:val="en-GB"/>
              </w:rPr>
            </w:pPr>
          </w:p>
        </w:tc>
        <w:tc>
          <w:tcPr>
            <w:tcW w:w="2164" w:type="dxa"/>
            <w:vAlign w:val="center"/>
          </w:tcPr>
          <w:p w:rsidR="006B4D8A" w:rsidRPr="00E20701" w:rsidRDefault="006B4D8A" w:rsidP="004B3DA1">
            <w:pPr>
              <w:spacing w:line="312" w:lineRule="auto"/>
              <w:jc w:val="left"/>
              <w:rPr>
                <w:rFonts w:cs="Arial"/>
                <w:b/>
                <w:szCs w:val="18"/>
                <w:lang w:val="en-GB"/>
              </w:rPr>
            </w:pPr>
            <w:r w:rsidRPr="00E20701">
              <w:rPr>
                <w:rFonts w:cs="Arial"/>
                <w:b/>
                <w:szCs w:val="18"/>
                <w:lang w:val="en-GB"/>
              </w:rPr>
              <w:t>Data</w:t>
            </w:r>
          </w:p>
        </w:tc>
        <w:tc>
          <w:tcPr>
            <w:tcW w:w="4585" w:type="dxa"/>
            <w:vAlign w:val="center"/>
          </w:tcPr>
          <w:p w:rsidR="006B4D8A" w:rsidRPr="00E20701" w:rsidRDefault="006B4D8A" w:rsidP="006B4D8A">
            <w:pPr>
              <w:spacing w:line="312" w:lineRule="auto"/>
              <w:jc w:val="left"/>
              <w:rPr>
                <w:rFonts w:cs="Arial"/>
                <w:b/>
                <w:szCs w:val="18"/>
                <w:lang w:val="en-GB"/>
              </w:rPr>
            </w:pPr>
            <w:r w:rsidRPr="00E20701">
              <w:rPr>
                <w:rStyle w:val="hps"/>
                <w:rFonts w:cs="Arial"/>
                <w:b/>
                <w:color w:val="222222"/>
                <w:szCs w:val="18"/>
                <w:lang w:val="en-GB"/>
              </w:rPr>
              <w:t>Required</w:t>
            </w:r>
            <w:r w:rsidRPr="00E20701">
              <w:rPr>
                <w:rStyle w:val="shorttext"/>
                <w:rFonts w:cs="Arial"/>
                <w:b/>
                <w:color w:val="222222"/>
                <w:szCs w:val="18"/>
                <w:lang w:val="en-GB"/>
              </w:rPr>
              <w:t xml:space="preserve"> </w:t>
            </w:r>
            <w:r w:rsidRPr="00E20701">
              <w:rPr>
                <w:rStyle w:val="hps"/>
                <w:rFonts w:cs="Arial"/>
                <w:b/>
                <w:color w:val="222222"/>
                <w:szCs w:val="18"/>
                <w:lang w:val="en-GB"/>
              </w:rPr>
              <w:t>data</w:t>
            </w:r>
          </w:p>
        </w:tc>
        <w:tc>
          <w:tcPr>
            <w:tcW w:w="2598" w:type="dxa"/>
            <w:vAlign w:val="center"/>
          </w:tcPr>
          <w:p w:rsidR="006B4D8A" w:rsidRPr="00E20701" w:rsidRDefault="006B4D8A" w:rsidP="006B4D8A">
            <w:pPr>
              <w:spacing w:line="312" w:lineRule="auto"/>
              <w:jc w:val="left"/>
              <w:rPr>
                <w:rFonts w:cs="Arial"/>
                <w:b/>
                <w:szCs w:val="18"/>
                <w:lang w:val="en-GB"/>
              </w:rPr>
            </w:pPr>
            <w:r w:rsidRPr="00E20701">
              <w:rPr>
                <w:rStyle w:val="hps"/>
                <w:rFonts w:cs="Arial"/>
                <w:b/>
                <w:color w:val="222222"/>
                <w:szCs w:val="18"/>
                <w:lang w:val="en-GB"/>
              </w:rPr>
              <w:t>Area of interest</w:t>
            </w:r>
            <w:r w:rsidRPr="00E20701">
              <w:rPr>
                <w:rStyle w:val="shorttext"/>
                <w:rFonts w:cs="Arial"/>
                <w:b/>
                <w:color w:val="222222"/>
                <w:szCs w:val="18"/>
                <w:lang w:val="en-GB"/>
              </w:rPr>
              <w:t xml:space="preserve"> </w:t>
            </w:r>
            <w:r w:rsidRPr="00E20701">
              <w:rPr>
                <w:rStyle w:val="hps"/>
                <w:rFonts w:cs="Arial"/>
                <w:b/>
                <w:color w:val="222222"/>
                <w:szCs w:val="18"/>
                <w:lang w:val="en-GB"/>
              </w:rPr>
              <w:t>(criterion</w:t>
            </w:r>
            <w:r w:rsidRPr="00E20701">
              <w:rPr>
                <w:rStyle w:val="shorttext"/>
                <w:rFonts w:cs="Arial"/>
                <w:b/>
                <w:color w:val="222222"/>
                <w:szCs w:val="18"/>
                <w:lang w:val="en-GB"/>
              </w:rPr>
              <w:t>)</w:t>
            </w:r>
          </w:p>
        </w:tc>
      </w:tr>
      <w:tr w:rsidR="00015AF0" w:rsidRPr="00E20701" w:rsidTr="00F10899">
        <w:trPr>
          <w:jc w:val="center"/>
        </w:trPr>
        <w:tc>
          <w:tcPr>
            <w:tcW w:w="2645" w:type="dxa"/>
            <w:gridSpan w:val="2"/>
            <w:vAlign w:val="center"/>
          </w:tcPr>
          <w:p w:rsidR="006B4D8A" w:rsidRPr="00C70893" w:rsidRDefault="006B4D8A" w:rsidP="004B3DA1">
            <w:pPr>
              <w:spacing w:line="312" w:lineRule="auto"/>
              <w:jc w:val="left"/>
              <w:rPr>
                <w:rFonts w:cs="Arial"/>
                <w:szCs w:val="18"/>
                <w:lang w:val="en-GB"/>
              </w:rPr>
            </w:pPr>
            <w:r w:rsidRPr="00C70893">
              <w:rPr>
                <w:rStyle w:val="hps"/>
                <w:rFonts w:cs="Arial"/>
                <w:color w:val="222222"/>
                <w:szCs w:val="18"/>
                <w:lang w:val="en-GB"/>
              </w:rPr>
              <w:t>Meteorological</w:t>
            </w:r>
            <w:r w:rsidRPr="00C70893">
              <w:rPr>
                <w:rStyle w:val="shorttext"/>
                <w:rFonts w:cs="Arial"/>
                <w:color w:val="222222"/>
                <w:szCs w:val="18"/>
                <w:lang w:val="en-GB"/>
              </w:rPr>
              <w:t xml:space="preserve"> </w:t>
            </w:r>
            <w:r w:rsidRPr="00C70893">
              <w:rPr>
                <w:rStyle w:val="hps"/>
                <w:rFonts w:cs="Arial"/>
                <w:color w:val="222222"/>
                <w:szCs w:val="18"/>
                <w:lang w:val="en-GB"/>
              </w:rPr>
              <w:t>events</w:t>
            </w:r>
          </w:p>
        </w:tc>
        <w:tc>
          <w:tcPr>
            <w:tcW w:w="4585" w:type="dxa"/>
            <w:vAlign w:val="center"/>
          </w:tcPr>
          <w:p w:rsidR="006B4D8A" w:rsidRPr="00C70893" w:rsidRDefault="006B4D8A" w:rsidP="006B4D8A">
            <w:pPr>
              <w:spacing w:line="312" w:lineRule="auto"/>
              <w:jc w:val="left"/>
              <w:rPr>
                <w:rFonts w:cs="Arial"/>
                <w:szCs w:val="18"/>
                <w:lang w:val="en-GB"/>
              </w:rPr>
            </w:pPr>
          </w:p>
        </w:tc>
        <w:tc>
          <w:tcPr>
            <w:tcW w:w="2598" w:type="dxa"/>
            <w:vAlign w:val="center"/>
          </w:tcPr>
          <w:p w:rsidR="006B4D8A" w:rsidRPr="00C70893" w:rsidRDefault="006B4D8A" w:rsidP="006B4D8A">
            <w:pPr>
              <w:spacing w:line="312" w:lineRule="auto"/>
              <w:jc w:val="left"/>
              <w:rPr>
                <w:rFonts w:cs="Arial"/>
                <w:szCs w:val="18"/>
                <w:lang w:val="en-GB"/>
              </w:rPr>
            </w:pPr>
          </w:p>
        </w:tc>
      </w:tr>
      <w:tr w:rsidR="00015AF0" w:rsidRPr="00E20701" w:rsidTr="00F10899">
        <w:trPr>
          <w:jc w:val="center"/>
        </w:trPr>
        <w:tc>
          <w:tcPr>
            <w:tcW w:w="481" w:type="dxa"/>
            <w:vAlign w:val="center"/>
          </w:tcPr>
          <w:p w:rsidR="006B4D8A" w:rsidRPr="00C70893" w:rsidRDefault="006B4D8A" w:rsidP="004B3DA1">
            <w:pPr>
              <w:spacing w:line="312" w:lineRule="auto"/>
              <w:jc w:val="left"/>
              <w:rPr>
                <w:rFonts w:cs="Arial"/>
                <w:szCs w:val="18"/>
                <w:lang w:val="en-GB"/>
              </w:rPr>
            </w:pPr>
            <w:r w:rsidRPr="00C70893">
              <w:rPr>
                <w:rFonts w:cs="Arial"/>
                <w:szCs w:val="18"/>
                <w:lang w:val="en-GB"/>
              </w:rPr>
              <w:t>a)</w:t>
            </w:r>
          </w:p>
        </w:tc>
        <w:tc>
          <w:tcPr>
            <w:tcW w:w="2164" w:type="dxa"/>
            <w:vAlign w:val="center"/>
          </w:tcPr>
          <w:p w:rsidR="006B4D8A" w:rsidRPr="00C70893" w:rsidRDefault="006B4D8A" w:rsidP="006B4D8A">
            <w:pPr>
              <w:spacing w:line="312" w:lineRule="auto"/>
              <w:jc w:val="left"/>
              <w:rPr>
                <w:rFonts w:cs="Arial"/>
                <w:szCs w:val="18"/>
                <w:u w:val="single"/>
                <w:lang w:val="en-GB"/>
              </w:rPr>
            </w:pPr>
            <w:r w:rsidRPr="00C70893">
              <w:rPr>
                <w:rStyle w:val="hps"/>
                <w:rFonts w:cs="Arial"/>
                <w:color w:val="222222"/>
                <w:szCs w:val="18"/>
                <w:lang w:val="en-GB"/>
              </w:rPr>
              <w:t>Meteorological</w:t>
            </w:r>
            <w:r w:rsidRPr="00C70893">
              <w:rPr>
                <w:rStyle w:val="shorttext"/>
                <w:rFonts w:cs="Arial"/>
                <w:color w:val="222222"/>
                <w:szCs w:val="18"/>
                <w:lang w:val="en-GB"/>
              </w:rPr>
              <w:t xml:space="preserve"> </w:t>
            </w:r>
            <w:r w:rsidRPr="00C70893">
              <w:rPr>
                <w:rStyle w:val="hps"/>
                <w:rFonts w:cs="Arial"/>
                <w:color w:val="222222"/>
                <w:szCs w:val="18"/>
                <w:lang w:val="en-GB"/>
              </w:rPr>
              <w:t>data</w:t>
            </w:r>
          </w:p>
        </w:tc>
        <w:tc>
          <w:tcPr>
            <w:tcW w:w="4585" w:type="dxa"/>
            <w:vAlign w:val="center"/>
          </w:tcPr>
          <w:p w:rsidR="006B4D8A" w:rsidRPr="00C70893" w:rsidRDefault="006B4D8A" w:rsidP="006B4D8A">
            <w:pPr>
              <w:spacing w:line="312" w:lineRule="auto"/>
              <w:jc w:val="left"/>
              <w:rPr>
                <w:rFonts w:cs="Arial"/>
                <w:szCs w:val="18"/>
                <w:u w:val="single"/>
                <w:lang w:val="en-GB"/>
              </w:rPr>
            </w:pPr>
            <w:r w:rsidRPr="00C70893">
              <w:rPr>
                <w:rStyle w:val="hps"/>
                <w:rFonts w:cs="Arial"/>
                <w:color w:val="222222"/>
                <w:szCs w:val="18"/>
                <w:lang w:val="en-GB"/>
              </w:rPr>
              <w:t>Knowledge of</w:t>
            </w:r>
            <w:r w:rsidRPr="00C70893">
              <w:rPr>
                <w:rFonts w:cs="Arial"/>
                <w:color w:val="222222"/>
                <w:szCs w:val="18"/>
                <w:lang w:val="en-GB"/>
              </w:rPr>
              <w:t xml:space="preserve"> </w:t>
            </w:r>
            <w:r w:rsidRPr="00C70893">
              <w:rPr>
                <w:rStyle w:val="hps"/>
                <w:rFonts w:cs="Arial"/>
                <w:color w:val="222222"/>
                <w:szCs w:val="18"/>
                <w:lang w:val="en-GB"/>
              </w:rPr>
              <w:t>meteorological data</w:t>
            </w:r>
            <w:r w:rsidRPr="00C70893">
              <w:rPr>
                <w:rFonts w:cs="Arial"/>
                <w:color w:val="222222"/>
                <w:szCs w:val="18"/>
                <w:lang w:val="en-GB"/>
              </w:rPr>
              <w:t xml:space="preserve"> </w:t>
            </w:r>
            <w:r w:rsidRPr="00C70893">
              <w:rPr>
                <w:rStyle w:val="hps"/>
                <w:rFonts w:cs="Arial"/>
                <w:color w:val="222222"/>
                <w:szCs w:val="18"/>
                <w:u w:val="single"/>
                <w:lang w:val="en-GB"/>
              </w:rPr>
              <w:t>for</w:t>
            </w:r>
            <w:r w:rsidRPr="00C70893">
              <w:rPr>
                <w:rFonts w:cs="Arial"/>
                <w:color w:val="222222"/>
                <w:szCs w:val="18"/>
                <w:u w:val="single"/>
                <w:lang w:val="en-GB"/>
              </w:rPr>
              <w:t xml:space="preserve"> </w:t>
            </w:r>
            <w:r w:rsidRPr="00C70893">
              <w:rPr>
                <w:rStyle w:val="hps"/>
                <w:rFonts w:cs="Arial"/>
                <w:color w:val="222222"/>
                <w:szCs w:val="18"/>
                <w:u w:val="single"/>
                <w:lang w:val="en-GB"/>
              </w:rPr>
              <w:t>at least</w:t>
            </w:r>
            <w:r w:rsidRPr="00C70893">
              <w:rPr>
                <w:rFonts w:cs="Arial"/>
                <w:color w:val="222222"/>
                <w:szCs w:val="18"/>
                <w:u w:val="single"/>
                <w:lang w:val="en-GB"/>
              </w:rPr>
              <w:t xml:space="preserve"> </w:t>
            </w:r>
            <w:r w:rsidRPr="00C70893">
              <w:rPr>
                <w:rStyle w:val="hps"/>
                <w:rFonts w:cs="Arial"/>
                <w:color w:val="222222"/>
                <w:szCs w:val="18"/>
                <w:u w:val="single"/>
                <w:lang w:val="en-GB"/>
              </w:rPr>
              <w:t>50</w:t>
            </w:r>
            <w:r w:rsidRPr="00C70893">
              <w:rPr>
                <w:rStyle w:val="hps"/>
                <w:rFonts w:cs="Arial"/>
                <w:color w:val="222222"/>
                <w:szCs w:val="18"/>
                <w:lang w:val="en-GB"/>
              </w:rPr>
              <w:t xml:space="preserve"> years</w:t>
            </w:r>
            <w:r w:rsidRPr="00C70893">
              <w:rPr>
                <w:rFonts w:cs="Arial"/>
                <w:color w:val="222222"/>
                <w:szCs w:val="18"/>
                <w:lang w:val="en-GB"/>
              </w:rPr>
              <w:t xml:space="preserve"> </w:t>
            </w:r>
            <w:r w:rsidRPr="00C70893">
              <w:rPr>
                <w:rStyle w:val="hps"/>
                <w:rFonts w:cs="Arial"/>
                <w:color w:val="222222"/>
                <w:szCs w:val="18"/>
                <w:lang w:val="en-GB"/>
              </w:rPr>
              <w:t>(data</w:t>
            </w:r>
            <w:r w:rsidRPr="00C70893">
              <w:rPr>
                <w:rFonts w:cs="Arial"/>
                <w:color w:val="222222"/>
                <w:szCs w:val="18"/>
                <w:lang w:val="en-GB"/>
              </w:rPr>
              <w:t xml:space="preserve"> </w:t>
            </w:r>
            <w:r w:rsidRPr="00C70893">
              <w:rPr>
                <w:rStyle w:val="hps"/>
                <w:rFonts w:cs="Arial"/>
                <w:color w:val="222222"/>
                <w:szCs w:val="18"/>
                <w:lang w:val="en-GB"/>
              </w:rPr>
              <w:t>related</w:t>
            </w:r>
            <w:r w:rsidRPr="00C70893">
              <w:rPr>
                <w:rFonts w:cs="Arial"/>
                <w:color w:val="222222"/>
                <w:szCs w:val="18"/>
                <w:lang w:val="en-GB"/>
              </w:rPr>
              <w:t xml:space="preserve"> </w:t>
            </w:r>
            <w:r w:rsidRPr="00C70893">
              <w:rPr>
                <w:rStyle w:val="hps"/>
                <w:rFonts w:cs="Arial"/>
                <w:color w:val="222222"/>
                <w:szCs w:val="18"/>
                <w:lang w:val="en-GB"/>
              </w:rPr>
              <w:t>to the analy</w:t>
            </w:r>
            <w:r w:rsidR="001B44C9">
              <w:rPr>
                <w:rStyle w:val="hps"/>
                <w:rFonts w:cs="Arial"/>
                <w:color w:val="222222"/>
                <w:szCs w:val="18"/>
                <w:lang w:val="en-GB"/>
              </w:rPr>
              <w:t>s</w:t>
            </w:r>
            <w:r w:rsidRPr="00C70893">
              <w:rPr>
                <w:rStyle w:val="hps"/>
                <w:rFonts w:cs="Arial"/>
                <w:color w:val="222222"/>
                <w:szCs w:val="18"/>
                <w:lang w:val="en-GB"/>
              </w:rPr>
              <w:t>ed</w:t>
            </w:r>
            <w:r w:rsidRPr="00C70893">
              <w:rPr>
                <w:rFonts w:cs="Arial"/>
                <w:color w:val="222222"/>
                <w:szCs w:val="18"/>
                <w:lang w:val="en-GB"/>
              </w:rPr>
              <w:t xml:space="preserve"> hazard).</w:t>
            </w:r>
          </w:p>
        </w:tc>
        <w:tc>
          <w:tcPr>
            <w:tcW w:w="2598" w:type="dxa"/>
            <w:vAlign w:val="center"/>
          </w:tcPr>
          <w:p w:rsidR="006B4D8A" w:rsidRPr="00C70893" w:rsidRDefault="006B4D8A" w:rsidP="004B3DA1">
            <w:pPr>
              <w:spacing w:line="312" w:lineRule="auto"/>
              <w:jc w:val="left"/>
              <w:rPr>
                <w:rFonts w:cs="Arial"/>
                <w:szCs w:val="18"/>
                <w:lang w:val="en-GB"/>
              </w:rPr>
            </w:pPr>
            <w:r w:rsidRPr="00C70893">
              <w:rPr>
                <w:rFonts w:cs="Arial"/>
                <w:szCs w:val="18"/>
                <w:lang w:val="en-GB"/>
              </w:rPr>
              <w:t>0 - 25 km</w:t>
            </w:r>
          </w:p>
        </w:tc>
      </w:tr>
      <w:tr w:rsidR="00015AF0" w:rsidRPr="00E20701" w:rsidTr="00F10899">
        <w:trPr>
          <w:jc w:val="center"/>
        </w:trPr>
        <w:tc>
          <w:tcPr>
            <w:tcW w:w="481" w:type="dxa"/>
            <w:vAlign w:val="center"/>
          </w:tcPr>
          <w:p w:rsidR="006B4D8A" w:rsidRPr="00C70893" w:rsidRDefault="006B4D8A" w:rsidP="004B3DA1">
            <w:pPr>
              <w:spacing w:line="312" w:lineRule="auto"/>
              <w:jc w:val="left"/>
              <w:rPr>
                <w:rFonts w:cs="Arial"/>
                <w:szCs w:val="18"/>
                <w:lang w:val="en-GB"/>
              </w:rPr>
            </w:pPr>
            <w:r w:rsidRPr="00C70893">
              <w:rPr>
                <w:rFonts w:cs="Arial"/>
                <w:szCs w:val="18"/>
                <w:lang w:val="en-GB"/>
              </w:rPr>
              <w:t>b)</w:t>
            </w:r>
          </w:p>
        </w:tc>
        <w:tc>
          <w:tcPr>
            <w:tcW w:w="2164" w:type="dxa"/>
            <w:vAlign w:val="center"/>
          </w:tcPr>
          <w:p w:rsidR="006B4D8A" w:rsidRPr="00C70893" w:rsidRDefault="006B4D8A" w:rsidP="006B4D8A">
            <w:pPr>
              <w:spacing w:line="312" w:lineRule="auto"/>
              <w:jc w:val="left"/>
              <w:rPr>
                <w:rFonts w:cs="Arial"/>
                <w:szCs w:val="18"/>
                <w:u w:val="single"/>
                <w:lang w:val="en-GB"/>
              </w:rPr>
            </w:pPr>
            <w:r w:rsidRPr="00C70893">
              <w:rPr>
                <w:rStyle w:val="hps"/>
                <w:rFonts w:cs="Arial"/>
                <w:color w:val="222222"/>
                <w:szCs w:val="18"/>
                <w:lang w:val="en-GB"/>
              </w:rPr>
              <w:t>DB parameters</w:t>
            </w:r>
          </w:p>
        </w:tc>
        <w:tc>
          <w:tcPr>
            <w:tcW w:w="4585" w:type="dxa"/>
            <w:vAlign w:val="center"/>
          </w:tcPr>
          <w:p w:rsidR="006B4D8A" w:rsidRPr="00C70893" w:rsidRDefault="006B4D8A" w:rsidP="006B4D8A">
            <w:pPr>
              <w:spacing w:line="312" w:lineRule="auto"/>
              <w:jc w:val="left"/>
              <w:rPr>
                <w:rFonts w:cs="Arial"/>
                <w:szCs w:val="18"/>
                <w:u w:val="single"/>
                <w:lang w:val="en-GB"/>
              </w:rPr>
            </w:pPr>
            <w:r w:rsidRPr="00C70893">
              <w:rPr>
                <w:rStyle w:val="hps"/>
                <w:rFonts w:cs="Arial"/>
                <w:color w:val="222222"/>
                <w:szCs w:val="18"/>
                <w:lang w:val="en-GB"/>
              </w:rPr>
              <w:t>Project</w:t>
            </w:r>
            <w:r w:rsidRPr="00C70893">
              <w:rPr>
                <w:rFonts w:cs="Arial"/>
                <w:color w:val="222222"/>
                <w:szCs w:val="18"/>
                <w:lang w:val="en-GB"/>
              </w:rPr>
              <w:t xml:space="preserve"> </w:t>
            </w:r>
            <w:r w:rsidRPr="00C70893">
              <w:rPr>
                <w:rStyle w:val="hps"/>
                <w:rFonts w:cs="Arial"/>
                <w:color w:val="222222"/>
                <w:szCs w:val="18"/>
                <w:lang w:val="en-GB"/>
              </w:rPr>
              <w:t>values</w:t>
            </w:r>
            <w:r w:rsidRPr="00C70893">
              <w:rPr>
                <w:rFonts w:cs="Arial"/>
                <w:color w:val="222222"/>
                <w:szCs w:val="18"/>
                <w:lang w:val="en-GB"/>
              </w:rPr>
              <w:t xml:space="preserve"> </w:t>
            </w:r>
            <w:r w:rsidRPr="00C70893">
              <w:rPr>
                <w:rStyle w:val="hps"/>
                <w:rFonts w:cs="Arial"/>
                <w:color w:val="222222"/>
                <w:szCs w:val="18"/>
                <w:lang w:val="en-GB"/>
              </w:rPr>
              <w:t>resistance</w:t>
            </w:r>
            <w:r w:rsidRPr="00C70893">
              <w:rPr>
                <w:rFonts w:cs="Arial"/>
                <w:color w:val="222222"/>
                <w:szCs w:val="18"/>
                <w:lang w:val="en-GB"/>
              </w:rPr>
              <w:t xml:space="preserve"> </w:t>
            </w:r>
            <w:r w:rsidRPr="00C70893">
              <w:rPr>
                <w:rStyle w:val="hps"/>
                <w:rFonts w:cs="Arial"/>
                <w:color w:val="222222"/>
                <w:szCs w:val="18"/>
                <w:lang w:val="en-GB"/>
              </w:rPr>
              <w:t>of structures</w:t>
            </w:r>
            <w:r w:rsidRPr="00C70893">
              <w:rPr>
                <w:rFonts w:cs="Arial"/>
                <w:color w:val="222222"/>
                <w:szCs w:val="18"/>
                <w:lang w:val="en-GB"/>
              </w:rPr>
              <w:t>, systems and components (design basis parameter)</w:t>
            </w:r>
            <w:r w:rsidRPr="00C70893">
              <w:rPr>
                <w:rFonts w:cs="Arial"/>
                <w:szCs w:val="18"/>
                <w:lang w:val="en-GB"/>
              </w:rPr>
              <w:t>.</w:t>
            </w:r>
          </w:p>
        </w:tc>
        <w:tc>
          <w:tcPr>
            <w:tcW w:w="2598" w:type="dxa"/>
            <w:vAlign w:val="center"/>
          </w:tcPr>
          <w:p w:rsidR="006B4D8A" w:rsidRPr="00C70893" w:rsidRDefault="006B4D8A" w:rsidP="004B3DA1">
            <w:pPr>
              <w:spacing w:line="312" w:lineRule="auto"/>
              <w:jc w:val="left"/>
              <w:rPr>
                <w:rFonts w:cs="Arial"/>
                <w:szCs w:val="18"/>
                <w:lang w:val="en-GB"/>
              </w:rPr>
            </w:pPr>
            <w:r w:rsidRPr="00C70893">
              <w:rPr>
                <w:rFonts w:cs="Arial"/>
                <w:szCs w:val="18"/>
                <w:lang w:val="en-GB"/>
              </w:rPr>
              <w:t>0 – 5 km</w:t>
            </w:r>
            <w:r w:rsidRPr="00C70893" w:rsidDel="004F532B">
              <w:rPr>
                <w:rFonts w:cs="Arial"/>
                <w:szCs w:val="18"/>
                <w:lang w:val="en-GB"/>
              </w:rPr>
              <w:t xml:space="preserve"> </w:t>
            </w:r>
          </w:p>
        </w:tc>
      </w:tr>
      <w:tr w:rsidR="00015AF0" w:rsidRPr="00E20701" w:rsidTr="00F10899">
        <w:trPr>
          <w:jc w:val="center"/>
        </w:trPr>
        <w:tc>
          <w:tcPr>
            <w:tcW w:w="2645" w:type="dxa"/>
            <w:gridSpan w:val="2"/>
            <w:vAlign w:val="center"/>
          </w:tcPr>
          <w:p w:rsidR="006B4D8A" w:rsidRPr="00C70893" w:rsidRDefault="006B4D8A" w:rsidP="006B4D8A">
            <w:pPr>
              <w:spacing w:line="312" w:lineRule="auto"/>
              <w:jc w:val="left"/>
              <w:rPr>
                <w:rFonts w:cs="Arial"/>
                <w:szCs w:val="18"/>
                <w:u w:val="single"/>
                <w:lang w:val="en-GB"/>
              </w:rPr>
            </w:pPr>
            <w:r w:rsidRPr="00C70893">
              <w:rPr>
                <w:rStyle w:val="hps"/>
                <w:rFonts w:cs="Arial"/>
                <w:color w:val="222222"/>
                <w:szCs w:val="18"/>
                <w:lang w:val="en-GB"/>
              </w:rPr>
              <w:t>Seismic</w:t>
            </w:r>
            <w:r w:rsidRPr="00C70893">
              <w:rPr>
                <w:rStyle w:val="shorttext"/>
                <w:rFonts w:cs="Arial"/>
                <w:color w:val="222222"/>
                <w:szCs w:val="18"/>
                <w:lang w:val="en-GB"/>
              </w:rPr>
              <w:t xml:space="preserve"> </w:t>
            </w:r>
            <w:r w:rsidRPr="00C70893">
              <w:rPr>
                <w:rStyle w:val="hps"/>
                <w:rFonts w:cs="Arial"/>
                <w:color w:val="222222"/>
                <w:szCs w:val="18"/>
                <w:lang w:val="en-GB"/>
              </w:rPr>
              <w:t>events</w:t>
            </w:r>
          </w:p>
        </w:tc>
        <w:tc>
          <w:tcPr>
            <w:tcW w:w="4585" w:type="dxa"/>
            <w:vAlign w:val="center"/>
          </w:tcPr>
          <w:p w:rsidR="006B4D8A" w:rsidRPr="00C70893" w:rsidRDefault="006B4D8A" w:rsidP="006B4D8A">
            <w:pPr>
              <w:spacing w:line="312" w:lineRule="auto"/>
              <w:jc w:val="left"/>
              <w:rPr>
                <w:rFonts w:cs="Arial"/>
                <w:szCs w:val="18"/>
                <w:lang w:val="en-GB"/>
              </w:rPr>
            </w:pPr>
          </w:p>
        </w:tc>
        <w:tc>
          <w:tcPr>
            <w:tcW w:w="2598" w:type="dxa"/>
            <w:vAlign w:val="center"/>
          </w:tcPr>
          <w:p w:rsidR="006B4D8A" w:rsidRPr="00C70893" w:rsidRDefault="006B4D8A" w:rsidP="004B3DA1">
            <w:pPr>
              <w:spacing w:line="312" w:lineRule="auto"/>
              <w:jc w:val="left"/>
              <w:rPr>
                <w:rFonts w:cs="Arial"/>
                <w:szCs w:val="18"/>
                <w:lang w:val="en-GB"/>
              </w:rPr>
            </w:pPr>
          </w:p>
        </w:tc>
      </w:tr>
      <w:tr w:rsidR="00015AF0" w:rsidRPr="00304D8A" w:rsidTr="00F10899">
        <w:trPr>
          <w:jc w:val="center"/>
        </w:trPr>
        <w:tc>
          <w:tcPr>
            <w:tcW w:w="481" w:type="dxa"/>
            <w:vAlign w:val="center"/>
          </w:tcPr>
          <w:p w:rsidR="006B4D8A" w:rsidRPr="00C70893" w:rsidRDefault="006B4D8A" w:rsidP="004B3DA1">
            <w:pPr>
              <w:spacing w:line="312" w:lineRule="auto"/>
              <w:jc w:val="left"/>
              <w:rPr>
                <w:rFonts w:cs="Arial"/>
                <w:szCs w:val="18"/>
                <w:lang w:val="en-GB"/>
              </w:rPr>
            </w:pPr>
            <w:r w:rsidRPr="00C70893">
              <w:rPr>
                <w:rFonts w:cs="Arial"/>
                <w:szCs w:val="18"/>
                <w:lang w:val="en-GB"/>
              </w:rPr>
              <w:t>a)</w:t>
            </w:r>
          </w:p>
        </w:tc>
        <w:tc>
          <w:tcPr>
            <w:tcW w:w="2164" w:type="dxa"/>
            <w:vAlign w:val="center"/>
          </w:tcPr>
          <w:p w:rsidR="006B4D8A" w:rsidRPr="00C70893" w:rsidRDefault="006B4D8A" w:rsidP="006B4D8A">
            <w:pPr>
              <w:spacing w:line="312" w:lineRule="auto"/>
              <w:jc w:val="left"/>
              <w:rPr>
                <w:rFonts w:cs="Arial"/>
                <w:szCs w:val="18"/>
                <w:u w:val="single"/>
                <w:lang w:val="en-GB"/>
              </w:rPr>
            </w:pPr>
            <w:r w:rsidRPr="00C70893">
              <w:rPr>
                <w:rStyle w:val="hps"/>
                <w:rFonts w:cs="Arial"/>
                <w:color w:val="222222"/>
                <w:szCs w:val="18"/>
                <w:lang w:val="en-GB"/>
              </w:rPr>
              <w:t>Seismic hazard analysis</w:t>
            </w:r>
          </w:p>
        </w:tc>
        <w:tc>
          <w:tcPr>
            <w:tcW w:w="4585" w:type="dxa"/>
            <w:vAlign w:val="center"/>
          </w:tcPr>
          <w:p w:rsidR="006B4D8A" w:rsidRPr="00C70893" w:rsidRDefault="006B4D8A" w:rsidP="006B4D8A">
            <w:pPr>
              <w:spacing w:line="312" w:lineRule="auto"/>
              <w:jc w:val="left"/>
              <w:rPr>
                <w:rFonts w:cs="Arial"/>
                <w:szCs w:val="18"/>
                <w:lang w:val="en-GB"/>
              </w:rPr>
            </w:pPr>
            <w:r w:rsidRPr="00C70893">
              <w:rPr>
                <w:rFonts w:cs="Arial"/>
                <w:szCs w:val="18"/>
                <w:lang w:val="en-GB"/>
              </w:rPr>
              <w:t xml:space="preserve">Seismic hazard curves for Site vicinity (0 -5 km) NPP. </w:t>
            </w:r>
          </w:p>
        </w:tc>
        <w:tc>
          <w:tcPr>
            <w:tcW w:w="2598" w:type="dxa"/>
            <w:vAlign w:val="center"/>
          </w:tcPr>
          <w:p w:rsidR="006B4D8A" w:rsidRPr="00C70893" w:rsidRDefault="006B4D8A" w:rsidP="004B3DA1">
            <w:pPr>
              <w:spacing w:line="312" w:lineRule="auto"/>
              <w:jc w:val="left"/>
              <w:rPr>
                <w:rFonts w:cs="Arial"/>
                <w:szCs w:val="18"/>
                <w:lang w:val="en-GB"/>
              </w:rPr>
            </w:pPr>
            <w:r w:rsidRPr="00C70893">
              <w:rPr>
                <w:rFonts w:cs="Arial"/>
                <w:szCs w:val="18"/>
                <w:lang w:val="en-GB"/>
              </w:rPr>
              <w:t>300 km (geological data from the region)</w:t>
            </w:r>
          </w:p>
        </w:tc>
      </w:tr>
      <w:tr w:rsidR="00015AF0" w:rsidRPr="00E20701" w:rsidTr="00F10899">
        <w:trPr>
          <w:jc w:val="center"/>
        </w:trPr>
        <w:tc>
          <w:tcPr>
            <w:tcW w:w="481" w:type="dxa"/>
            <w:vAlign w:val="center"/>
          </w:tcPr>
          <w:p w:rsidR="006B4D8A" w:rsidRPr="00C70893" w:rsidRDefault="006B4D8A" w:rsidP="004B3DA1">
            <w:pPr>
              <w:spacing w:line="312" w:lineRule="auto"/>
              <w:jc w:val="left"/>
              <w:rPr>
                <w:rFonts w:cs="Arial"/>
                <w:szCs w:val="18"/>
                <w:lang w:val="en-GB"/>
              </w:rPr>
            </w:pPr>
            <w:r w:rsidRPr="00C70893">
              <w:rPr>
                <w:rFonts w:cs="Arial"/>
                <w:szCs w:val="18"/>
                <w:lang w:val="en-GB"/>
              </w:rPr>
              <w:t>b)</w:t>
            </w:r>
          </w:p>
        </w:tc>
        <w:tc>
          <w:tcPr>
            <w:tcW w:w="2164" w:type="dxa"/>
            <w:vAlign w:val="center"/>
          </w:tcPr>
          <w:p w:rsidR="006B4D8A" w:rsidRPr="00C70893" w:rsidRDefault="006B4D8A" w:rsidP="006B4D8A">
            <w:pPr>
              <w:spacing w:line="312" w:lineRule="auto"/>
              <w:jc w:val="left"/>
              <w:rPr>
                <w:rStyle w:val="hps"/>
                <w:rFonts w:cs="Arial"/>
                <w:color w:val="222222"/>
                <w:szCs w:val="18"/>
                <w:lang w:val="en-GB"/>
              </w:rPr>
            </w:pPr>
            <w:r w:rsidRPr="00C70893">
              <w:rPr>
                <w:rStyle w:val="hps"/>
                <w:rFonts w:cs="Arial"/>
                <w:color w:val="222222"/>
                <w:szCs w:val="18"/>
                <w:lang w:val="en-GB"/>
              </w:rPr>
              <w:t>Maximum</w:t>
            </w:r>
            <w:r w:rsidRPr="00C70893">
              <w:rPr>
                <w:rStyle w:val="shorttext"/>
                <w:rFonts w:cs="Arial"/>
                <w:color w:val="222222"/>
                <w:szCs w:val="18"/>
                <w:lang w:val="en-GB"/>
              </w:rPr>
              <w:t xml:space="preserve"> </w:t>
            </w:r>
            <w:r w:rsidRPr="00C70893">
              <w:rPr>
                <w:rStyle w:val="hps"/>
                <w:rFonts w:cs="Arial"/>
                <w:color w:val="222222"/>
                <w:szCs w:val="18"/>
                <w:lang w:val="en-GB"/>
              </w:rPr>
              <w:t>seismic</w:t>
            </w:r>
            <w:r w:rsidRPr="00C70893">
              <w:rPr>
                <w:rStyle w:val="shorttext"/>
                <w:rFonts w:cs="Arial"/>
                <w:color w:val="222222"/>
                <w:szCs w:val="18"/>
                <w:lang w:val="en-GB"/>
              </w:rPr>
              <w:t xml:space="preserve"> </w:t>
            </w:r>
            <w:r w:rsidRPr="00C70893">
              <w:rPr>
                <w:rStyle w:val="hps"/>
                <w:rFonts w:cs="Arial"/>
                <w:color w:val="222222"/>
                <w:szCs w:val="18"/>
                <w:lang w:val="en-GB"/>
              </w:rPr>
              <w:t>event</w:t>
            </w:r>
          </w:p>
        </w:tc>
        <w:tc>
          <w:tcPr>
            <w:tcW w:w="4585" w:type="dxa"/>
            <w:vAlign w:val="center"/>
          </w:tcPr>
          <w:p w:rsidR="006B4D8A" w:rsidRPr="00C70893" w:rsidRDefault="006B4D8A" w:rsidP="006B4D8A">
            <w:pPr>
              <w:spacing w:line="312" w:lineRule="auto"/>
              <w:jc w:val="left"/>
              <w:rPr>
                <w:rFonts w:cs="Arial"/>
                <w:szCs w:val="18"/>
                <w:lang w:val="en-GB"/>
              </w:rPr>
            </w:pPr>
            <w:r w:rsidRPr="00C70893">
              <w:rPr>
                <w:rStyle w:val="hps"/>
                <w:rFonts w:cs="Arial"/>
                <w:color w:val="222222"/>
                <w:szCs w:val="18"/>
                <w:lang w:val="en-GB"/>
              </w:rPr>
              <w:t>The maximum possible</w:t>
            </w:r>
            <w:r w:rsidRPr="00C70893">
              <w:rPr>
                <w:rFonts w:cs="Arial"/>
                <w:color w:val="222222"/>
                <w:szCs w:val="18"/>
                <w:lang w:val="en-GB"/>
              </w:rPr>
              <w:t xml:space="preserve"> </w:t>
            </w:r>
            <w:r w:rsidRPr="00C70893">
              <w:rPr>
                <w:rStyle w:val="hps"/>
                <w:rFonts w:cs="Arial"/>
                <w:color w:val="222222"/>
                <w:szCs w:val="18"/>
                <w:lang w:val="en-GB"/>
              </w:rPr>
              <w:t>intensity of</w:t>
            </w:r>
            <w:r w:rsidRPr="00C70893">
              <w:rPr>
                <w:rFonts w:cs="Arial"/>
                <w:color w:val="222222"/>
                <w:szCs w:val="18"/>
                <w:lang w:val="en-GB"/>
              </w:rPr>
              <w:t xml:space="preserve"> </w:t>
            </w:r>
            <w:r w:rsidRPr="00C70893">
              <w:rPr>
                <w:rStyle w:val="hps"/>
                <w:rFonts w:cs="Arial"/>
                <w:color w:val="222222"/>
                <w:szCs w:val="18"/>
                <w:lang w:val="en-GB"/>
              </w:rPr>
              <w:t>seismic</w:t>
            </w:r>
            <w:r w:rsidRPr="00C70893">
              <w:rPr>
                <w:rFonts w:cs="Arial"/>
                <w:color w:val="222222"/>
                <w:szCs w:val="18"/>
                <w:lang w:val="en-GB"/>
              </w:rPr>
              <w:t xml:space="preserve"> </w:t>
            </w:r>
            <w:r w:rsidRPr="00C70893">
              <w:rPr>
                <w:rStyle w:val="hps"/>
                <w:rFonts w:cs="Arial"/>
                <w:color w:val="222222"/>
                <w:szCs w:val="18"/>
                <w:lang w:val="en-GB"/>
              </w:rPr>
              <w:t>events</w:t>
            </w:r>
            <w:r w:rsidRPr="00C70893">
              <w:rPr>
                <w:rFonts w:cs="Arial"/>
                <w:color w:val="222222"/>
                <w:szCs w:val="18"/>
                <w:lang w:val="en-GB"/>
              </w:rPr>
              <w:t xml:space="preserve"> (g or m/s</w:t>
            </w:r>
            <w:r w:rsidRPr="00C70893">
              <w:rPr>
                <w:rFonts w:cs="Arial"/>
                <w:color w:val="222222"/>
                <w:szCs w:val="18"/>
                <w:vertAlign w:val="superscript"/>
                <w:lang w:val="en-GB"/>
              </w:rPr>
              <w:t>2</w:t>
            </w:r>
            <w:r w:rsidRPr="00C70893">
              <w:rPr>
                <w:rFonts w:cs="Arial"/>
                <w:color w:val="222222"/>
                <w:szCs w:val="18"/>
                <w:lang w:val="en-GB"/>
              </w:rPr>
              <w:t xml:space="preserve">) </w:t>
            </w:r>
            <w:r w:rsidRPr="00C70893">
              <w:rPr>
                <w:rStyle w:val="hps"/>
                <w:rFonts w:cs="Arial"/>
                <w:color w:val="222222"/>
                <w:szCs w:val="18"/>
                <w:lang w:val="en-GB"/>
              </w:rPr>
              <w:t>in</w:t>
            </w:r>
            <w:r w:rsidRPr="00C70893">
              <w:rPr>
                <w:rFonts w:cs="Arial"/>
                <w:color w:val="222222"/>
                <w:szCs w:val="18"/>
                <w:lang w:val="en-GB"/>
              </w:rPr>
              <w:t xml:space="preserve"> </w:t>
            </w:r>
            <w:r w:rsidRPr="00C70893">
              <w:rPr>
                <w:rStyle w:val="hps"/>
                <w:rFonts w:cs="Arial"/>
                <w:color w:val="222222"/>
                <w:szCs w:val="18"/>
                <w:lang w:val="en-GB"/>
              </w:rPr>
              <w:t xml:space="preserve">the area and site vicinity of unit. </w:t>
            </w:r>
          </w:p>
        </w:tc>
        <w:tc>
          <w:tcPr>
            <w:tcW w:w="2598" w:type="dxa"/>
            <w:vAlign w:val="center"/>
          </w:tcPr>
          <w:p w:rsidR="006B4D8A" w:rsidRPr="00C70893" w:rsidRDefault="006B4D8A" w:rsidP="004B3DA1">
            <w:pPr>
              <w:spacing w:line="312" w:lineRule="auto"/>
              <w:jc w:val="left"/>
              <w:rPr>
                <w:rFonts w:cs="Arial"/>
                <w:szCs w:val="18"/>
                <w:lang w:val="en-GB"/>
              </w:rPr>
            </w:pPr>
            <w:r w:rsidRPr="00C70893">
              <w:rPr>
                <w:rFonts w:cs="Arial"/>
                <w:szCs w:val="18"/>
                <w:lang w:val="en-GB"/>
              </w:rPr>
              <w:t>-</w:t>
            </w:r>
          </w:p>
        </w:tc>
      </w:tr>
      <w:tr w:rsidR="00015AF0" w:rsidRPr="00E20701" w:rsidTr="00F10899">
        <w:trPr>
          <w:jc w:val="center"/>
        </w:trPr>
        <w:tc>
          <w:tcPr>
            <w:tcW w:w="481" w:type="dxa"/>
            <w:vAlign w:val="center"/>
          </w:tcPr>
          <w:p w:rsidR="006B4D8A" w:rsidRPr="00C70893" w:rsidRDefault="006B4D8A" w:rsidP="004B3DA1">
            <w:pPr>
              <w:spacing w:line="312" w:lineRule="auto"/>
              <w:jc w:val="left"/>
              <w:rPr>
                <w:rFonts w:cs="Arial"/>
                <w:szCs w:val="18"/>
                <w:lang w:val="en-GB"/>
              </w:rPr>
            </w:pPr>
            <w:r w:rsidRPr="00C70893">
              <w:rPr>
                <w:rFonts w:cs="Arial"/>
                <w:szCs w:val="18"/>
                <w:lang w:val="en-GB"/>
              </w:rPr>
              <w:t>c)</w:t>
            </w:r>
          </w:p>
        </w:tc>
        <w:tc>
          <w:tcPr>
            <w:tcW w:w="2164" w:type="dxa"/>
            <w:vAlign w:val="center"/>
          </w:tcPr>
          <w:p w:rsidR="006B4D8A" w:rsidRPr="00C70893" w:rsidRDefault="006B4D8A" w:rsidP="006B4D8A">
            <w:pPr>
              <w:spacing w:line="312" w:lineRule="auto"/>
              <w:jc w:val="left"/>
              <w:rPr>
                <w:rStyle w:val="hps"/>
                <w:rFonts w:cs="Arial"/>
                <w:color w:val="222222"/>
                <w:szCs w:val="18"/>
                <w:lang w:val="en-GB"/>
              </w:rPr>
            </w:pPr>
            <w:r w:rsidRPr="00C70893">
              <w:rPr>
                <w:rStyle w:val="hps"/>
                <w:rFonts w:cs="Arial"/>
                <w:color w:val="222222"/>
                <w:szCs w:val="18"/>
                <w:lang w:val="en-GB"/>
              </w:rPr>
              <w:t>The values</w:t>
            </w:r>
            <w:r w:rsidRPr="00C70893">
              <w:rPr>
                <w:rStyle w:val="shorttext"/>
                <w:rFonts w:cs="Arial"/>
                <w:color w:val="222222"/>
                <w:szCs w:val="18"/>
                <w:lang w:val="en-GB"/>
              </w:rPr>
              <w:t xml:space="preserve"> </w:t>
            </w:r>
            <w:r w:rsidRPr="00C70893">
              <w:rPr>
                <w:rStyle w:val="hps"/>
                <w:rFonts w:cs="Arial"/>
                <w:color w:val="222222"/>
                <w:szCs w:val="18"/>
                <w:lang w:val="en-GB"/>
              </w:rPr>
              <w:t>of design</w:t>
            </w:r>
            <w:r w:rsidRPr="00C70893">
              <w:rPr>
                <w:rStyle w:val="shorttext"/>
                <w:rFonts w:cs="Arial"/>
                <w:color w:val="222222"/>
                <w:szCs w:val="18"/>
                <w:lang w:val="en-GB"/>
              </w:rPr>
              <w:t xml:space="preserve"> </w:t>
            </w:r>
            <w:r w:rsidRPr="00C70893">
              <w:rPr>
                <w:rStyle w:val="hps"/>
                <w:rFonts w:cs="Arial"/>
                <w:color w:val="222222"/>
                <w:szCs w:val="18"/>
                <w:lang w:val="en-GB"/>
              </w:rPr>
              <w:t>seismic event</w:t>
            </w:r>
          </w:p>
        </w:tc>
        <w:tc>
          <w:tcPr>
            <w:tcW w:w="4585" w:type="dxa"/>
            <w:vAlign w:val="center"/>
          </w:tcPr>
          <w:p w:rsidR="006B4D8A" w:rsidRPr="00C70893" w:rsidRDefault="006B4D8A" w:rsidP="006B4D8A">
            <w:pPr>
              <w:spacing w:line="312" w:lineRule="auto"/>
              <w:jc w:val="left"/>
              <w:rPr>
                <w:rStyle w:val="hps"/>
                <w:rFonts w:cs="Arial"/>
                <w:color w:val="222222"/>
                <w:szCs w:val="18"/>
                <w:lang w:val="en-GB"/>
              </w:rPr>
            </w:pPr>
            <w:r w:rsidRPr="00C70893">
              <w:rPr>
                <w:rStyle w:val="hps"/>
                <w:rFonts w:cs="Arial"/>
                <w:color w:val="222222"/>
                <w:szCs w:val="18"/>
                <w:lang w:val="en-GB"/>
              </w:rPr>
              <w:t>Values</w:t>
            </w:r>
            <w:r w:rsidRPr="00C70893">
              <w:rPr>
                <w:rStyle w:val="shorttext"/>
                <w:rFonts w:cs="Arial"/>
                <w:color w:val="222222"/>
                <w:szCs w:val="18"/>
                <w:lang w:val="en-GB"/>
              </w:rPr>
              <w:t xml:space="preserve"> </w:t>
            </w:r>
            <w:r w:rsidRPr="00C70893">
              <w:rPr>
                <w:rStyle w:val="hps"/>
                <w:rFonts w:cs="Arial"/>
                <w:color w:val="222222"/>
                <w:szCs w:val="18"/>
                <w:lang w:val="en-GB"/>
              </w:rPr>
              <w:t>SL1</w:t>
            </w:r>
            <w:r w:rsidRPr="00C70893">
              <w:rPr>
                <w:rStyle w:val="shorttext"/>
                <w:rFonts w:cs="Arial"/>
                <w:color w:val="222222"/>
                <w:szCs w:val="18"/>
                <w:lang w:val="en-GB"/>
              </w:rPr>
              <w:t xml:space="preserve"> </w:t>
            </w:r>
            <w:r w:rsidRPr="00C70893">
              <w:rPr>
                <w:rStyle w:val="hps"/>
                <w:rFonts w:cs="Arial"/>
                <w:color w:val="222222"/>
                <w:szCs w:val="18"/>
                <w:lang w:val="en-GB"/>
              </w:rPr>
              <w:t>(g or m/s</w:t>
            </w:r>
            <w:r w:rsidRPr="00C70893">
              <w:rPr>
                <w:rStyle w:val="hps"/>
                <w:rFonts w:cs="Arial"/>
                <w:color w:val="222222"/>
                <w:szCs w:val="18"/>
                <w:vertAlign w:val="superscript"/>
                <w:lang w:val="en-GB"/>
              </w:rPr>
              <w:t>2</w:t>
            </w:r>
            <w:r w:rsidRPr="00C70893">
              <w:rPr>
                <w:rStyle w:val="hps"/>
                <w:rFonts w:cs="Arial"/>
                <w:color w:val="222222"/>
                <w:szCs w:val="18"/>
                <w:lang w:val="en-GB"/>
              </w:rPr>
              <w:t xml:space="preserve"> for </w:t>
            </w:r>
            <w:r w:rsidRPr="00C70893">
              <w:rPr>
                <w:rStyle w:val="shorttext"/>
                <w:rFonts w:cs="Arial"/>
                <w:color w:val="222222"/>
                <w:szCs w:val="18"/>
                <w:lang w:val="en-GB"/>
              </w:rPr>
              <w:t xml:space="preserve">F </w:t>
            </w:r>
            <w:r w:rsidRPr="00C70893">
              <w:rPr>
                <w:rStyle w:val="hps"/>
                <w:rFonts w:cs="Arial"/>
                <w:color w:val="222222"/>
                <w:szCs w:val="18"/>
                <w:lang w:val="en-GB"/>
              </w:rPr>
              <w:t>=</w:t>
            </w:r>
            <w:r w:rsidRPr="00C70893">
              <w:rPr>
                <w:rStyle w:val="shorttext"/>
                <w:rFonts w:cs="Arial"/>
                <w:color w:val="222222"/>
                <w:szCs w:val="18"/>
                <w:lang w:val="en-GB"/>
              </w:rPr>
              <w:t xml:space="preserve"> </w:t>
            </w:r>
            <w:r w:rsidRPr="00C70893">
              <w:rPr>
                <w:rStyle w:val="hps"/>
                <w:rFonts w:cs="Arial"/>
                <w:color w:val="222222"/>
                <w:szCs w:val="18"/>
                <w:lang w:val="en-GB"/>
              </w:rPr>
              <w:t>10</w:t>
            </w:r>
            <w:r w:rsidRPr="00C70893">
              <w:rPr>
                <w:rStyle w:val="hps"/>
                <w:rFonts w:cs="Arial"/>
                <w:color w:val="222222"/>
                <w:szCs w:val="18"/>
                <w:vertAlign w:val="superscript"/>
                <w:lang w:val="en-GB"/>
              </w:rPr>
              <w:t>-2</w:t>
            </w:r>
            <w:r w:rsidRPr="00C70893">
              <w:rPr>
                <w:rStyle w:val="shorttext"/>
                <w:rFonts w:cs="Arial"/>
                <w:color w:val="222222"/>
                <w:szCs w:val="18"/>
                <w:lang w:val="en-GB"/>
              </w:rPr>
              <w:t xml:space="preserve"> </w:t>
            </w:r>
            <w:r w:rsidRPr="00C70893">
              <w:rPr>
                <w:rStyle w:val="hps"/>
                <w:rFonts w:cs="Arial"/>
                <w:color w:val="222222"/>
                <w:szCs w:val="18"/>
                <w:lang w:val="en-GB"/>
              </w:rPr>
              <w:t>events</w:t>
            </w:r>
            <w:r w:rsidRPr="00C70893">
              <w:rPr>
                <w:rStyle w:val="shorttext"/>
                <w:rFonts w:cs="Arial"/>
                <w:color w:val="222222"/>
                <w:szCs w:val="18"/>
                <w:lang w:val="en-GB"/>
              </w:rPr>
              <w:t xml:space="preserve"> </w:t>
            </w:r>
            <w:r w:rsidRPr="00C70893">
              <w:rPr>
                <w:rStyle w:val="hps"/>
                <w:rFonts w:cs="Arial"/>
                <w:color w:val="222222"/>
                <w:szCs w:val="18"/>
                <w:lang w:val="en-GB"/>
              </w:rPr>
              <w:t>per year)</w:t>
            </w:r>
            <w:r w:rsidRPr="00C70893">
              <w:rPr>
                <w:rStyle w:val="shorttext"/>
                <w:rFonts w:cs="Arial"/>
                <w:color w:val="222222"/>
                <w:szCs w:val="18"/>
                <w:lang w:val="en-GB"/>
              </w:rPr>
              <w:t xml:space="preserve"> </w:t>
            </w:r>
            <w:r w:rsidRPr="00C70893">
              <w:rPr>
                <w:rStyle w:val="hps"/>
                <w:rFonts w:cs="Arial"/>
                <w:color w:val="222222"/>
                <w:szCs w:val="18"/>
                <w:lang w:val="en-GB"/>
              </w:rPr>
              <w:t>and</w:t>
            </w:r>
            <w:r w:rsidRPr="00C70893">
              <w:rPr>
                <w:rStyle w:val="shorttext"/>
                <w:rFonts w:cs="Arial"/>
                <w:color w:val="222222"/>
                <w:szCs w:val="18"/>
                <w:lang w:val="en-GB"/>
              </w:rPr>
              <w:t xml:space="preserve"> </w:t>
            </w:r>
            <w:r w:rsidRPr="00C70893">
              <w:rPr>
                <w:rStyle w:val="hps"/>
                <w:rFonts w:cs="Arial"/>
                <w:color w:val="222222"/>
                <w:szCs w:val="18"/>
                <w:lang w:val="en-GB"/>
              </w:rPr>
              <w:t>SL2 (g or m/s</w:t>
            </w:r>
            <w:r w:rsidRPr="00C70893">
              <w:rPr>
                <w:rStyle w:val="hps"/>
                <w:rFonts w:cs="Arial"/>
                <w:color w:val="222222"/>
                <w:szCs w:val="18"/>
                <w:vertAlign w:val="superscript"/>
                <w:lang w:val="en-GB"/>
              </w:rPr>
              <w:t>2</w:t>
            </w:r>
            <w:r w:rsidRPr="00C70893">
              <w:rPr>
                <w:rStyle w:val="hps"/>
                <w:rFonts w:cs="Arial"/>
                <w:color w:val="222222"/>
                <w:szCs w:val="18"/>
                <w:lang w:val="en-GB"/>
              </w:rPr>
              <w:t xml:space="preserve"> for </w:t>
            </w:r>
            <w:r w:rsidRPr="00C70893">
              <w:rPr>
                <w:rStyle w:val="shorttext"/>
                <w:rFonts w:cs="Arial"/>
                <w:color w:val="222222"/>
                <w:szCs w:val="18"/>
                <w:lang w:val="en-GB"/>
              </w:rPr>
              <w:t xml:space="preserve">F </w:t>
            </w:r>
            <w:r w:rsidRPr="00C70893">
              <w:rPr>
                <w:rStyle w:val="hps"/>
                <w:rFonts w:cs="Arial"/>
                <w:color w:val="222222"/>
                <w:szCs w:val="18"/>
                <w:lang w:val="en-GB"/>
              </w:rPr>
              <w:t>=</w:t>
            </w:r>
            <w:r w:rsidRPr="00C70893">
              <w:rPr>
                <w:rStyle w:val="shorttext"/>
                <w:rFonts w:cs="Arial"/>
                <w:color w:val="222222"/>
                <w:szCs w:val="18"/>
                <w:lang w:val="en-GB"/>
              </w:rPr>
              <w:t xml:space="preserve"> </w:t>
            </w:r>
            <w:r w:rsidRPr="00C70893">
              <w:rPr>
                <w:rStyle w:val="hps"/>
                <w:rFonts w:cs="Arial"/>
                <w:color w:val="222222"/>
                <w:szCs w:val="18"/>
                <w:lang w:val="en-GB"/>
              </w:rPr>
              <w:t>10</w:t>
            </w:r>
            <w:r w:rsidRPr="00C70893">
              <w:rPr>
                <w:rStyle w:val="hps"/>
                <w:rFonts w:cs="Arial"/>
                <w:color w:val="222222"/>
                <w:szCs w:val="18"/>
                <w:vertAlign w:val="superscript"/>
                <w:lang w:val="en-GB"/>
              </w:rPr>
              <w:t>-4</w:t>
            </w:r>
            <w:r w:rsidRPr="00C70893">
              <w:rPr>
                <w:rStyle w:val="shorttext"/>
                <w:rFonts w:cs="Arial"/>
                <w:color w:val="222222"/>
                <w:szCs w:val="18"/>
                <w:lang w:val="en-GB"/>
              </w:rPr>
              <w:t xml:space="preserve"> </w:t>
            </w:r>
            <w:r w:rsidRPr="00C70893">
              <w:rPr>
                <w:rStyle w:val="hps"/>
                <w:rFonts w:cs="Arial"/>
                <w:color w:val="222222"/>
                <w:szCs w:val="18"/>
                <w:lang w:val="en-GB"/>
              </w:rPr>
              <w:t>events</w:t>
            </w:r>
            <w:r w:rsidRPr="00C70893">
              <w:rPr>
                <w:rStyle w:val="shorttext"/>
                <w:rFonts w:cs="Arial"/>
                <w:color w:val="222222"/>
                <w:szCs w:val="18"/>
                <w:lang w:val="en-GB"/>
              </w:rPr>
              <w:t xml:space="preserve"> </w:t>
            </w:r>
            <w:r w:rsidRPr="00C70893">
              <w:rPr>
                <w:rStyle w:val="hps"/>
                <w:rFonts w:cs="Arial"/>
                <w:color w:val="222222"/>
                <w:szCs w:val="18"/>
                <w:lang w:val="en-GB"/>
              </w:rPr>
              <w:t xml:space="preserve">per year). </w:t>
            </w:r>
          </w:p>
        </w:tc>
        <w:tc>
          <w:tcPr>
            <w:tcW w:w="2598" w:type="dxa"/>
            <w:vAlign w:val="center"/>
          </w:tcPr>
          <w:p w:rsidR="006B4D8A" w:rsidRPr="00C70893" w:rsidRDefault="006B4D8A" w:rsidP="004B3DA1">
            <w:pPr>
              <w:spacing w:line="312" w:lineRule="auto"/>
              <w:jc w:val="left"/>
              <w:rPr>
                <w:rFonts w:cs="Arial"/>
                <w:szCs w:val="18"/>
                <w:lang w:val="en-GB"/>
              </w:rPr>
            </w:pPr>
            <w:r w:rsidRPr="00C70893">
              <w:rPr>
                <w:rFonts w:cs="Arial"/>
                <w:szCs w:val="18"/>
                <w:lang w:val="en-GB"/>
              </w:rPr>
              <w:t>-</w:t>
            </w:r>
          </w:p>
        </w:tc>
      </w:tr>
      <w:tr w:rsidR="00015AF0" w:rsidRPr="00E20701" w:rsidTr="00F10899">
        <w:trPr>
          <w:jc w:val="center"/>
        </w:trPr>
        <w:tc>
          <w:tcPr>
            <w:tcW w:w="481" w:type="dxa"/>
            <w:vAlign w:val="center"/>
          </w:tcPr>
          <w:p w:rsidR="006B4D8A" w:rsidRPr="00C70893" w:rsidRDefault="006B4D8A" w:rsidP="004B3DA1">
            <w:pPr>
              <w:spacing w:line="312" w:lineRule="auto"/>
              <w:jc w:val="left"/>
              <w:rPr>
                <w:rFonts w:cs="Arial"/>
                <w:szCs w:val="18"/>
                <w:lang w:val="en-GB"/>
              </w:rPr>
            </w:pPr>
            <w:r w:rsidRPr="00C70893">
              <w:rPr>
                <w:rFonts w:cs="Arial"/>
                <w:szCs w:val="18"/>
                <w:lang w:val="en-GB"/>
              </w:rPr>
              <w:t>d)</w:t>
            </w:r>
          </w:p>
        </w:tc>
        <w:tc>
          <w:tcPr>
            <w:tcW w:w="2164" w:type="dxa"/>
            <w:vAlign w:val="center"/>
          </w:tcPr>
          <w:p w:rsidR="006B4D8A" w:rsidRPr="00C70893" w:rsidRDefault="006B4D8A" w:rsidP="006B4D8A">
            <w:pPr>
              <w:spacing w:line="312" w:lineRule="auto"/>
              <w:jc w:val="left"/>
              <w:rPr>
                <w:rFonts w:cs="Arial"/>
                <w:szCs w:val="18"/>
                <w:u w:val="single"/>
                <w:lang w:val="en-GB"/>
              </w:rPr>
            </w:pPr>
            <w:r w:rsidRPr="00C70893">
              <w:rPr>
                <w:rStyle w:val="hps"/>
                <w:rFonts w:cs="Arial"/>
                <w:color w:val="222222"/>
                <w:szCs w:val="18"/>
                <w:lang w:val="en-GB"/>
              </w:rPr>
              <w:t>DEC (</w:t>
            </w:r>
            <w:r w:rsidRPr="00C70893">
              <w:rPr>
                <w:rFonts w:cs="Arial"/>
                <w:color w:val="222222"/>
                <w:szCs w:val="18"/>
                <w:lang w:val="en-GB"/>
              </w:rPr>
              <w:t xml:space="preserve">Design </w:t>
            </w:r>
            <w:r w:rsidRPr="00C70893">
              <w:rPr>
                <w:rStyle w:val="hps"/>
                <w:rFonts w:cs="Arial"/>
                <w:color w:val="222222"/>
                <w:szCs w:val="18"/>
                <w:lang w:val="en-GB"/>
              </w:rPr>
              <w:t>Extension Conditions) for seismic event.</w:t>
            </w:r>
          </w:p>
        </w:tc>
        <w:tc>
          <w:tcPr>
            <w:tcW w:w="4585" w:type="dxa"/>
            <w:vAlign w:val="center"/>
          </w:tcPr>
          <w:p w:rsidR="006B4D8A" w:rsidRPr="00C70893" w:rsidRDefault="006B4D8A" w:rsidP="004660FB">
            <w:pPr>
              <w:spacing w:line="312" w:lineRule="auto"/>
              <w:jc w:val="left"/>
              <w:rPr>
                <w:rFonts w:cs="Arial"/>
                <w:szCs w:val="18"/>
                <w:lang w:val="en-GB"/>
              </w:rPr>
            </w:pPr>
            <w:r w:rsidRPr="00C70893">
              <w:rPr>
                <w:rStyle w:val="hps"/>
                <w:rFonts w:cs="Arial"/>
                <w:color w:val="222222"/>
                <w:szCs w:val="18"/>
                <w:lang w:val="en-GB"/>
              </w:rPr>
              <w:t>Value of</w:t>
            </w:r>
            <w:r w:rsidRPr="00C70893">
              <w:rPr>
                <w:rFonts w:cs="Arial"/>
                <w:color w:val="222222"/>
                <w:szCs w:val="18"/>
                <w:lang w:val="en-GB"/>
              </w:rPr>
              <w:t xml:space="preserve"> SSE </w:t>
            </w:r>
            <w:r w:rsidRPr="00C70893">
              <w:rPr>
                <w:rStyle w:val="hps"/>
                <w:rFonts w:cs="Arial"/>
                <w:szCs w:val="18"/>
                <w:lang w:val="en-GB"/>
              </w:rPr>
              <w:t>(</w:t>
            </w:r>
            <w:r w:rsidRPr="00C70893">
              <w:rPr>
                <w:rStyle w:val="hps"/>
                <w:rFonts w:cs="Arial"/>
                <w:color w:val="222222"/>
                <w:szCs w:val="18"/>
                <w:lang w:val="en-GB"/>
              </w:rPr>
              <w:t>Safe Shutdown Earthquake) for unit</w:t>
            </w:r>
            <w:r w:rsidRPr="00C70893">
              <w:rPr>
                <w:rFonts w:cs="Arial"/>
                <w:color w:val="222222"/>
                <w:szCs w:val="18"/>
                <w:lang w:val="en-GB"/>
              </w:rPr>
              <w:t xml:space="preserve"> as results of </w:t>
            </w:r>
            <w:r w:rsidRPr="00C70893">
              <w:rPr>
                <w:rStyle w:val="hps"/>
                <w:rFonts w:cs="Arial"/>
                <w:color w:val="222222"/>
                <w:szCs w:val="18"/>
                <w:lang w:val="en-GB"/>
              </w:rPr>
              <w:t>resistance of unit.</w:t>
            </w:r>
          </w:p>
        </w:tc>
        <w:tc>
          <w:tcPr>
            <w:tcW w:w="2598" w:type="dxa"/>
            <w:vAlign w:val="center"/>
          </w:tcPr>
          <w:p w:rsidR="006B4D8A" w:rsidRPr="00C70893" w:rsidRDefault="006B4D8A" w:rsidP="004B3DA1">
            <w:pPr>
              <w:spacing w:line="312" w:lineRule="auto"/>
              <w:jc w:val="left"/>
              <w:rPr>
                <w:rFonts w:cs="Arial"/>
                <w:szCs w:val="18"/>
                <w:lang w:val="en-GB"/>
              </w:rPr>
            </w:pPr>
            <w:r w:rsidRPr="00C70893">
              <w:rPr>
                <w:rFonts w:cs="Arial"/>
                <w:szCs w:val="18"/>
                <w:lang w:val="en-GB"/>
              </w:rPr>
              <w:t>-</w:t>
            </w:r>
          </w:p>
        </w:tc>
      </w:tr>
      <w:tr w:rsidR="00015AF0" w:rsidRPr="00E20701" w:rsidTr="00F10899">
        <w:trPr>
          <w:jc w:val="center"/>
        </w:trPr>
        <w:tc>
          <w:tcPr>
            <w:tcW w:w="481" w:type="dxa"/>
            <w:vAlign w:val="center"/>
          </w:tcPr>
          <w:p w:rsidR="006B4D8A" w:rsidRPr="00C70893" w:rsidRDefault="006B4D8A" w:rsidP="004B3DA1">
            <w:pPr>
              <w:spacing w:line="312" w:lineRule="auto"/>
              <w:jc w:val="left"/>
              <w:rPr>
                <w:rFonts w:cs="Arial"/>
                <w:szCs w:val="18"/>
                <w:lang w:val="en-GB"/>
              </w:rPr>
            </w:pPr>
            <w:r w:rsidRPr="00C70893">
              <w:rPr>
                <w:rFonts w:cs="Arial"/>
                <w:szCs w:val="18"/>
                <w:lang w:val="en-GB"/>
              </w:rPr>
              <w:t>e)</w:t>
            </w:r>
          </w:p>
        </w:tc>
        <w:tc>
          <w:tcPr>
            <w:tcW w:w="2164" w:type="dxa"/>
            <w:vAlign w:val="center"/>
          </w:tcPr>
          <w:p w:rsidR="006B4D8A" w:rsidRPr="00C70893" w:rsidRDefault="006B4D8A" w:rsidP="006B4D8A">
            <w:pPr>
              <w:spacing w:line="312" w:lineRule="auto"/>
              <w:jc w:val="left"/>
              <w:rPr>
                <w:rFonts w:cs="Arial"/>
                <w:szCs w:val="18"/>
                <w:u w:val="single"/>
                <w:lang w:val="en-GB"/>
              </w:rPr>
            </w:pPr>
            <w:r w:rsidRPr="00C70893">
              <w:rPr>
                <w:rStyle w:val="hps"/>
                <w:rFonts w:cs="Arial"/>
                <w:color w:val="222222"/>
                <w:szCs w:val="18"/>
                <w:lang w:val="en-GB"/>
              </w:rPr>
              <w:t>Spectral analysis data</w:t>
            </w:r>
          </w:p>
        </w:tc>
        <w:tc>
          <w:tcPr>
            <w:tcW w:w="4585" w:type="dxa"/>
            <w:vAlign w:val="center"/>
          </w:tcPr>
          <w:p w:rsidR="006B4D8A" w:rsidRPr="00C70893" w:rsidRDefault="006B4D8A" w:rsidP="006B4D8A">
            <w:pPr>
              <w:spacing w:line="312" w:lineRule="auto"/>
              <w:jc w:val="left"/>
              <w:rPr>
                <w:rFonts w:cs="Arial"/>
                <w:szCs w:val="18"/>
                <w:lang w:val="en-GB"/>
              </w:rPr>
            </w:pPr>
            <w:r w:rsidRPr="00C70893">
              <w:rPr>
                <w:rFonts w:cs="Arial"/>
                <w:szCs w:val="18"/>
                <w:lang w:val="en-GB"/>
              </w:rPr>
              <w:t xml:space="preserve">Data on acceleration hazard curves </w:t>
            </w:r>
          </w:p>
        </w:tc>
        <w:tc>
          <w:tcPr>
            <w:tcW w:w="2598" w:type="dxa"/>
            <w:vAlign w:val="center"/>
          </w:tcPr>
          <w:p w:rsidR="006B4D8A" w:rsidRPr="00C70893" w:rsidRDefault="006B4D8A" w:rsidP="004B3DA1">
            <w:pPr>
              <w:spacing w:line="312" w:lineRule="auto"/>
              <w:jc w:val="left"/>
              <w:rPr>
                <w:rFonts w:cs="Arial"/>
                <w:szCs w:val="18"/>
                <w:lang w:val="en-GB"/>
              </w:rPr>
            </w:pPr>
            <w:r w:rsidRPr="00C70893">
              <w:rPr>
                <w:rFonts w:cs="Arial"/>
                <w:szCs w:val="18"/>
                <w:lang w:val="en-GB"/>
              </w:rPr>
              <w:t>-</w:t>
            </w:r>
          </w:p>
        </w:tc>
      </w:tr>
      <w:tr w:rsidR="00015AF0" w:rsidRPr="00E20701" w:rsidTr="00F10899">
        <w:trPr>
          <w:jc w:val="center"/>
        </w:trPr>
        <w:tc>
          <w:tcPr>
            <w:tcW w:w="2645" w:type="dxa"/>
            <w:gridSpan w:val="2"/>
            <w:vAlign w:val="center"/>
          </w:tcPr>
          <w:p w:rsidR="006B4D8A" w:rsidRPr="00C70893" w:rsidRDefault="006B4D8A" w:rsidP="006B4D8A">
            <w:pPr>
              <w:spacing w:line="312" w:lineRule="auto"/>
              <w:jc w:val="left"/>
              <w:rPr>
                <w:rFonts w:cs="Arial"/>
                <w:szCs w:val="18"/>
                <w:u w:val="single"/>
                <w:lang w:val="en-GB"/>
              </w:rPr>
            </w:pPr>
            <w:r w:rsidRPr="00C70893">
              <w:rPr>
                <w:rStyle w:val="hps"/>
                <w:rFonts w:cs="Arial"/>
                <w:color w:val="222222"/>
                <w:szCs w:val="18"/>
                <w:lang w:val="en-GB"/>
              </w:rPr>
              <w:t>Dangerous</w:t>
            </w:r>
            <w:r w:rsidRPr="00C70893">
              <w:rPr>
                <w:rStyle w:val="shorttext"/>
                <w:rFonts w:cs="Arial"/>
                <w:color w:val="222222"/>
                <w:szCs w:val="18"/>
                <w:lang w:val="en-GB"/>
              </w:rPr>
              <w:t xml:space="preserve"> </w:t>
            </w:r>
            <w:r w:rsidRPr="00C70893">
              <w:rPr>
                <w:rStyle w:val="hps"/>
                <w:rFonts w:cs="Arial"/>
                <w:color w:val="222222"/>
                <w:szCs w:val="18"/>
                <w:lang w:val="en-GB"/>
              </w:rPr>
              <w:t>transports</w:t>
            </w:r>
          </w:p>
        </w:tc>
        <w:tc>
          <w:tcPr>
            <w:tcW w:w="4585" w:type="dxa"/>
            <w:vAlign w:val="center"/>
          </w:tcPr>
          <w:p w:rsidR="006B4D8A" w:rsidRPr="00C70893" w:rsidRDefault="006B4D8A" w:rsidP="006B4D8A">
            <w:pPr>
              <w:spacing w:line="312" w:lineRule="auto"/>
              <w:jc w:val="left"/>
              <w:rPr>
                <w:rFonts w:cs="Arial"/>
                <w:szCs w:val="18"/>
                <w:lang w:val="en-GB"/>
              </w:rPr>
            </w:pPr>
          </w:p>
        </w:tc>
        <w:tc>
          <w:tcPr>
            <w:tcW w:w="2598" w:type="dxa"/>
            <w:vAlign w:val="center"/>
          </w:tcPr>
          <w:p w:rsidR="006B4D8A" w:rsidRPr="00C70893" w:rsidRDefault="006B4D8A" w:rsidP="004B3DA1">
            <w:pPr>
              <w:spacing w:line="312" w:lineRule="auto"/>
              <w:jc w:val="left"/>
              <w:rPr>
                <w:rFonts w:cs="Arial"/>
                <w:szCs w:val="18"/>
                <w:lang w:val="en-GB"/>
              </w:rPr>
            </w:pPr>
          </w:p>
        </w:tc>
      </w:tr>
      <w:tr w:rsidR="00015AF0" w:rsidRPr="00E20701" w:rsidTr="00F10899">
        <w:trPr>
          <w:jc w:val="center"/>
        </w:trPr>
        <w:tc>
          <w:tcPr>
            <w:tcW w:w="481" w:type="dxa"/>
            <w:vAlign w:val="center"/>
          </w:tcPr>
          <w:p w:rsidR="006B4D8A" w:rsidRPr="00C70893" w:rsidRDefault="006B4D8A" w:rsidP="004B3DA1">
            <w:pPr>
              <w:spacing w:line="312" w:lineRule="auto"/>
              <w:jc w:val="left"/>
              <w:rPr>
                <w:rFonts w:cs="Arial"/>
                <w:szCs w:val="18"/>
                <w:lang w:val="en-GB"/>
              </w:rPr>
            </w:pPr>
            <w:r w:rsidRPr="00C70893">
              <w:rPr>
                <w:rFonts w:cs="Arial"/>
                <w:szCs w:val="18"/>
                <w:lang w:val="en-GB"/>
              </w:rPr>
              <w:t>a)</w:t>
            </w:r>
          </w:p>
        </w:tc>
        <w:tc>
          <w:tcPr>
            <w:tcW w:w="2164" w:type="dxa"/>
            <w:vAlign w:val="center"/>
          </w:tcPr>
          <w:p w:rsidR="006B4D8A" w:rsidRPr="00C70893" w:rsidRDefault="006B4D8A" w:rsidP="006B4D8A">
            <w:pPr>
              <w:spacing w:line="312" w:lineRule="auto"/>
              <w:jc w:val="left"/>
              <w:rPr>
                <w:rFonts w:cs="Arial"/>
                <w:szCs w:val="18"/>
                <w:u w:val="single"/>
                <w:lang w:val="en-GB"/>
              </w:rPr>
            </w:pPr>
            <w:r w:rsidRPr="00C70893">
              <w:rPr>
                <w:rStyle w:val="hps"/>
                <w:rFonts w:cs="Arial"/>
                <w:color w:val="222222"/>
                <w:szCs w:val="18"/>
                <w:lang w:val="en-GB"/>
              </w:rPr>
              <w:t>Data on</w:t>
            </w:r>
            <w:r w:rsidRPr="00C70893">
              <w:rPr>
                <w:rStyle w:val="shorttext"/>
                <w:rFonts w:cs="Arial"/>
                <w:color w:val="222222"/>
                <w:szCs w:val="18"/>
                <w:lang w:val="en-GB"/>
              </w:rPr>
              <w:t xml:space="preserve"> </w:t>
            </w:r>
            <w:r w:rsidRPr="00C70893">
              <w:rPr>
                <w:rStyle w:val="hps"/>
                <w:rFonts w:cs="Arial"/>
                <w:color w:val="222222"/>
                <w:szCs w:val="18"/>
                <w:lang w:val="en-GB"/>
              </w:rPr>
              <w:t>transports</w:t>
            </w:r>
          </w:p>
        </w:tc>
        <w:tc>
          <w:tcPr>
            <w:tcW w:w="4585" w:type="dxa"/>
            <w:vAlign w:val="center"/>
          </w:tcPr>
          <w:p w:rsidR="006B4D8A" w:rsidRPr="00C70893" w:rsidRDefault="006B4D8A" w:rsidP="00F42AC3">
            <w:pPr>
              <w:spacing w:line="312" w:lineRule="auto"/>
              <w:jc w:val="left"/>
              <w:rPr>
                <w:rFonts w:cs="Arial"/>
                <w:szCs w:val="18"/>
                <w:lang w:val="en-GB"/>
              </w:rPr>
            </w:pPr>
            <w:r w:rsidRPr="00C70893">
              <w:rPr>
                <w:rStyle w:val="hps"/>
                <w:rFonts w:cs="Arial"/>
                <w:color w:val="222222"/>
                <w:szCs w:val="18"/>
                <w:lang w:val="en-GB"/>
              </w:rPr>
              <w:t>Type</w:t>
            </w:r>
            <w:r w:rsidRPr="00C70893">
              <w:rPr>
                <w:rFonts w:cs="Arial"/>
                <w:color w:val="222222"/>
                <w:szCs w:val="18"/>
                <w:lang w:val="en-GB"/>
              </w:rPr>
              <w:t xml:space="preserve"> of </w:t>
            </w:r>
            <w:r w:rsidRPr="00C70893">
              <w:rPr>
                <w:rStyle w:val="hps"/>
                <w:rFonts w:cs="Arial"/>
                <w:color w:val="222222"/>
                <w:szCs w:val="18"/>
                <w:lang w:val="en-GB"/>
              </w:rPr>
              <w:t>transported</w:t>
            </w:r>
            <w:r w:rsidRPr="00C70893">
              <w:rPr>
                <w:rFonts w:cs="Arial"/>
                <w:color w:val="222222"/>
                <w:szCs w:val="18"/>
                <w:lang w:val="en-GB"/>
              </w:rPr>
              <w:t xml:space="preserve"> </w:t>
            </w:r>
            <w:r w:rsidRPr="00C70893">
              <w:rPr>
                <w:rStyle w:val="hps"/>
                <w:rFonts w:cs="Arial"/>
                <w:color w:val="222222"/>
                <w:szCs w:val="18"/>
                <w:lang w:val="en-GB"/>
              </w:rPr>
              <w:t>hazardous substances</w:t>
            </w:r>
            <w:r w:rsidRPr="00C70893">
              <w:rPr>
                <w:rFonts w:cs="Arial"/>
                <w:color w:val="222222"/>
                <w:szCs w:val="18"/>
                <w:lang w:val="en-GB"/>
              </w:rPr>
              <w:t>.</w:t>
            </w:r>
            <w:r w:rsidRPr="00C70893">
              <w:rPr>
                <w:rFonts w:cs="Arial"/>
                <w:color w:val="222222"/>
                <w:szCs w:val="18"/>
                <w:lang w:val="en-GB"/>
              </w:rPr>
              <w:br/>
            </w:r>
            <w:r w:rsidRPr="00C70893">
              <w:rPr>
                <w:rStyle w:val="hps"/>
                <w:rFonts w:cs="Arial"/>
                <w:color w:val="222222"/>
                <w:szCs w:val="18"/>
                <w:lang w:val="en-GB"/>
              </w:rPr>
              <w:t>Length</w:t>
            </w:r>
            <w:r w:rsidRPr="00C70893">
              <w:rPr>
                <w:rFonts w:cs="Arial"/>
                <w:color w:val="222222"/>
                <w:szCs w:val="18"/>
                <w:lang w:val="en-GB"/>
              </w:rPr>
              <w:t xml:space="preserve"> </w:t>
            </w:r>
            <w:r w:rsidRPr="00C70893">
              <w:rPr>
                <w:rStyle w:val="hps"/>
                <w:rFonts w:cs="Arial"/>
                <w:color w:val="222222"/>
                <w:szCs w:val="18"/>
                <w:lang w:val="en-GB"/>
              </w:rPr>
              <w:t>of transport</w:t>
            </w:r>
            <w:r w:rsidRPr="00C70893">
              <w:rPr>
                <w:rFonts w:cs="Arial"/>
                <w:color w:val="222222"/>
                <w:szCs w:val="18"/>
                <w:lang w:val="en-GB"/>
              </w:rPr>
              <w:t xml:space="preserve"> </w:t>
            </w:r>
            <w:r w:rsidRPr="00C70893">
              <w:rPr>
                <w:rStyle w:val="hps"/>
                <w:rFonts w:cs="Arial"/>
                <w:color w:val="222222"/>
                <w:szCs w:val="18"/>
                <w:lang w:val="en-GB"/>
              </w:rPr>
              <w:t>with a range of</w:t>
            </w:r>
            <w:r w:rsidRPr="00C70893">
              <w:rPr>
                <w:rFonts w:cs="Arial"/>
                <w:color w:val="222222"/>
                <w:szCs w:val="18"/>
                <w:lang w:val="en-GB"/>
              </w:rPr>
              <w:t xml:space="preserve"> </w:t>
            </w:r>
            <w:r w:rsidRPr="00C70893">
              <w:rPr>
                <w:rStyle w:val="hps"/>
                <w:rFonts w:cs="Arial"/>
                <w:color w:val="222222"/>
                <w:szCs w:val="18"/>
                <w:lang w:val="en-GB"/>
              </w:rPr>
              <w:t>possible leakage</w:t>
            </w:r>
            <w:r w:rsidRPr="00C70893">
              <w:rPr>
                <w:rFonts w:cs="Arial"/>
                <w:color w:val="222222"/>
                <w:szCs w:val="18"/>
                <w:lang w:val="en-GB"/>
              </w:rPr>
              <w:t xml:space="preserve"> </w:t>
            </w:r>
            <w:r w:rsidRPr="00C70893">
              <w:rPr>
                <w:rStyle w:val="hps"/>
                <w:rFonts w:cs="Arial"/>
                <w:color w:val="222222"/>
                <w:szCs w:val="18"/>
                <w:lang w:val="en-GB"/>
              </w:rPr>
              <w:t>into the area</w:t>
            </w:r>
            <w:r w:rsidRPr="00C70893">
              <w:rPr>
                <w:rFonts w:cs="Arial"/>
                <w:color w:val="222222"/>
                <w:szCs w:val="18"/>
                <w:lang w:val="en-GB"/>
              </w:rPr>
              <w:t xml:space="preserve"> </w:t>
            </w:r>
            <w:r w:rsidRPr="00C70893">
              <w:rPr>
                <w:rStyle w:val="hps"/>
                <w:rFonts w:cs="Arial"/>
                <w:color w:val="222222"/>
                <w:szCs w:val="18"/>
                <w:lang w:val="en-GB"/>
              </w:rPr>
              <w:t>of unit.</w:t>
            </w:r>
          </w:p>
        </w:tc>
        <w:tc>
          <w:tcPr>
            <w:tcW w:w="2598" w:type="dxa"/>
            <w:vAlign w:val="center"/>
          </w:tcPr>
          <w:p w:rsidR="006B4D8A" w:rsidRPr="00C70893" w:rsidRDefault="006B4D8A" w:rsidP="004B3DA1">
            <w:pPr>
              <w:spacing w:line="312" w:lineRule="auto"/>
              <w:jc w:val="left"/>
              <w:rPr>
                <w:rFonts w:cs="Arial"/>
                <w:szCs w:val="18"/>
                <w:lang w:val="en-GB"/>
              </w:rPr>
            </w:pPr>
            <w:r w:rsidRPr="00C70893">
              <w:rPr>
                <w:rFonts w:cs="Arial"/>
                <w:szCs w:val="18"/>
                <w:lang w:val="en-GB"/>
              </w:rPr>
              <w:t>10 km</w:t>
            </w:r>
          </w:p>
        </w:tc>
      </w:tr>
      <w:tr w:rsidR="00015AF0" w:rsidRPr="00E20701" w:rsidTr="00F10899">
        <w:trPr>
          <w:jc w:val="center"/>
        </w:trPr>
        <w:tc>
          <w:tcPr>
            <w:tcW w:w="481" w:type="dxa"/>
            <w:vAlign w:val="center"/>
          </w:tcPr>
          <w:p w:rsidR="006B4D8A" w:rsidRPr="00E20701" w:rsidRDefault="006B4D8A" w:rsidP="004B3DA1">
            <w:pPr>
              <w:spacing w:line="312" w:lineRule="auto"/>
              <w:jc w:val="left"/>
              <w:rPr>
                <w:rFonts w:cs="Arial"/>
                <w:szCs w:val="18"/>
                <w:lang w:val="en-GB"/>
              </w:rPr>
            </w:pPr>
            <w:r w:rsidRPr="00E20701">
              <w:rPr>
                <w:rFonts w:cs="Arial"/>
                <w:szCs w:val="18"/>
                <w:lang w:val="en-GB"/>
              </w:rPr>
              <w:t>b)</w:t>
            </w:r>
          </w:p>
        </w:tc>
        <w:tc>
          <w:tcPr>
            <w:tcW w:w="2164" w:type="dxa"/>
            <w:vAlign w:val="center"/>
          </w:tcPr>
          <w:p w:rsidR="006B4D8A" w:rsidRPr="00E20701" w:rsidRDefault="006B4D8A" w:rsidP="006B4D8A">
            <w:pPr>
              <w:spacing w:line="312" w:lineRule="auto"/>
              <w:jc w:val="left"/>
              <w:rPr>
                <w:rFonts w:cs="Arial"/>
                <w:szCs w:val="18"/>
                <w:u w:val="single"/>
                <w:lang w:val="en-GB"/>
              </w:rPr>
            </w:pPr>
            <w:r w:rsidRPr="00E20701">
              <w:rPr>
                <w:rStyle w:val="hps"/>
                <w:rFonts w:cs="Arial"/>
                <w:color w:val="222222"/>
                <w:szCs w:val="18"/>
                <w:lang w:val="en-GB"/>
              </w:rPr>
              <w:t>Aerial transportation</w:t>
            </w:r>
          </w:p>
        </w:tc>
        <w:tc>
          <w:tcPr>
            <w:tcW w:w="4585" w:type="dxa"/>
            <w:vAlign w:val="center"/>
          </w:tcPr>
          <w:p w:rsidR="006B4D8A" w:rsidRPr="00E20701" w:rsidRDefault="006B4D8A" w:rsidP="006B4D8A">
            <w:pPr>
              <w:spacing w:line="312" w:lineRule="auto"/>
              <w:jc w:val="left"/>
              <w:rPr>
                <w:rFonts w:cs="Arial"/>
                <w:szCs w:val="18"/>
                <w:lang w:val="en-GB"/>
              </w:rPr>
            </w:pPr>
            <w:r w:rsidRPr="00E20701">
              <w:rPr>
                <w:rStyle w:val="hps"/>
                <w:rFonts w:cs="Arial"/>
                <w:color w:val="222222"/>
                <w:szCs w:val="18"/>
                <w:lang w:val="en-GB"/>
              </w:rPr>
              <w:t>Number of</w:t>
            </w:r>
            <w:r w:rsidRPr="00E20701">
              <w:rPr>
                <w:rFonts w:cs="Arial"/>
                <w:color w:val="222222"/>
                <w:szCs w:val="18"/>
                <w:lang w:val="en-GB"/>
              </w:rPr>
              <w:t xml:space="preserve"> </w:t>
            </w:r>
            <w:r w:rsidRPr="00E20701">
              <w:rPr>
                <w:rStyle w:val="hps"/>
                <w:rFonts w:cs="Arial"/>
                <w:color w:val="222222"/>
                <w:szCs w:val="18"/>
                <w:lang w:val="en-GB"/>
              </w:rPr>
              <w:t>airports</w:t>
            </w:r>
            <w:r w:rsidRPr="00E20701">
              <w:rPr>
                <w:rFonts w:cs="Arial"/>
                <w:color w:val="222222"/>
                <w:szCs w:val="18"/>
                <w:lang w:val="en-GB"/>
              </w:rPr>
              <w:t xml:space="preserve"> </w:t>
            </w:r>
            <w:r w:rsidRPr="00E20701">
              <w:rPr>
                <w:rStyle w:val="hps"/>
                <w:rFonts w:cs="Arial"/>
                <w:color w:val="222222"/>
                <w:szCs w:val="18"/>
                <w:lang w:val="en-GB"/>
              </w:rPr>
              <w:t>around</w:t>
            </w:r>
            <w:r w:rsidRPr="00E20701">
              <w:rPr>
                <w:rFonts w:cs="Arial"/>
                <w:color w:val="222222"/>
                <w:szCs w:val="18"/>
                <w:lang w:val="en-GB"/>
              </w:rPr>
              <w:t xml:space="preserve"> </w:t>
            </w:r>
            <w:r w:rsidRPr="00E20701">
              <w:rPr>
                <w:rStyle w:val="hps"/>
                <w:rFonts w:cs="Arial"/>
                <w:color w:val="222222"/>
                <w:szCs w:val="18"/>
                <w:lang w:val="en-GB"/>
              </w:rPr>
              <w:t>the NPP</w:t>
            </w:r>
            <w:r w:rsidRPr="00E20701">
              <w:rPr>
                <w:rFonts w:cs="Arial"/>
                <w:color w:val="222222"/>
                <w:szCs w:val="18"/>
                <w:lang w:val="en-GB"/>
              </w:rPr>
              <w:t xml:space="preserve"> </w:t>
            </w:r>
            <w:r w:rsidRPr="00E20701">
              <w:rPr>
                <w:rStyle w:val="hps"/>
                <w:rFonts w:cs="Arial"/>
                <w:color w:val="222222"/>
                <w:szCs w:val="18"/>
                <w:lang w:val="en-GB"/>
              </w:rPr>
              <w:t>and position/orientation</w:t>
            </w:r>
            <w:r w:rsidRPr="00E20701">
              <w:rPr>
                <w:rFonts w:cs="Arial"/>
                <w:color w:val="222222"/>
                <w:szCs w:val="18"/>
                <w:lang w:val="en-GB"/>
              </w:rPr>
              <w:t xml:space="preserve"> </w:t>
            </w:r>
            <w:r w:rsidRPr="00E20701">
              <w:rPr>
                <w:rStyle w:val="hps"/>
                <w:rFonts w:cs="Arial"/>
                <w:color w:val="222222"/>
                <w:szCs w:val="18"/>
                <w:lang w:val="en-GB"/>
              </w:rPr>
              <w:t>of the runways</w:t>
            </w:r>
            <w:r w:rsidRPr="00E20701">
              <w:rPr>
                <w:rFonts w:cs="Arial"/>
                <w:color w:val="222222"/>
                <w:szCs w:val="18"/>
                <w:lang w:val="en-GB"/>
              </w:rPr>
              <w:t>.</w:t>
            </w:r>
            <w:r w:rsidRPr="00E20701">
              <w:rPr>
                <w:rFonts w:cs="Arial"/>
                <w:color w:val="222222"/>
                <w:szCs w:val="18"/>
                <w:lang w:val="en-GB"/>
              </w:rPr>
              <w:br/>
            </w:r>
            <w:r w:rsidRPr="00E20701">
              <w:rPr>
                <w:rStyle w:val="hps"/>
                <w:rFonts w:cs="Arial"/>
                <w:color w:val="222222"/>
                <w:szCs w:val="18"/>
                <w:lang w:val="en-GB"/>
              </w:rPr>
              <w:t>Number of</w:t>
            </w:r>
            <w:r w:rsidRPr="00E20701">
              <w:rPr>
                <w:rFonts w:cs="Arial"/>
                <w:color w:val="222222"/>
                <w:szCs w:val="18"/>
                <w:lang w:val="en-GB"/>
              </w:rPr>
              <w:t xml:space="preserve"> </w:t>
            </w:r>
            <w:r w:rsidRPr="00E20701">
              <w:rPr>
                <w:rStyle w:val="hps"/>
                <w:rFonts w:cs="Arial"/>
                <w:color w:val="222222"/>
                <w:szCs w:val="18"/>
                <w:lang w:val="en-GB"/>
              </w:rPr>
              <w:t>aircraft categories</w:t>
            </w:r>
            <w:r w:rsidRPr="00E20701">
              <w:rPr>
                <w:rFonts w:cs="Arial"/>
                <w:color w:val="222222"/>
                <w:szCs w:val="18"/>
                <w:lang w:val="en-GB"/>
              </w:rPr>
              <w:t>.</w:t>
            </w:r>
            <w:r w:rsidRPr="00E20701">
              <w:rPr>
                <w:rFonts w:cs="Arial"/>
                <w:color w:val="222222"/>
                <w:szCs w:val="18"/>
                <w:lang w:val="en-GB"/>
              </w:rPr>
              <w:br/>
            </w:r>
            <w:r w:rsidRPr="00E20701">
              <w:rPr>
                <w:rStyle w:val="hps"/>
                <w:rFonts w:cs="Arial"/>
                <w:color w:val="222222"/>
                <w:szCs w:val="18"/>
                <w:lang w:val="en-GB"/>
              </w:rPr>
              <w:t>Number of flights in</w:t>
            </w:r>
            <w:r w:rsidRPr="00E20701">
              <w:rPr>
                <w:rFonts w:cs="Arial"/>
                <w:color w:val="222222"/>
                <w:szCs w:val="18"/>
                <w:lang w:val="en-GB"/>
              </w:rPr>
              <w:t xml:space="preserve"> </w:t>
            </w:r>
            <w:r w:rsidRPr="00E20701">
              <w:rPr>
                <w:rStyle w:val="hps"/>
                <w:rFonts w:cs="Arial"/>
                <w:color w:val="222222"/>
                <w:szCs w:val="18"/>
                <w:lang w:val="en-GB"/>
              </w:rPr>
              <w:t>each category.</w:t>
            </w:r>
            <w:r w:rsidRPr="00E20701">
              <w:rPr>
                <w:rFonts w:cs="Arial"/>
                <w:color w:val="222222"/>
                <w:szCs w:val="18"/>
                <w:lang w:val="en-GB"/>
              </w:rPr>
              <w:br/>
            </w:r>
            <w:r w:rsidRPr="00E20701">
              <w:rPr>
                <w:rStyle w:val="hps"/>
                <w:rFonts w:cs="Arial"/>
                <w:color w:val="222222"/>
                <w:szCs w:val="18"/>
                <w:lang w:val="en-GB"/>
              </w:rPr>
              <w:t>Air corridors</w:t>
            </w:r>
            <w:r w:rsidRPr="00E20701">
              <w:rPr>
                <w:rFonts w:cs="Arial"/>
                <w:color w:val="222222"/>
                <w:szCs w:val="18"/>
                <w:lang w:val="en-GB"/>
              </w:rPr>
              <w:t xml:space="preserve"> </w:t>
            </w:r>
            <w:r w:rsidRPr="00E20701">
              <w:rPr>
                <w:rStyle w:val="hps"/>
                <w:rFonts w:cs="Arial"/>
                <w:color w:val="222222"/>
                <w:szCs w:val="18"/>
                <w:lang w:val="en-GB"/>
              </w:rPr>
              <w:t>in the vicinity</w:t>
            </w:r>
            <w:r w:rsidRPr="00E20701">
              <w:rPr>
                <w:rFonts w:cs="Arial"/>
                <w:color w:val="222222"/>
                <w:szCs w:val="18"/>
                <w:lang w:val="en-GB"/>
              </w:rPr>
              <w:t xml:space="preserve"> </w:t>
            </w:r>
            <w:r w:rsidRPr="00E20701">
              <w:rPr>
                <w:rStyle w:val="hps"/>
                <w:rFonts w:cs="Arial"/>
                <w:color w:val="222222"/>
                <w:szCs w:val="18"/>
                <w:lang w:val="en-GB"/>
              </w:rPr>
              <w:t>of the NPP</w:t>
            </w:r>
            <w:r w:rsidRPr="00E20701">
              <w:rPr>
                <w:rFonts w:cs="Arial"/>
                <w:color w:val="222222"/>
                <w:szCs w:val="18"/>
                <w:lang w:val="en-GB"/>
              </w:rPr>
              <w:t>.</w:t>
            </w:r>
            <w:r w:rsidRPr="00E20701">
              <w:rPr>
                <w:rFonts w:cs="Arial"/>
                <w:color w:val="222222"/>
                <w:szCs w:val="18"/>
                <w:lang w:val="en-GB"/>
              </w:rPr>
              <w:br/>
            </w:r>
            <w:r w:rsidRPr="00E20701">
              <w:rPr>
                <w:rStyle w:val="hps"/>
                <w:rFonts w:cs="Arial"/>
                <w:color w:val="222222"/>
                <w:szCs w:val="18"/>
                <w:lang w:val="en-GB"/>
              </w:rPr>
              <w:t>Size of</w:t>
            </w:r>
            <w:r w:rsidRPr="00E20701">
              <w:rPr>
                <w:rFonts w:cs="Arial"/>
                <w:color w:val="222222"/>
                <w:szCs w:val="18"/>
                <w:lang w:val="en-GB"/>
              </w:rPr>
              <w:t xml:space="preserve"> </w:t>
            </w:r>
            <w:r w:rsidRPr="00E20701">
              <w:rPr>
                <w:rStyle w:val="hps"/>
                <w:rFonts w:cs="Arial"/>
                <w:color w:val="222222"/>
                <w:szCs w:val="18"/>
                <w:lang w:val="en-GB"/>
              </w:rPr>
              <w:t>the effective area</w:t>
            </w:r>
            <w:r w:rsidRPr="00E20701">
              <w:rPr>
                <w:rFonts w:cs="Arial"/>
                <w:color w:val="222222"/>
                <w:szCs w:val="18"/>
                <w:lang w:val="en-GB"/>
              </w:rPr>
              <w:t xml:space="preserve"> </w:t>
            </w:r>
            <w:r w:rsidRPr="00E20701">
              <w:rPr>
                <w:rStyle w:val="hps"/>
                <w:rFonts w:cs="Arial"/>
                <w:color w:val="222222"/>
                <w:szCs w:val="18"/>
                <w:lang w:val="en-GB"/>
              </w:rPr>
              <w:t>in relation to the</w:t>
            </w:r>
            <w:r w:rsidRPr="00E20701">
              <w:rPr>
                <w:rFonts w:cs="Arial"/>
                <w:color w:val="222222"/>
                <w:szCs w:val="18"/>
                <w:lang w:val="en-GB"/>
              </w:rPr>
              <w:t xml:space="preserve"> </w:t>
            </w:r>
            <w:r w:rsidRPr="00E20701">
              <w:rPr>
                <w:rStyle w:val="hps"/>
                <w:rFonts w:cs="Arial"/>
                <w:color w:val="222222"/>
                <w:szCs w:val="18"/>
                <w:lang w:val="en-GB"/>
              </w:rPr>
              <w:t>NPP</w:t>
            </w:r>
            <w:r w:rsidRPr="00E20701">
              <w:rPr>
                <w:rFonts w:cs="Arial"/>
                <w:color w:val="222222"/>
                <w:szCs w:val="18"/>
                <w:lang w:val="en-GB"/>
              </w:rPr>
              <w:t>.</w:t>
            </w:r>
          </w:p>
        </w:tc>
        <w:tc>
          <w:tcPr>
            <w:tcW w:w="2598" w:type="dxa"/>
            <w:vAlign w:val="center"/>
          </w:tcPr>
          <w:p w:rsidR="006B4D8A" w:rsidRPr="004B3DA1" w:rsidRDefault="006B4D8A" w:rsidP="004B3DA1">
            <w:pPr>
              <w:spacing w:line="312" w:lineRule="auto"/>
              <w:jc w:val="left"/>
              <w:rPr>
                <w:lang w:val="nl-BE"/>
              </w:rPr>
            </w:pPr>
            <w:r w:rsidRPr="004B3DA1">
              <w:rPr>
                <w:lang w:val="nl-BE"/>
              </w:rPr>
              <w:t>35 km (DOE)</w:t>
            </w:r>
          </w:p>
          <w:p w:rsidR="006B4D8A" w:rsidRPr="004B3DA1" w:rsidRDefault="006B4D8A" w:rsidP="004B3DA1">
            <w:pPr>
              <w:spacing w:line="312" w:lineRule="auto"/>
              <w:jc w:val="left"/>
              <w:rPr>
                <w:lang w:val="nl-BE"/>
              </w:rPr>
            </w:pPr>
            <w:r w:rsidRPr="004B3DA1">
              <w:rPr>
                <w:lang w:val="nl-BE"/>
              </w:rPr>
              <w:t>10 km + SDV (IAEA)</w:t>
            </w:r>
          </w:p>
          <w:p w:rsidR="006B4D8A" w:rsidRPr="00E20701" w:rsidRDefault="006B4D8A" w:rsidP="004B3DA1">
            <w:pPr>
              <w:spacing w:line="312" w:lineRule="auto"/>
              <w:jc w:val="left"/>
              <w:rPr>
                <w:rFonts w:cs="Arial"/>
                <w:szCs w:val="18"/>
                <w:lang w:val="en-GB"/>
              </w:rPr>
            </w:pPr>
            <w:r w:rsidRPr="00E20701">
              <w:rPr>
                <w:rFonts w:cs="Arial"/>
                <w:szCs w:val="18"/>
                <w:lang w:val="en-GB"/>
              </w:rPr>
              <w:t>SDV - Screening distance value</w:t>
            </w:r>
          </w:p>
        </w:tc>
      </w:tr>
      <w:tr w:rsidR="006B4D8A" w:rsidRPr="00E20701" w:rsidTr="006B4D8A">
        <w:trPr>
          <w:jc w:val="center"/>
        </w:trPr>
        <w:tc>
          <w:tcPr>
            <w:tcW w:w="2645" w:type="dxa"/>
            <w:gridSpan w:val="2"/>
          </w:tcPr>
          <w:p w:rsidR="006B4D8A" w:rsidRPr="00E20701" w:rsidRDefault="006B4D8A" w:rsidP="006B4D8A">
            <w:pPr>
              <w:spacing w:line="312" w:lineRule="auto"/>
              <w:jc w:val="left"/>
              <w:rPr>
                <w:rFonts w:cs="Arial"/>
                <w:szCs w:val="18"/>
                <w:u w:val="single"/>
                <w:lang w:val="en-GB"/>
              </w:rPr>
            </w:pPr>
            <w:r w:rsidRPr="00E20701">
              <w:rPr>
                <w:rStyle w:val="hps"/>
                <w:rFonts w:cs="Arial"/>
                <w:color w:val="222222"/>
                <w:szCs w:val="18"/>
                <w:lang w:val="en-GB"/>
              </w:rPr>
              <w:t>Accident of industrial plants</w:t>
            </w:r>
            <w:r w:rsidRPr="00E20701">
              <w:rPr>
                <w:rFonts w:cs="Arial"/>
                <w:szCs w:val="18"/>
                <w:u w:val="single"/>
                <w:lang w:val="en-GB"/>
              </w:rPr>
              <w:t xml:space="preserve"> </w:t>
            </w:r>
          </w:p>
        </w:tc>
        <w:tc>
          <w:tcPr>
            <w:tcW w:w="4585" w:type="dxa"/>
          </w:tcPr>
          <w:p w:rsidR="006B4D8A" w:rsidRPr="00E20701" w:rsidRDefault="006B4D8A" w:rsidP="006B4D8A">
            <w:pPr>
              <w:spacing w:line="312" w:lineRule="auto"/>
              <w:jc w:val="left"/>
              <w:rPr>
                <w:rFonts w:cs="Arial"/>
                <w:szCs w:val="18"/>
                <w:lang w:val="en-GB"/>
              </w:rPr>
            </w:pPr>
          </w:p>
        </w:tc>
        <w:tc>
          <w:tcPr>
            <w:tcW w:w="2598" w:type="dxa"/>
          </w:tcPr>
          <w:p w:rsidR="006B4D8A" w:rsidRPr="00E20701" w:rsidRDefault="006B4D8A" w:rsidP="006B4D8A">
            <w:pPr>
              <w:spacing w:line="312" w:lineRule="auto"/>
              <w:jc w:val="center"/>
              <w:rPr>
                <w:rFonts w:cs="Arial"/>
                <w:szCs w:val="18"/>
                <w:lang w:val="en-GB"/>
              </w:rPr>
            </w:pPr>
          </w:p>
        </w:tc>
      </w:tr>
      <w:tr w:rsidR="00015AF0" w:rsidRPr="00E20701" w:rsidTr="00F10899">
        <w:trPr>
          <w:trHeight w:val="713"/>
          <w:jc w:val="center"/>
        </w:trPr>
        <w:tc>
          <w:tcPr>
            <w:tcW w:w="481" w:type="dxa"/>
            <w:vAlign w:val="center"/>
          </w:tcPr>
          <w:p w:rsidR="006B4D8A" w:rsidRPr="00E20701" w:rsidRDefault="006B4D8A" w:rsidP="004B3DA1">
            <w:pPr>
              <w:spacing w:line="312" w:lineRule="auto"/>
              <w:jc w:val="left"/>
              <w:rPr>
                <w:rFonts w:cs="Arial"/>
                <w:szCs w:val="18"/>
                <w:lang w:val="en-GB"/>
              </w:rPr>
            </w:pPr>
            <w:r w:rsidRPr="00E20701">
              <w:rPr>
                <w:rFonts w:cs="Arial"/>
                <w:szCs w:val="18"/>
                <w:lang w:val="en-GB"/>
              </w:rPr>
              <w:t>a)</w:t>
            </w:r>
          </w:p>
        </w:tc>
        <w:tc>
          <w:tcPr>
            <w:tcW w:w="2164" w:type="dxa"/>
            <w:vAlign w:val="center"/>
          </w:tcPr>
          <w:p w:rsidR="006B4D8A" w:rsidRPr="00E20701" w:rsidRDefault="006B4D8A" w:rsidP="006B4D8A">
            <w:pPr>
              <w:spacing w:line="312" w:lineRule="auto"/>
              <w:jc w:val="left"/>
              <w:rPr>
                <w:rFonts w:cs="Arial"/>
                <w:szCs w:val="18"/>
                <w:u w:val="single"/>
                <w:lang w:val="en-GB"/>
              </w:rPr>
            </w:pPr>
            <w:r w:rsidRPr="00E20701">
              <w:rPr>
                <w:rStyle w:val="hps"/>
                <w:rFonts w:cs="Arial"/>
                <w:color w:val="222222"/>
                <w:szCs w:val="18"/>
                <w:lang w:val="en-GB"/>
              </w:rPr>
              <w:t>Data on industrial plants</w:t>
            </w:r>
            <w:r w:rsidRPr="00E20701">
              <w:rPr>
                <w:rFonts w:cs="Arial"/>
                <w:szCs w:val="18"/>
                <w:u w:val="single"/>
                <w:lang w:val="en-GB"/>
              </w:rPr>
              <w:t xml:space="preserve"> </w:t>
            </w:r>
          </w:p>
        </w:tc>
        <w:tc>
          <w:tcPr>
            <w:tcW w:w="4585" w:type="dxa"/>
            <w:vAlign w:val="center"/>
          </w:tcPr>
          <w:p w:rsidR="006B4D8A" w:rsidRPr="00E20701" w:rsidRDefault="006B4D8A" w:rsidP="006B4D8A">
            <w:pPr>
              <w:spacing w:line="312" w:lineRule="auto"/>
              <w:jc w:val="left"/>
              <w:rPr>
                <w:rFonts w:cs="Arial"/>
                <w:szCs w:val="18"/>
                <w:lang w:val="en-GB"/>
              </w:rPr>
            </w:pPr>
            <w:r w:rsidRPr="00E20701">
              <w:rPr>
                <w:rStyle w:val="hps"/>
                <w:rFonts w:cs="Arial"/>
                <w:color w:val="222222"/>
                <w:szCs w:val="18"/>
                <w:lang w:val="en-GB"/>
              </w:rPr>
              <w:t>The type and quantity</w:t>
            </w:r>
            <w:r w:rsidRPr="00E20701">
              <w:rPr>
                <w:rFonts w:cs="Arial"/>
                <w:color w:val="222222"/>
                <w:szCs w:val="18"/>
                <w:lang w:val="en-GB"/>
              </w:rPr>
              <w:t xml:space="preserve"> </w:t>
            </w:r>
            <w:r w:rsidRPr="00E20701">
              <w:rPr>
                <w:rStyle w:val="hps"/>
                <w:rFonts w:cs="Arial"/>
                <w:color w:val="222222"/>
                <w:szCs w:val="18"/>
                <w:lang w:val="en-GB"/>
              </w:rPr>
              <w:t>of stored</w:t>
            </w:r>
            <w:r w:rsidRPr="00E20701">
              <w:rPr>
                <w:rFonts w:cs="Arial"/>
                <w:color w:val="222222"/>
                <w:szCs w:val="18"/>
                <w:lang w:val="en-GB"/>
              </w:rPr>
              <w:t xml:space="preserve"> </w:t>
            </w:r>
            <w:r w:rsidRPr="00E20701">
              <w:rPr>
                <w:rStyle w:val="hps"/>
                <w:rFonts w:cs="Arial"/>
                <w:color w:val="222222"/>
                <w:szCs w:val="18"/>
                <w:lang w:val="en-GB"/>
              </w:rPr>
              <w:t>hazardous substances</w:t>
            </w:r>
            <w:r w:rsidRPr="00E20701">
              <w:rPr>
                <w:rFonts w:cs="Arial"/>
                <w:color w:val="222222"/>
                <w:szCs w:val="18"/>
                <w:lang w:val="en-GB"/>
              </w:rPr>
              <w:t xml:space="preserve">. The </w:t>
            </w:r>
            <w:r w:rsidRPr="00E20701">
              <w:rPr>
                <w:rStyle w:val="hps"/>
                <w:rFonts w:cs="Arial"/>
                <w:color w:val="222222"/>
                <w:szCs w:val="18"/>
                <w:lang w:val="en-GB"/>
              </w:rPr>
              <w:t>accident scenarios.</w:t>
            </w:r>
          </w:p>
          <w:p w:rsidR="006B4D8A" w:rsidRPr="00E20701" w:rsidRDefault="006B4D8A" w:rsidP="006B4D8A">
            <w:pPr>
              <w:spacing w:line="312" w:lineRule="auto"/>
              <w:jc w:val="left"/>
              <w:rPr>
                <w:rFonts w:cs="Arial"/>
                <w:szCs w:val="18"/>
                <w:lang w:val="en-GB"/>
              </w:rPr>
            </w:pPr>
          </w:p>
        </w:tc>
        <w:tc>
          <w:tcPr>
            <w:tcW w:w="2598" w:type="dxa"/>
            <w:vAlign w:val="center"/>
          </w:tcPr>
          <w:p w:rsidR="006B4D8A" w:rsidRPr="00E20701" w:rsidRDefault="006B4D8A" w:rsidP="00E62976">
            <w:pPr>
              <w:numPr>
                <w:ilvl w:val="0"/>
                <w:numId w:val="27"/>
              </w:numPr>
              <w:spacing w:line="312" w:lineRule="auto"/>
              <w:jc w:val="left"/>
              <w:rPr>
                <w:rFonts w:cs="Arial"/>
                <w:szCs w:val="18"/>
                <w:lang w:val="en-GB"/>
              </w:rPr>
            </w:pPr>
            <w:r w:rsidRPr="00E20701">
              <w:rPr>
                <w:rFonts w:cs="Arial"/>
                <w:szCs w:val="18"/>
                <w:lang w:val="en-GB"/>
              </w:rPr>
              <w:t>km</w:t>
            </w:r>
          </w:p>
        </w:tc>
      </w:tr>
    </w:tbl>
    <w:p w:rsidR="006B4D8A" w:rsidRPr="00E20701" w:rsidRDefault="006B4D8A" w:rsidP="004B3DA1">
      <w:pPr>
        <w:spacing w:before="240" w:line="312" w:lineRule="auto"/>
        <w:rPr>
          <w:rFonts w:cs="Arial"/>
          <w:lang w:val="en-GB"/>
        </w:rPr>
      </w:pPr>
      <w:r w:rsidRPr="00E20701">
        <w:rPr>
          <w:rFonts w:cs="Arial"/>
          <w:lang w:val="en-GB"/>
        </w:rPr>
        <w:t>The Gumbel distribution (50-SG-S11A</w:t>
      </w:r>
      <w:r w:rsidR="003734EF" w:rsidRPr="00E20701">
        <w:rPr>
          <w:rFonts w:cs="Arial"/>
          <w:lang w:val="en-GB"/>
        </w:rPr>
        <w:t xml:space="preserve"> </w:t>
      </w:r>
      <w:r w:rsidR="00B36421">
        <w:rPr>
          <w:rFonts w:cs="Arial"/>
          <w:lang w:val="en-GB"/>
        </w:rPr>
        <w:fldChar w:fldCharType="begin"/>
      </w:r>
      <w:r w:rsidR="00B36421">
        <w:rPr>
          <w:rFonts w:cs="Arial"/>
          <w:lang w:val="en-GB"/>
        </w:rPr>
        <w:instrText xml:space="preserve"> REF _Ref413237730 \w \h </w:instrText>
      </w:r>
      <w:r w:rsidR="00B36421">
        <w:rPr>
          <w:rFonts w:cs="Arial"/>
          <w:lang w:val="en-GB"/>
        </w:rPr>
      </w:r>
      <w:r w:rsidR="00B36421">
        <w:rPr>
          <w:rFonts w:cs="Arial"/>
          <w:lang w:val="en-GB"/>
        </w:rPr>
        <w:fldChar w:fldCharType="separate"/>
      </w:r>
      <w:r w:rsidR="00E62976">
        <w:rPr>
          <w:rFonts w:cs="Arial"/>
          <w:lang w:val="en-GB"/>
        </w:rPr>
        <w:t>[61]</w:t>
      </w:r>
      <w:r w:rsidR="00B36421">
        <w:rPr>
          <w:rFonts w:cs="Arial"/>
          <w:lang w:val="en-GB"/>
        </w:rPr>
        <w:fldChar w:fldCharType="end"/>
      </w:r>
      <w:r w:rsidRPr="00E20701">
        <w:rPr>
          <w:rFonts w:cs="Arial"/>
          <w:lang w:val="en-GB"/>
        </w:rPr>
        <w:t xml:space="preserve">) has been used for statistical evaluation of frequency of occurrence of high impact / low probability events. Only 3 external events </w:t>
      </w:r>
      <w:r w:rsidRPr="00E20701">
        <w:rPr>
          <w:rStyle w:val="hps"/>
          <w:rFonts w:cs="Arial"/>
          <w:color w:val="222222"/>
          <w:lang w:val="en-GB"/>
        </w:rPr>
        <w:t xml:space="preserve">were excluded by frequency from the original list of 70 external events </w:t>
      </w:r>
      <w:r w:rsidRPr="00E20701">
        <w:rPr>
          <w:rFonts w:cs="Arial"/>
          <w:lang w:val="en-GB"/>
        </w:rPr>
        <w:t>during the quantitative screening phase.</w:t>
      </w:r>
    </w:p>
    <w:p w:rsidR="006B4D8A" w:rsidRPr="00E20701" w:rsidRDefault="006B4D8A" w:rsidP="006B4D8A">
      <w:pPr>
        <w:spacing w:line="312" w:lineRule="auto"/>
        <w:rPr>
          <w:rFonts w:cs="Arial"/>
          <w:lang w:val="en-GB"/>
        </w:rPr>
      </w:pPr>
      <w:r w:rsidRPr="00E20701">
        <w:rPr>
          <w:rFonts w:cs="Arial"/>
          <w:color w:val="222222"/>
          <w:lang w:val="en-GB"/>
        </w:rPr>
        <w:t xml:space="preserve">The overall screening process resulted in a final list of </w:t>
      </w:r>
      <w:r w:rsidRPr="00E20701">
        <w:rPr>
          <w:rStyle w:val="hps"/>
          <w:rFonts w:cs="Arial"/>
          <w:color w:val="222222"/>
          <w:lang w:val="en-GB"/>
        </w:rPr>
        <w:t>19</w:t>
      </w:r>
      <w:r w:rsidRPr="00E20701">
        <w:rPr>
          <w:rFonts w:cs="Arial"/>
          <w:color w:val="222222"/>
          <w:lang w:val="en-GB"/>
        </w:rPr>
        <w:t xml:space="preserve"> </w:t>
      </w:r>
      <w:r w:rsidRPr="00E20701">
        <w:rPr>
          <w:rStyle w:val="hps"/>
          <w:rFonts w:cs="Arial"/>
          <w:color w:val="222222"/>
          <w:lang w:val="en-GB"/>
        </w:rPr>
        <w:t>external events determined for further detailed analysis as a part of PSA for Dukovany NPP.</w:t>
      </w:r>
    </w:p>
    <w:p w:rsidR="006B4D8A" w:rsidRPr="00E20701" w:rsidRDefault="006B4D8A" w:rsidP="006B4D8A">
      <w:pPr>
        <w:spacing w:before="240" w:after="240" w:line="312" w:lineRule="auto"/>
        <w:rPr>
          <w:rFonts w:cs="Arial"/>
          <w:lang w:val="en-GB"/>
        </w:rPr>
      </w:pPr>
      <w:r w:rsidRPr="00E20701">
        <w:rPr>
          <w:rStyle w:val="hps"/>
          <w:rFonts w:cs="Arial"/>
          <w:color w:val="222222"/>
          <w:lang w:val="en-GB"/>
        </w:rPr>
        <w:t>Acc. c2) Assessment of the hazard parameters of</w:t>
      </w:r>
      <w:r w:rsidRPr="00E20701">
        <w:rPr>
          <w:rStyle w:val="shorttext"/>
          <w:rFonts w:cs="Arial"/>
          <w:color w:val="222222"/>
          <w:lang w:val="en-GB"/>
        </w:rPr>
        <w:t xml:space="preserve"> the </w:t>
      </w:r>
      <w:r w:rsidRPr="00E20701">
        <w:rPr>
          <w:rStyle w:val="hps"/>
          <w:rFonts w:cs="Arial"/>
          <w:color w:val="222222"/>
          <w:lang w:val="en-GB"/>
        </w:rPr>
        <w:t>external events was</w:t>
      </w:r>
      <w:r w:rsidRPr="00E20701">
        <w:rPr>
          <w:rFonts w:cs="Arial"/>
          <w:color w:val="222222"/>
          <w:lang w:val="en-GB"/>
        </w:rPr>
        <w:t xml:space="preserve"> </w:t>
      </w:r>
      <w:r w:rsidRPr="00E20701">
        <w:rPr>
          <w:rStyle w:val="hps"/>
          <w:rFonts w:cs="Arial"/>
          <w:color w:val="222222"/>
          <w:lang w:val="en-GB"/>
        </w:rPr>
        <w:t>based on the following</w:t>
      </w:r>
      <w:r w:rsidRPr="00E20701">
        <w:rPr>
          <w:rStyle w:val="shorttext"/>
          <w:rFonts w:cs="Arial"/>
          <w:color w:val="222222"/>
          <w:lang w:val="en-GB"/>
        </w:rPr>
        <w:t xml:space="preserve"> </w:t>
      </w:r>
      <w:r w:rsidRPr="00E20701">
        <w:rPr>
          <w:rStyle w:val="hps"/>
          <w:rFonts w:cs="Arial"/>
          <w:color w:val="222222"/>
          <w:lang w:val="en-GB"/>
        </w:rPr>
        <w:t>criteria:</w:t>
      </w:r>
    </w:p>
    <w:p w:rsidR="006B4D8A" w:rsidRPr="00E20701" w:rsidRDefault="006B4D8A" w:rsidP="00E62976">
      <w:pPr>
        <w:numPr>
          <w:ilvl w:val="0"/>
          <w:numId w:val="29"/>
        </w:numPr>
        <w:spacing w:before="240" w:after="240" w:line="312" w:lineRule="auto"/>
        <w:rPr>
          <w:rStyle w:val="hps"/>
          <w:rFonts w:cs="Arial"/>
          <w:lang w:val="en-GB"/>
        </w:rPr>
      </w:pPr>
      <w:r w:rsidRPr="00E20701">
        <w:rPr>
          <w:rStyle w:val="hps"/>
          <w:rFonts w:cs="Arial"/>
          <w:color w:val="222222"/>
          <w:lang w:val="en-GB"/>
        </w:rPr>
        <w:t>Any hazard</w:t>
      </w:r>
      <w:r w:rsidRPr="00E20701">
        <w:rPr>
          <w:rFonts w:cs="Arial"/>
          <w:color w:val="222222"/>
          <w:lang w:val="en-GB"/>
        </w:rPr>
        <w:t xml:space="preserve"> </w:t>
      </w:r>
      <w:r w:rsidRPr="00E20701">
        <w:rPr>
          <w:rStyle w:val="hps"/>
          <w:rFonts w:cs="Arial"/>
          <w:color w:val="222222"/>
          <w:lang w:val="en-GB"/>
        </w:rPr>
        <w:t>is a feature of process</w:t>
      </w:r>
      <w:r w:rsidRPr="00E20701">
        <w:rPr>
          <w:rFonts w:cs="Arial"/>
          <w:color w:val="222222"/>
          <w:lang w:val="en-GB"/>
        </w:rPr>
        <w:t xml:space="preserve"> </w:t>
      </w:r>
      <w:r w:rsidRPr="00E20701">
        <w:rPr>
          <w:rStyle w:val="hps"/>
          <w:rFonts w:cs="Arial"/>
          <w:color w:val="222222"/>
          <w:lang w:val="en-GB"/>
        </w:rPr>
        <w:t>or phenomenon,</w:t>
      </w:r>
      <w:r w:rsidRPr="00E20701">
        <w:rPr>
          <w:rFonts w:cs="Arial"/>
          <w:color w:val="222222"/>
          <w:lang w:val="en-GB"/>
        </w:rPr>
        <w:t xml:space="preserve"> </w:t>
      </w:r>
      <w:r w:rsidRPr="00E20701">
        <w:rPr>
          <w:rStyle w:val="hps"/>
          <w:rFonts w:cs="Arial"/>
          <w:color w:val="222222"/>
          <w:lang w:val="en-GB"/>
        </w:rPr>
        <w:t>as a result of</w:t>
      </w:r>
      <w:r w:rsidRPr="00E20701">
        <w:rPr>
          <w:rFonts w:cs="Arial"/>
          <w:color w:val="222222"/>
          <w:lang w:val="en-GB"/>
        </w:rPr>
        <w:t xml:space="preserve"> </w:t>
      </w:r>
      <w:r w:rsidRPr="00E20701">
        <w:rPr>
          <w:rStyle w:val="hps"/>
          <w:rFonts w:cs="Arial"/>
          <w:color w:val="222222"/>
          <w:lang w:val="en-GB"/>
        </w:rPr>
        <w:t>formation of</w:t>
      </w:r>
      <w:r w:rsidRPr="00E20701">
        <w:rPr>
          <w:rFonts w:cs="Arial"/>
          <w:color w:val="222222"/>
          <w:lang w:val="en-GB"/>
        </w:rPr>
        <w:t xml:space="preserve"> </w:t>
      </w:r>
      <w:r w:rsidRPr="00E20701">
        <w:rPr>
          <w:rStyle w:val="hps"/>
          <w:rFonts w:cs="Arial"/>
          <w:color w:val="222222"/>
          <w:lang w:val="en-GB"/>
        </w:rPr>
        <w:t>an external event</w:t>
      </w:r>
      <w:r w:rsidRPr="00E20701">
        <w:rPr>
          <w:rFonts w:cs="Arial"/>
          <w:color w:val="222222"/>
          <w:lang w:val="en-GB"/>
        </w:rPr>
        <w:t>.</w:t>
      </w:r>
    </w:p>
    <w:p w:rsidR="006B4D8A" w:rsidRPr="00E20701" w:rsidRDefault="006B4D8A" w:rsidP="00E62976">
      <w:pPr>
        <w:numPr>
          <w:ilvl w:val="0"/>
          <w:numId w:val="29"/>
        </w:numPr>
        <w:spacing w:before="240" w:after="240" w:line="312" w:lineRule="auto"/>
        <w:rPr>
          <w:rStyle w:val="hps"/>
          <w:rFonts w:cs="Arial"/>
          <w:lang w:val="en-GB"/>
        </w:rPr>
      </w:pPr>
      <w:r w:rsidRPr="00E20701">
        <w:rPr>
          <w:rStyle w:val="hps"/>
          <w:rFonts w:cs="Arial"/>
          <w:color w:val="222222"/>
          <w:lang w:val="en-GB"/>
        </w:rPr>
        <w:t>Any external</w:t>
      </w:r>
      <w:r w:rsidRPr="00E20701">
        <w:rPr>
          <w:rFonts w:cs="Arial"/>
          <w:color w:val="222222"/>
          <w:lang w:val="en-GB"/>
        </w:rPr>
        <w:t xml:space="preserve"> </w:t>
      </w:r>
      <w:r w:rsidRPr="00E20701">
        <w:rPr>
          <w:rStyle w:val="hps"/>
          <w:rFonts w:cs="Arial"/>
          <w:color w:val="222222"/>
          <w:lang w:val="en-GB"/>
        </w:rPr>
        <w:t>event</w:t>
      </w:r>
      <w:r w:rsidRPr="00E20701">
        <w:rPr>
          <w:rFonts w:cs="Arial"/>
          <w:color w:val="222222"/>
          <w:lang w:val="en-GB"/>
        </w:rPr>
        <w:t xml:space="preserve"> </w:t>
      </w:r>
      <w:r w:rsidRPr="00E20701">
        <w:rPr>
          <w:rStyle w:val="hps"/>
          <w:rFonts w:cs="Arial"/>
          <w:color w:val="222222"/>
          <w:lang w:val="en-GB"/>
        </w:rPr>
        <w:t>may be associated with multiple</w:t>
      </w:r>
      <w:r w:rsidRPr="00E20701">
        <w:rPr>
          <w:rFonts w:cs="Arial"/>
          <w:color w:val="222222"/>
          <w:lang w:val="en-GB"/>
        </w:rPr>
        <w:t xml:space="preserve"> </w:t>
      </w:r>
      <w:r w:rsidRPr="00E20701">
        <w:rPr>
          <w:rStyle w:val="hps"/>
          <w:rFonts w:cs="Arial"/>
          <w:color w:val="222222"/>
          <w:lang w:val="en-GB"/>
        </w:rPr>
        <w:t>hazards. For example,</w:t>
      </w:r>
      <w:r w:rsidRPr="00E20701">
        <w:rPr>
          <w:rFonts w:cs="Arial"/>
          <w:color w:val="222222"/>
          <w:lang w:val="en-GB"/>
        </w:rPr>
        <w:t xml:space="preserve"> </w:t>
      </w:r>
      <w:r w:rsidRPr="00E20701">
        <w:rPr>
          <w:rStyle w:val="hps"/>
          <w:rFonts w:cs="Arial"/>
          <w:color w:val="222222"/>
          <w:lang w:val="en-GB"/>
        </w:rPr>
        <w:t>a flood</w:t>
      </w:r>
      <w:r w:rsidRPr="00E20701">
        <w:rPr>
          <w:rFonts w:cs="Arial"/>
          <w:color w:val="222222"/>
          <w:lang w:val="en-GB"/>
        </w:rPr>
        <w:t xml:space="preserve"> </w:t>
      </w:r>
      <w:r w:rsidRPr="00E20701">
        <w:rPr>
          <w:rStyle w:val="hps"/>
          <w:rFonts w:cs="Arial"/>
          <w:color w:val="222222"/>
          <w:lang w:val="en-GB"/>
        </w:rPr>
        <w:t>wave (external event)</w:t>
      </w:r>
      <w:r w:rsidRPr="00E20701">
        <w:rPr>
          <w:rFonts w:cs="Arial"/>
          <w:color w:val="222222"/>
          <w:lang w:val="en-GB"/>
        </w:rPr>
        <w:t xml:space="preserve"> </w:t>
      </w:r>
      <w:r w:rsidRPr="00E20701">
        <w:rPr>
          <w:rStyle w:val="hps"/>
          <w:rFonts w:cs="Arial"/>
          <w:color w:val="222222"/>
          <w:lang w:val="en-GB"/>
        </w:rPr>
        <w:t>may be associated with</w:t>
      </w:r>
      <w:r w:rsidRPr="00E20701">
        <w:rPr>
          <w:rFonts w:cs="Arial"/>
          <w:color w:val="222222"/>
          <w:lang w:val="en-GB"/>
        </w:rPr>
        <w:t xml:space="preserve"> </w:t>
      </w:r>
      <w:r w:rsidRPr="00E20701">
        <w:rPr>
          <w:rStyle w:val="hps"/>
          <w:rFonts w:cs="Arial"/>
          <w:color w:val="222222"/>
          <w:lang w:val="en-GB"/>
        </w:rPr>
        <w:t>the following</w:t>
      </w:r>
      <w:r w:rsidRPr="00E20701">
        <w:rPr>
          <w:rFonts w:cs="Arial"/>
          <w:color w:val="222222"/>
          <w:lang w:val="en-GB"/>
        </w:rPr>
        <w:t xml:space="preserve"> </w:t>
      </w:r>
      <w:r w:rsidRPr="00E20701">
        <w:rPr>
          <w:rStyle w:val="hps"/>
          <w:rFonts w:cs="Arial"/>
          <w:color w:val="222222"/>
          <w:lang w:val="en-GB"/>
        </w:rPr>
        <w:t xml:space="preserve">hazards: </w:t>
      </w:r>
      <w:r w:rsidRPr="00E20701">
        <w:rPr>
          <w:rFonts w:cs="Arial"/>
          <w:color w:val="222222"/>
          <w:lang w:val="en-GB"/>
        </w:rPr>
        <w:t xml:space="preserve">a) </w:t>
      </w:r>
      <w:r w:rsidRPr="00E20701">
        <w:rPr>
          <w:rStyle w:val="hps"/>
          <w:rFonts w:cs="Arial"/>
          <w:color w:val="222222"/>
          <w:lang w:val="en-GB"/>
        </w:rPr>
        <w:t>kinetic energy of</w:t>
      </w:r>
      <w:r w:rsidRPr="00E20701">
        <w:rPr>
          <w:rFonts w:cs="Arial"/>
          <w:color w:val="222222"/>
          <w:lang w:val="en-GB"/>
        </w:rPr>
        <w:t xml:space="preserve"> </w:t>
      </w:r>
      <w:r w:rsidRPr="00E20701">
        <w:rPr>
          <w:rStyle w:val="hps"/>
          <w:rFonts w:cs="Arial"/>
          <w:color w:val="222222"/>
          <w:lang w:val="en-GB"/>
        </w:rPr>
        <w:t>wave</w:t>
      </w:r>
      <w:r w:rsidRPr="00E20701">
        <w:rPr>
          <w:rFonts w:cs="Arial"/>
          <w:color w:val="222222"/>
          <w:lang w:val="en-GB"/>
        </w:rPr>
        <w:t xml:space="preserve">, </w:t>
      </w:r>
      <w:r w:rsidRPr="00E20701">
        <w:rPr>
          <w:rStyle w:val="hps"/>
          <w:rFonts w:cs="Arial"/>
          <w:color w:val="222222"/>
          <w:lang w:val="en-GB"/>
        </w:rPr>
        <w:t>b</w:t>
      </w:r>
      <w:r w:rsidRPr="00E20701">
        <w:rPr>
          <w:rFonts w:cs="Arial"/>
          <w:color w:val="222222"/>
          <w:lang w:val="en-GB"/>
        </w:rPr>
        <w:t xml:space="preserve">) </w:t>
      </w:r>
      <w:r w:rsidRPr="00E20701">
        <w:rPr>
          <w:rStyle w:val="hps"/>
          <w:rFonts w:cs="Arial"/>
          <w:color w:val="222222"/>
          <w:lang w:val="en-GB"/>
        </w:rPr>
        <w:t>corrosive environments</w:t>
      </w:r>
      <w:r w:rsidR="00B36421">
        <w:rPr>
          <w:rStyle w:val="hps"/>
          <w:rFonts w:cs="Arial"/>
          <w:color w:val="222222"/>
          <w:lang w:val="en-GB"/>
        </w:rPr>
        <w:t>,</w:t>
      </w:r>
      <w:r w:rsidRPr="00E20701">
        <w:rPr>
          <w:rFonts w:cs="Arial"/>
          <w:color w:val="222222"/>
          <w:lang w:val="en-GB"/>
        </w:rPr>
        <w:t xml:space="preserve"> </w:t>
      </w:r>
      <w:r w:rsidRPr="00E20701">
        <w:rPr>
          <w:rStyle w:val="hps"/>
          <w:rFonts w:cs="Arial"/>
          <w:color w:val="222222"/>
          <w:lang w:val="en-GB"/>
        </w:rPr>
        <w:t>c</w:t>
      </w:r>
      <w:r w:rsidRPr="00E20701">
        <w:rPr>
          <w:rFonts w:cs="Arial"/>
          <w:color w:val="222222"/>
          <w:lang w:val="en-GB"/>
        </w:rPr>
        <w:t xml:space="preserve">) </w:t>
      </w:r>
      <w:r w:rsidRPr="00E20701">
        <w:rPr>
          <w:rStyle w:val="hps"/>
          <w:rFonts w:cs="Arial"/>
          <w:color w:val="222222"/>
          <w:lang w:val="en-GB"/>
        </w:rPr>
        <w:t>electrically</w:t>
      </w:r>
      <w:r w:rsidRPr="00E20701">
        <w:rPr>
          <w:rFonts w:cs="Arial"/>
          <w:color w:val="222222"/>
          <w:lang w:val="en-GB"/>
        </w:rPr>
        <w:t xml:space="preserve"> </w:t>
      </w:r>
      <w:r w:rsidRPr="00E20701">
        <w:rPr>
          <w:rStyle w:val="hps"/>
          <w:rFonts w:cs="Arial"/>
          <w:color w:val="222222"/>
          <w:lang w:val="en-GB"/>
        </w:rPr>
        <w:t>conductive</w:t>
      </w:r>
      <w:r w:rsidRPr="00E20701">
        <w:rPr>
          <w:rFonts w:cs="Arial"/>
          <w:color w:val="222222"/>
          <w:lang w:val="en-GB"/>
        </w:rPr>
        <w:t xml:space="preserve"> </w:t>
      </w:r>
      <w:r w:rsidRPr="00E20701">
        <w:rPr>
          <w:rStyle w:val="hps"/>
          <w:rFonts w:cs="Arial"/>
          <w:color w:val="222222"/>
          <w:lang w:val="en-GB"/>
        </w:rPr>
        <w:t>environment</w:t>
      </w:r>
      <w:r w:rsidR="00B36421">
        <w:rPr>
          <w:rStyle w:val="hps"/>
          <w:rFonts w:cs="Arial"/>
          <w:color w:val="222222"/>
          <w:lang w:val="en-GB"/>
        </w:rPr>
        <w:t>.</w:t>
      </w:r>
    </w:p>
    <w:p w:rsidR="006B4D8A" w:rsidRPr="00E20701" w:rsidRDefault="006B4D8A" w:rsidP="00E62976">
      <w:pPr>
        <w:numPr>
          <w:ilvl w:val="0"/>
          <w:numId w:val="29"/>
        </w:numPr>
        <w:spacing w:before="240" w:after="240" w:line="312" w:lineRule="auto"/>
        <w:rPr>
          <w:rStyle w:val="hps"/>
          <w:rFonts w:cs="Arial"/>
          <w:lang w:val="en-GB"/>
        </w:rPr>
      </w:pPr>
      <w:r w:rsidRPr="00E20701">
        <w:rPr>
          <w:rStyle w:val="hps"/>
          <w:rFonts w:cs="Arial"/>
          <w:color w:val="222222"/>
          <w:lang w:val="en-GB"/>
        </w:rPr>
        <w:t>Maximum</w:t>
      </w:r>
      <w:r w:rsidRPr="00E20701">
        <w:rPr>
          <w:rFonts w:cs="Arial"/>
          <w:color w:val="222222"/>
          <w:lang w:val="en-GB"/>
        </w:rPr>
        <w:t xml:space="preserve"> </w:t>
      </w:r>
      <w:r w:rsidRPr="00E20701">
        <w:rPr>
          <w:rStyle w:val="hps"/>
          <w:rFonts w:cs="Arial"/>
          <w:color w:val="222222"/>
          <w:lang w:val="en-GB"/>
        </w:rPr>
        <w:t>value of a hazard parameter</w:t>
      </w:r>
      <w:r w:rsidRPr="00E20701">
        <w:rPr>
          <w:rFonts w:cs="Arial"/>
          <w:color w:val="222222"/>
          <w:lang w:val="en-GB"/>
        </w:rPr>
        <w:t xml:space="preserve"> </w:t>
      </w:r>
      <w:r w:rsidRPr="00E20701">
        <w:rPr>
          <w:rStyle w:val="hps"/>
          <w:rFonts w:cs="Arial"/>
          <w:color w:val="222222"/>
          <w:lang w:val="en-GB"/>
        </w:rPr>
        <w:t>is defined</w:t>
      </w:r>
      <w:r w:rsidRPr="00E20701">
        <w:rPr>
          <w:rFonts w:cs="Arial"/>
          <w:color w:val="222222"/>
          <w:lang w:val="en-GB"/>
        </w:rPr>
        <w:t xml:space="preserve"> as a </w:t>
      </w:r>
      <w:r w:rsidRPr="00E20701">
        <w:rPr>
          <w:rStyle w:val="hps"/>
          <w:rFonts w:cs="Arial"/>
          <w:color w:val="222222"/>
          <w:lang w:val="en-GB"/>
        </w:rPr>
        <w:t>resistance value</w:t>
      </w:r>
      <w:r w:rsidRPr="00E20701">
        <w:rPr>
          <w:rFonts w:cs="Arial"/>
          <w:color w:val="222222"/>
          <w:lang w:val="en-GB"/>
        </w:rPr>
        <w:t xml:space="preserve"> </w:t>
      </w:r>
      <w:r w:rsidRPr="00E20701">
        <w:rPr>
          <w:rStyle w:val="hps"/>
          <w:rFonts w:cs="Arial"/>
          <w:color w:val="222222"/>
          <w:lang w:val="en-GB"/>
        </w:rPr>
        <w:t>for a</w:t>
      </w:r>
      <w:r w:rsidRPr="00E20701">
        <w:rPr>
          <w:rFonts w:cs="Arial"/>
          <w:color w:val="222222"/>
          <w:lang w:val="en-GB"/>
        </w:rPr>
        <w:t xml:space="preserve"> component defined by design (</w:t>
      </w:r>
      <w:r w:rsidRPr="00E20701">
        <w:rPr>
          <w:rStyle w:val="hps"/>
          <w:rFonts w:cs="Arial"/>
          <w:color w:val="222222"/>
          <w:lang w:val="en-GB"/>
        </w:rPr>
        <w:t>DB parameters).</w:t>
      </w:r>
    </w:p>
    <w:p w:rsidR="006B4D8A" w:rsidRPr="00E20701" w:rsidRDefault="006B4D8A" w:rsidP="00E62976">
      <w:pPr>
        <w:numPr>
          <w:ilvl w:val="0"/>
          <w:numId w:val="29"/>
        </w:numPr>
        <w:spacing w:before="240" w:after="240" w:line="312" w:lineRule="auto"/>
        <w:rPr>
          <w:rStyle w:val="hps"/>
          <w:rFonts w:cs="Arial"/>
          <w:lang w:val="en-GB"/>
        </w:rPr>
      </w:pPr>
      <w:r w:rsidRPr="00E20701">
        <w:rPr>
          <w:rStyle w:val="hps"/>
          <w:rFonts w:cs="Arial"/>
          <w:color w:val="222222"/>
          <w:lang w:val="en-GB"/>
        </w:rPr>
        <w:t>Influence of</w:t>
      </w:r>
      <w:r w:rsidRPr="00E20701">
        <w:rPr>
          <w:rFonts w:cs="Arial"/>
          <w:color w:val="222222"/>
          <w:lang w:val="en-GB"/>
        </w:rPr>
        <w:t xml:space="preserve"> </w:t>
      </w:r>
      <w:r w:rsidRPr="00E20701">
        <w:rPr>
          <w:rStyle w:val="hps"/>
          <w:rFonts w:cs="Arial"/>
          <w:color w:val="222222"/>
          <w:lang w:val="en-GB"/>
        </w:rPr>
        <w:t>external</w:t>
      </w:r>
      <w:r w:rsidRPr="00E20701">
        <w:rPr>
          <w:rFonts w:cs="Arial"/>
          <w:color w:val="222222"/>
          <w:lang w:val="en-GB"/>
        </w:rPr>
        <w:t xml:space="preserve"> </w:t>
      </w:r>
      <w:r w:rsidRPr="00E20701">
        <w:rPr>
          <w:rStyle w:val="hps"/>
          <w:rFonts w:cs="Arial"/>
          <w:color w:val="222222"/>
          <w:lang w:val="en-GB"/>
        </w:rPr>
        <w:t>event</w:t>
      </w:r>
      <w:r w:rsidRPr="00E20701">
        <w:rPr>
          <w:rFonts w:cs="Arial"/>
          <w:color w:val="222222"/>
          <w:lang w:val="en-GB"/>
        </w:rPr>
        <w:t xml:space="preserve"> </w:t>
      </w:r>
      <w:r w:rsidRPr="00E20701">
        <w:rPr>
          <w:rStyle w:val="hps"/>
          <w:rFonts w:cs="Arial"/>
          <w:color w:val="222222"/>
          <w:lang w:val="en-GB"/>
        </w:rPr>
        <w:t>on the risk of</w:t>
      </w:r>
      <w:r w:rsidRPr="00E20701">
        <w:rPr>
          <w:rFonts w:cs="Arial"/>
          <w:color w:val="222222"/>
          <w:lang w:val="en-GB"/>
        </w:rPr>
        <w:t xml:space="preserve"> </w:t>
      </w:r>
      <w:r w:rsidRPr="00E20701">
        <w:rPr>
          <w:rStyle w:val="hps"/>
          <w:rFonts w:cs="Arial"/>
          <w:color w:val="222222"/>
          <w:lang w:val="en-GB"/>
        </w:rPr>
        <w:t>the unit</w:t>
      </w:r>
      <w:r w:rsidRPr="00E20701">
        <w:rPr>
          <w:rFonts w:cs="Arial"/>
          <w:color w:val="222222"/>
          <w:lang w:val="en-GB"/>
        </w:rPr>
        <w:t xml:space="preserve"> </w:t>
      </w:r>
      <w:r w:rsidRPr="00E20701">
        <w:rPr>
          <w:rStyle w:val="hps"/>
          <w:rFonts w:cs="Arial"/>
          <w:color w:val="222222"/>
          <w:lang w:val="en-GB"/>
        </w:rPr>
        <w:t>can be ignored</w:t>
      </w:r>
      <w:r w:rsidRPr="00E20701">
        <w:rPr>
          <w:rFonts w:cs="Arial"/>
          <w:color w:val="222222"/>
          <w:lang w:val="en-GB"/>
        </w:rPr>
        <w:t xml:space="preserve"> </w:t>
      </w:r>
      <w:r w:rsidRPr="00E20701">
        <w:rPr>
          <w:rStyle w:val="hps"/>
          <w:rFonts w:cs="Arial"/>
          <w:color w:val="222222"/>
          <w:lang w:val="en-GB"/>
        </w:rPr>
        <w:t xml:space="preserve">if </w:t>
      </w:r>
      <w:r w:rsidRPr="00E20701">
        <w:rPr>
          <w:rStyle w:val="hps"/>
          <w:rFonts w:cs="Arial"/>
          <w:color w:val="222222"/>
          <w:u w:val="single"/>
          <w:lang w:val="en-GB"/>
        </w:rPr>
        <w:t>value of hazard parameter &lt; value of DB parameter</w:t>
      </w:r>
      <w:r w:rsidRPr="00E20701">
        <w:rPr>
          <w:rStyle w:val="hps"/>
          <w:rFonts w:cs="Arial"/>
          <w:color w:val="222222"/>
          <w:lang w:val="en-GB"/>
        </w:rPr>
        <w:t xml:space="preserve"> for each safety relevant component.</w:t>
      </w:r>
    </w:p>
    <w:p w:rsidR="006B4D8A" w:rsidRPr="00E20701" w:rsidRDefault="006B4D8A" w:rsidP="006B4D8A">
      <w:pPr>
        <w:spacing w:before="240" w:after="240" w:line="312" w:lineRule="auto"/>
        <w:rPr>
          <w:rFonts w:cs="Arial"/>
          <w:lang w:val="en-GB"/>
        </w:rPr>
      </w:pPr>
      <w:r w:rsidRPr="00E20701">
        <w:rPr>
          <w:rFonts w:cs="Arial"/>
          <w:u w:val="single"/>
          <w:lang w:val="en-GB"/>
        </w:rPr>
        <w:t>Note :</w:t>
      </w:r>
      <w:r w:rsidRPr="00E20701">
        <w:rPr>
          <w:rFonts w:cs="Arial"/>
          <w:lang w:val="en-GB"/>
        </w:rPr>
        <w:t xml:space="preserve"> 15 external events were excluded on the basis of “</w:t>
      </w:r>
      <w:r w:rsidRPr="00E20701">
        <w:rPr>
          <w:rStyle w:val="hps"/>
          <w:rFonts w:cs="Arial"/>
          <w:color w:val="222222"/>
          <w:lang w:val="en-GB"/>
        </w:rPr>
        <w:t>hazard</w:t>
      </w:r>
      <w:r w:rsidRPr="00E20701">
        <w:rPr>
          <w:rFonts w:cs="Arial"/>
          <w:lang w:val="en-GB"/>
        </w:rPr>
        <w:t xml:space="preserve"> parameters” criteria from the original list of 70 external events during the quantitative screening phase.</w:t>
      </w:r>
    </w:p>
    <w:p w:rsidR="006B4D8A" w:rsidRPr="00E20701" w:rsidRDefault="006B4D8A" w:rsidP="006B4D8A">
      <w:pPr>
        <w:spacing w:before="240" w:after="240" w:line="312" w:lineRule="auto"/>
        <w:rPr>
          <w:rFonts w:cs="Arial"/>
          <w:lang w:val="en-GB"/>
        </w:rPr>
      </w:pPr>
      <w:r w:rsidRPr="00E20701">
        <w:rPr>
          <w:rStyle w:val="hps"/>
          <w:rFonts w:cs="Arial"/>
          <w:color w:val="222222"/>
          <w:lang w:val="en-GB"/>
        </w:rPr>
        <w:t>Acc. c3) Evaluation of risk measures of the unit was based on the following activities</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
        <w:gridCol w:w="2165"/>
        <w:gridCol w:w="6426"/>
      </w:tblGrid>
      <w:tr w:rsidR="006B4D8A" w:rsidRPr="00E20701" w:rsidTr="006B4D8A">
        <w:trPr>
          <w:trHeight w:val="501"/>
        </w:trPr>
        <w:tc>
          <w:tcPr>
            <w:tcW w:w="481" w:type="dxa"/>
          </w:tcPr>
          <w:p w:rsidR="006B4D8A" w:rsidRPr="00E20701" w:rsidRDefault="006B4D8A" w:rsidP="006B4D8A">
            <w:pPr>
              <w:spacing w:before="60" w:after="60" w:line="312" w:lineRule="auto"/>
              <w:rPr>
                <w:rFonts w:cs="Arial"/>
                <w:b/>
                <w:sz w:val="20"/>
                <w:szCs w:val="20"/>
                <w:lang w:val="en-GB"/>
              </w:rPr>
            </w:pPr>
          </w:p>
        </w:tc>
        <w:tc>
          <w:tcPr>
            <w:tcW w:w="2165" w:type="dxa"/>
          </w:tcPr>
          <w:p w:rsidR="006B4D8A" w:rsidRPr="00E20701" w:rsidRDefault="006B4D8A" w:rsidP="006B4D8A">
            <w:pPr>
              <w:spacing w:before="60" w:after="60" w:line="312" w:lineRule="auto"/>
              <w:rPr>
                <w:rFonts w:cs="Arial"/>
                <w:b/>
                <w:sz w:val="20"/>
                <w:szCs w:val="20"/>
                <w:lang w:val="en-GB"/>
              </w:rPr>
            </w:pPr>
            <w:r w:rsidRPr="00E20701">
              <w:rPr>
                <w:rStyle w:val="hps"/>
                <w:rFonts w:cs="Arial"/>
                <w:b/>
                <w:color w:val="222222"/>
                <w:lang w:val="en-GB"/>
              </w:rPr>
              <w:t>Area of activity</w:t>
            </w:r>
          </w:p>
        </w:tc>
        <w:tc>
          <w:tcPr>
            <w:tcW w:w="6426" w:type="dxa"/>
          </w:tcPr>
          <w:p w:rsidR="006B4D8A" w:rsidRPr="00E20701" w:rsidRDefault="006B4D8A" w:rsidP="006B4D8A">
            <w:pPr>
              <w:spacing w:before="60" w:after="60" w:line="312" w:lineRule="auto"/>
              <w:jc w:val="left"/>
              <w:rPr>
                <w:rFonts w:cs="Arial"/>
                <w:b/>
                <w:sz w:val="20"/>
                <w:szCs w:val="20"/>
                <w:lang w:val="en-GB"/>
              </w:rPr>
            </w:pPr>
            <w:r w:rsidRPr="00E20701">
              <w:rPr>
                <w:rStyle w:val="hps"/>
                <w:rFonts w:cs="Arial"/>
                <w:b/>
                <w:color w:val="222222"/>
                <w:lang w:val="en-GB"/>
              </w:rPr>
              <w:t>Activity</w:t>
            </w:r>
          </w:p>
        </w:tc>
      </w:tr>
      <w:tr w:rsidR="006B4D8A" w:rsidRPr="00304D8A" w:rsidTr="006B4D8A">
        <w:tc>
          <w:tcPr>
            <w:tcW w:w="481" w:type="dxa"/>
          </w:tcPr>
          <w:p w:rsidR="006B4D8A" w:rsidRPr="00E20701" w:rsidRDefault="006B4D8A" w:rsidP="006B4D8A">
            <w:pPr>
              <w:spacing w:before="60" w:after="60" w:line="312" w:lineRule="auto"/>
              <w:rPr>
                <w:rFonts w:cs="Arial"/>
                <w:sz w:val="20"/>
                <w:szCs w:val="20"/>
                <w:lang w:val="en-GB"/>
              </w:rPr>
            </w:pPr>
            <w:r w:rsidRPr="00E20701">
              <w:rPr>
                <w:rFonts w:cs="Arial"/>
                <w:sz w:val="20"/>
                <w:szCs w:val="20"/>
                <w:lang w:val="en-GB"/>
              </w:rPr>
              <w:t>a)</w:t>
            </w:r>
          </w:p>
        </w:tc>
        <w:tc>
          <w:tcPr>
            <w:tcW w:w="2165" w:type="dxa"/>
          </w:tcPr>
          <w:p w:rsidR="006B4D8A" w:rsidRPr="00E20701" w:rsidRDefault="006B4D8A" w:rsidP="006B4D8A">
            <w:pPr>
              <w:spacing w:before="60" w:after="60" w:line="312" w:lineRule="auto"/>
              <w:rPr>
                <w:rFonts w:cs="Arial"/>
                <w:sz w:val="20"/>
                <w:szCs w:val="20"/>
                <w:u w:val="single"/>
                <w:lang w:val="en-GB"/>
              </w:rPr>
            </w:pPr>
            <w:r w:rsidRPr="00E20701">
              <w:rPr>
                <w:rStyle w:val="hps"/>
                <w:rFonts w:cs="Arial"/>
                <w:color w:val="222222"/>
                <w:lang w:val="en-GB"/>
              </w:rPr>
              <w:t>PSA model</w:t>
            </w:r>
          </w:p>
        </w:tc>
        <w:tc>
          <w:tcPr>
            <w:tcW w:w="6426" w:type="dxa"/>
          </w:tcPr>
          <w:p w:rsidR="006B4D8A" w:rsidRPr="00E20701" w:rsidRDefault="006B4D8A" w:rsidP="006B4D8A">
            <w:pPr>
              <w:spacing w:before="60" w:after="60" w:line="312" w:lineRule="auto"/>
              <w:jc w:val="left"/>
              <w:rPr>
                <w:rFonts w:cs="Arial"/>
                <w:sz w:val="20"/>
                <w:szCs w:val="20"/>
                <w:lang w:val="en-GB"/>
              </w:rPr>
            </w:pPr>
            <w:r w:rsidRPr="00E20701">
              <w:rPr>
                <w:rStyle w:val="hps"/>
                <w:rFonts w:cs="Arial"/>
                <w:color w:val="222222"/>
                <w:lang w:val="en-GB"/>
              </w:rPr>
              <w:t>Analysis of</w:t>
            </w:r>
            <w:r w:rsidRPr="00E20701">
              <w:rPr>
                <w:rFonts w:cs="Arial"/>
                <w:color w:val="222222"/>
                <w:lang w:val="en-GB"/>
              </w:rPr>
              <w:t xml:space="preserve"> </w:t>
            </w:r>
            <w:r w:rsidRPr="00E20701">
              <w:rPr>
                <w:rStyle w:val="hps"/>
                <w:rFonts w:cs="Arial"/>
                <w:color w:val="222222"/>
                <w:lang w:val="en-GB"/>
              </w:rPr>
              <w:t>initiating events</w:t>
            </w:r>
            <w:r w:rsidRPr="00E20701">
              <w:rPr>
                <w:rFonts w:cs="Arial"/>
                <w:color w:val="222222"/>
                <w:lang w:val="en-GB"/>
              </w:rPr>
              <w:t xml:space="preserve"> </w:t>
            </w:r>
            <w:r w:rsidRPr="00E20701">
              <w:rPr>
                <w:rStyle w:val="hps"/>
                <w:rFonts w:cs="Arial"/>
                <w:color w:val="222222"/>
                <w:lang w:val="en-GB"/>
              </w:rPr>
              <w:t>caused by</w:t>
            </w:r>
            <w:r w:rsidRPr="00E20701">
              <w:rPr>
                <w:rFonts w:cs="Arial"/>
                <w:color w:val="222222"/>
                <w:lang w:val="en-GB"/>
              </w:rPr>
              <w:t xml:space="preserve"> </w:t>
            </w:r>
            <w:r w:rsidRPr="00E20701">
              <w:rPr>
                <w:rStyle w:val="hps"/>
                <w:rFonts w:cs="Arial"/>
                <w:color w:val="222222"/>
                <w:lang w:val="en-GB"/>
              </w:rPr>
              <w:t>a particular</w:t>
            </w:r>
            <w:r w:rsidRPr="00E20701">
              <w:rPr>
                <w:rFonts w:cs="Arial"/>
                <w:color w:val="222222"/>
                <w:lang w:val="en-GB"/>
              </w:rPr>
              <w:t xml:space="preserve"> </w:t>
            </w:r>
            <w:r w:rsidRPr="00E20701">
              <w:rPr>
                <w:rStyle w:val="hps"/>
                <w:rFonts w:cs="Arial"/>
                <w:color w:val="222222"/>
                <w:lang w:val="en-GB"/>
              </w:rPr>
              <w:t>hazard was performed. PSA</w:t>
            </w:r>
            <w:r w:rsidRPr="00E20701">
              <w:rPr>
                <w:rFonts w:cs="Arial"/>
                <w:color w:val="222222"/>
                <w:lang w:val="en-GB"/>
              </w:rPr>
              <w:t xml:space="preserve"> </w:t>
            </w:r>
            <w:r w:rsidRPr="00E20701">
              <w:rPr>
                <w:rStyle w:val="hps"/>
                <w:rFonts w:cs="Arial"/>
                <w:color w:val="222222"/>
                <w:lang w:val="en-GB"/>
              </w:rPr>
              <w:t>model</w:t>
            </w:r>
            <w:r w:rsidRPr="00E20701">
              <w:rPr>
                <w:rFonts w:cs="Arial"/>
                <w:color w:val="222222"/>
                <w:lang w:val="en-GB"/>
              </w:rPr>
              <w:t xml:space="preserve"> </w:t>
            </w:r>
            <w:r w:rsidRPr="00E20701">
              <w:rPr>
                <w:rStyle w:val="hps"/>
                <w:rFonts w:cs="Arial"/>
                <w:color w:val="222222"/>
                <w:lang w:val="en-GB"/>
              </w:rPr>
              <w:t>allows</w:t>
            </w:r>
            <w:r w:rsidRPr="00E20701">
              <w:rPr>
                <w:rFonts w:cs="Arial"/>
                <w:color w:val="222222"/>
                <w:lang w:val="en-GB"/>
              </w:rPr>
              <w:t xml:space="preserve"> </w:t>
            </w:r>
            <w:r w:rsidRPr="00E20701">
              <w:rPr>
                <w:rStyle w:val="hps"/>
                <w:rFonts w:cs="Arial"/>
                <w:color w:val="222222"/>
                <w:lang w:val="en-GB"/>
              </w:rPr>
              <w:t>calculating the total</w:t>
            </w:r>
            <w:r w:rsidRPr="00E20701">
              <w:rPr>
                <w:rFonts w:cs="Arial"/>
                <w:color w:val="222222"/>
                <w:lang w:val="en-GB"/>
              </w:rPr>
              <w:t xml:space="preserve"> </w:t>
            </w:r>
            <w:r w:rsidRPr="00E20701">
              <w:rPr>
                <w:rStyle w:val="hps"/>
                <w:rFonts w:cs="Arial"/>
                <w:color w:val="222222"/>
                <w:lang w:val="en-GB"/>
              </w:rPr>
              <w:t>risk</w:t>
            </w:r>
            <w:r w:rsidRPr="00E20701">
              <w:rPr>
                <w:rFonts w:cs="Arial"/>
                <w:color w:val="222222"/>
                <w:lang w:val="en-GB"/>
              </w:rPr>
              <w:t xml:space="preserve"> </w:t>
            </w:r>
            <w:r w:rsidRPr="00E20701">
              <w:rPr>
                <w:rStyle w:val="hps"/>
                <w:rFonts w:cs="Arial"/>
                <w:color w:val="222222"/>
                <w:lang w:val="en-GB"/>
              </w:rPr>
              <w:t>of a nuclear</w:t>
            </w:r>
            <w:r w:rsidRPr="00E20701">
              <w:rPr>
                <w:rFonts w:cs="Arial"/>
                <w:color w:val="222222"/>
                <w:lang w:val="en-GB"/>
              </w:rPr>
              <w:t xml:space="preserve"> </w:t>
            </w:r>
            <w:r w:rsidRPr="00E20701">
              <w:rPr>
                <w:rStyle w:val="hps"/>
                <w:rFonts w:cs="Arial"/>
                <w:color w:val="222222"/>
                <w:lang w:val="en-GB"/>
              </w:rPr>
              <w:t>unit</w:t>
            </w:r>
            <w:r w:rsidRPr="00E20701">
              <w:rPr>
                <w:rFonts w:cs="Arial"/>
                <w:color w:val="222222"/>
                <w:lang w:val="en-GB"/>
              </w:rPr>
              <w:t xml:space="preserve"> </w:t>
            </w:r>
            <w:r w:rsidRPr="00E20701">
              <w:rPr>
                <w:rStyle w:val="hps"/>
                <w:rFonts w:cs="Arial"/>
                <w:color w:val="222222"/>
                <w:lang w:val="en-GB"/>
              </w:rPr>
              <w:t>from</w:t>
            </w:r>
            <w:r w:rsidRPr="00E20701">
              <w:rPr>
                <w:rFonts w:cs="Arial"/>
                <w:color w:val="222222"/>
                <w:lang w:val="en-GB"/>
              </w:rPr>
              <w:t xml:space="preserve"> </w:t>
            </w:r>
            <w:r w:rsidRPr="00E20701">
              <w:rPr>
                <w:rStyle w:val="hps"/>
                <w:rFonts w:cs="Arial"/>
                <w:color w:val="222222"/>
                <w:lang w:val="en-GB"/>
              </w:rPr>
              <w:t>all considered</w:t>
            </w:r>
            <w:r w:rsidRPr="00E20701">
              <w:rPr>
                <w:rFonts w:cs="Arial"/>
                <w:color w:val="222222"/>
                <w:lang w:val="en-GB"/>
              </w:rPr>
              <w:t xml:space="preserve"> </w:t>
            </w:r>
            <w:r w:rsidRPr="00E20701">
              <w:rPr>
                <w:rStyle w:val="hps"/>
                <w:rFonts w:cs="Arial"/>
                <w:color w:val="222222"/>
                <w:lang w:val="en-GB"/>
              </w:rPr>
              <w:t>emergency scenarios.</w:t>
            </w:r>
          </w:p>
        </w:tc>
      </w:tr>
      <w:tr w:rsidR="006B4D8A" w:rsidRPr="00304D8A" w:rsidTr="006B4D8A">
        <w:tc>
          <w:tcPr>
            <w:tcW w:w="481" w:type="dxa"/>
          </w:tcPr>
          <w:p w:rsidR="006B4D8A" w:rsidRPr="00E20701" w:rsidRDefault="006B4D8A" w:rsidP="006B4D8A">
            <w:pPr>
              <w:spacing w:before="60" w:after="60" w:line="312" w:lineRule="auto"/>
              <w:rPr>
                <w:rFonts w:cs="Arial"/>
                <w:sz w:val="20"/>
                <w:szCs w:val="20"/>
                <w:lang w:val="en-GB"/>
              </w:rPr>
            </w:pPr>
            <w:r w:rsidRPr="00E20701">
              <w:rPr>
                <w:rFonts w:cs="Arial"/>
                <w:sz w:val="20"/>
                <w:szCs w:val="20"/>
                <w:lang w:val="en-GB"/>
              </w:rPr>
              <w:t>b)</w:t>
            </w:r>
          </w:p>
        </w:tc>
        <w:tc>
          <w:tcPr>
            <w:tcW w:w="2165" w:type="dxa"/>
          </w:tcPr>
          <w:p w:rsidR="006B4D8A" w:rsidRPr="00E20701" w:rsidRDefault="006B4D8A" w:rsidP="006B4D8A">
            <w:pPr>
              <w:spacing w:before="60" w:after="60" w:line="312" w:lineRule="auto"/>
              <w:jc w:val="left"/>
              <w:rPr>
                <w:rFonts w:cs="Arial"/>
                <w:sz w:val="20"/>
                <w:szCs w:val="20"/>
                <w:u w:val="single"/>
                <w:lang w:val="en-GB"/>
              </w:rPr>
            </w:pPr>
            <w:r w:rsidRPr="00E20701">
              <w:rPr>
                <w:rStyle w:val="hps"/>
                <w:rFonts w:cs="Arial"/>
                <w:color w:val="222222"/>
                <w:lang w:val="en-GB"/>
              </w:rPr>
              <w:t>F</w:t>
            </w:r>
            <w:r w:rsidRPr="00E20701">
              <w:rPr>
                <w:rStyle w:val="hps"/>
                <w:rFonts w:cs="Arial"/>
                <w:color w:val="222222"/>
                <w:vertAlign w:val="subscript"/>
                <w:lang w:val="en-GB"/>
              </w:rPr>
              <w:t>IE</w:t>
            </w:r>
            <w:r w:rsidRPr="00E20701">
              <w:rPr>
                <w:rStyle w:val="hps"/>
                <w:rFonts w:cs="Arial"/>
                <w:color w:val="222222"/>
                <w:lang w:val="en-GB"/>
              </w:rPr>
              <w:t xml:space="preserve"> of</w:t>
            </w:r>
            <w:r w:rsidRPr="00E20701">
              <w:rPr>
                <w:rStyle w:val="shorttext"/>
                <w:rFonts w:cs="Arial"/>
                <w:color w:val="222222"/>
                <w:lang w:val="en-GB"/>
              </w:rPr>
              <w:t xml:space="preserve"> </w:t>
            </w:r>
            <w:r w:rsidRPr="00E20701">
              <w:rPr>
                <w:rStyle w:val="hps"/>
                <w:rFonts w:cs="Arial"/>
                <w:color w:val="222222"/>
                <w:lang w:val="en-GB"/>
              </w:rPr>
              <w:t>external</w:t>
            </w:r>
            <w:r w:rsidRPr="00E20701">
              <w:rPr>
                <w:rStyle w:val="shorttext"/>
                <w:rFonts w:cs="Arial"/>
                <w:color w:val="222222"/>
                <w:lang w:val="en-GB"/>
              </w:rPr>
              <w:t xml:space="preserve"> </w:t>
            </w:r>
            <w:r w:rsidRPr="00E20701">
              <w:rPr>
                <w:rStyle w:val="hps"/>
                <w:rFonts w:cs="Arial"/>
                <w:color w:val="222222"/>
                <w:lang w:val="en-GB"/>
              </w:rPr>
              <w:t>events</w:t>
            </w:r>
          </w:p>
        </w:tc>
        <w:tc>
          <w:tcPr>
            <w:tcW w:w="6426" w:type="dxa"/>
          </w:tcPr>
          <w:p w:rsidR="006B4D8A" w:rsidRPr="00E20701" w:rsidRDefault="006B4D8A" w:rsidP="006B4D8A">
            <w:pPr>
              <w:spacing w:before="60" w:after="60" w:line="312" w:lineRule="auto"/>
              <w:jc w:val="left"/>
              <w:rPr>
                <w:rFonts w:cs="Arial"/>
                <w:sz w:val="20"/>
                <w:szCs w:val="20"/>
                <w:lang w:val="en-GB"/>
              </w:rPr>
            </w:pPr>
            <w:r w:rsidRPr="00E20701">
              <w:rPr>
                <w:rStyle w:val="hps"/>
                <w:rFonts w:cs="Arial"/>
                <w:color w:val="222222"/>
                <w:lang w:val="en-GB"/>
              </w:rPr>
              <w:t>Frequency of</w:t>
            </w:r>
            <w:r w:rsidRPr="00E20701">
              <w:rPr>
                <w:rFonts w:cs="Arial"/>
                <w:color w:val="222222"/>
                <w:lang w:val="en-GB"/>
              </w:rPr>
              <w:t xml:space="preserve"> initiating event was estimated</w:t>
            </w:r>
            <w:r w:rsidR="00B36421">
              <w:rPr>
                <w:rFonts w:cs="Arial"/>
                <w:color w:val="222222"/>
                <w:lang w:val="en-GB"/>
              </w:rPr>
              <w:t>.</w:t>
            </w:r>
          </w:p>
        </w:tc>
      </w:tr>
      <w:tr w:rsidR="006B4D8A" w:rsidRPr="00304D8A" w:rsidTr="006B4D8A">
        <w:tc>
          <w:tcPr>
            <w:tcW w:w="481" w:type="dxa"/>
          </w:tcPr>
          <w:p w:rsidR="006B4D8A" w:rsidRPr="00E20701" w:rsidRDefault="006B4D8A" w:rsidP="006B4D8A">
            <w:pPr>
              <w:spacing w:before="60" w:after="60" w:line="312" w:lineRule="auto"/>
              <w:rPr>
                <w:rFonts w:cs="Arial"/>
                <w:sz w:val="20"/>
                <w:szCs w:val="20"/>
                <w:lang w:val="en-GB"/>
              </w:rPr>
            </w:pPr>
            <w:r w:rsidRPr="00E20701">
              <w:rPr>
                <w:rFonts w:cs="Arial"/>
                <w:sz w:val="20"/>
                <w:szCs w:val="20"/>
                <w:lang w:val="en-GB"/>
              </w:rPr>
              <w:t>c)</w:t>
            </w:r>
          </w:p>
        </w:tc>
        <w:tc>
          <w:tcPr>
            <w:tcW w:w="2165" w:type="dxa"/>
          </w:tcPr>
          <w:p w:rsidR="006B4D8A" w:rsidRPr="00E20701" w:rsidRDefault="006B4D8A" w:rsidP="006B4D8A">
            <w:pPr>
              <w:spacing w:before="60" w:after="60" w:line="312" w:lineRule="auto"/>
              <w:rPr>
                <w:rFonts w:cs="Arial"/>
                <w:sz w:val="20"/>
                <w:szCs w:val="20"/>
                <w:u w:val="single"/>
                <w:lang w:val="en-GB"/>
              </w:rPr>
            </w:pPr>
            <w:r w:rsidRPr="00E20701">
              <w:rPr>
                <w:rStyle w:val="hps"/>
                <w:rFonts w:cs="Arial"/>
                <w:color w:val="222222"/>
                <w:lang w:val="en-GB"/>
              </w:rPr>
              <w:t>Fragility curves</w:t>
            </w:r>
          </w:p>
        </w:tc>
        <w:tc>
          <w:tcPr>
            <w:tcW w:w="6426" w:type="dxa"/>
          </w:tcPr>
          <w:p w:rsidR="006B4D8A" w:rsidRPr="00E20701" w:rsidRDefault="006B4D8A" w:rsidP="006B4D8A">
            <w:pPr>
              <w:spacing w:before="60" w:after="60" w:line="312" w:lineRule="auto"/>
              <w:jc w:val="left"/>
              <w:rPr>
                <w:rFonts w:cs="Arial"/>
                <w:sz w:val="20"/>
                <w:szCs w:val="20"/>
                <w:lang w:val="en-GB"/>
              </w:rPr>
            </w:pPr>
            <w:r w:rsidRPr="00E20701">
              <w:rPr>
                <w:rStyle w:val="hps"/>
                <w:rFonts w:cs="Arial"/>
                <w:color w:val="222222"/>
                <w:lang w:val="en-GB"/>
              </w:rPr>
              <w:t>Development of Fragility Curves</w:t>
            </w:r>
            <w:r w:rsidRPr="00E20701">
              <w:rPr>
                <w:rFonts w:cs="Arial"/>
                <w:color w:val="222222"/>
                <w:lang w:val="en-GB"/>
              </w:rPr>
              <w:t xml:space="preserve"> </w:t>
            </w:r>
            <w:r w:rsidRPr="00E20701">
              <w:rPr>
                <w:rStyle w:val="hps"/>
                <w:rFonts w:cs="Arial"/>
                <w:color w:val="222222"/>
                <w:lang w:val="en-GB"/>
              </w:rPr>
              <w:t>is necessary</w:t>
            </w:r>
            <w:r w:rsidRPr="00E20701">
              <w:rPr>
                <w:rFonts w:cs="Arial"/>
                <w:color w:val="222222"/>
                <w:lang w:val="en-GB"/>
              </w:rPr>
              <w:t xml:space="preserve"> </w:t>
            </w:r>
            <w:r w:rsidRPr="00E20701">
              <w:rPr>
                <w:rStyle w:val="hps"/>
                <w:rFonts w:cs="Arial"/>
                <w:color w:val="222222"/>
                <w:lang w:val="en-GB"/>
              </w:rPr>
              <w:t>for calculating</w:t>
            </w:r>
            <w:r w:rsidRPr="00E20701">
              <w:rPr>
                <w:rFonts w:cs="Arial"/>
                <w:color w:val="222222"/>
                <w:lang w:val="en-GB"/>
              </w:rPr>
              <w:t xml:space="preserve"> </w:t>
            </w:r>
            <w:r w:rsidRPr="00E20701">
              <w:rPr>
                <w:rStyle w:val="hps"/>
                <w:rFonts w:cs="Arial"/>
                <w:color w:val="222222"/>
                <w:lang w:val="en-GB"/>
              </w:rPr>
              <w:t>the probability of failure</w:t>
            </w:r>
            <w:r w:rsidRPr="00E20701">
              <w:rPr>
                <w:rFonts w:cs="Arial"/>
                <w:color w:val="222222"/>
                <w:lang w:val="en-GB"/>
              </w:rPr>
              <w:t xml:space="preserve"> </w:t>
            </w:r>
            <w:r w:rsidRPr="00E20701">
              <w:rPr>
                <w:rStyle w:val="hps"/>
                <w:rFonts w:cs="Arial"/>
                <w:color w:val="222222"/>
                <w:lang w:val="en-GB"/>
              </w:rPr>
              <w:t>of structures</w:t>
            </w:r>
            <w:r w:rsidRPr="00E20701">
              <w:rPr>
                <w:rFonts w:cs="Arial"/>
                <w:color w:val="222222"/>
                <w:lang w:val="en-GB"/>
              </w:rPr>
              <w:t xml:space="preserve">, systems and components depending </w:t>
            </w:r>
            <w:r w:rsidRPr="00E20701">
              <w:rPr>
                <w:rStyle w:val="hps"/>
                <w:rFonts w:cs="Arial"/>
                <w:color w:val="222222"/>
                <w:lang w:val="en-GB"/>
              </w:rPr>
              <w:t>on the parameter value</w:t>
            </w:r>
            <w:r w:rsidRPr="00E20701">
              <w:rPr>
                <w:rFonts w:cs="Arial"/>
                <w:color w:val="222222"/>
                <w:lang w:val="en-GB"/>
              </w:rPr>
              <w:t xml:space="preserve"> of hazard.</w:t>
            </w:r>
          </w:p>
        </w:tc>
      </w:tr>
    </w:tbl>
    <w:p w:rsidR="006B4D8A" w:rsidRPr="00E20701" w:rsidRDefault="006B4D8A" w:rsidP="006B4D8A">
      <w:pPr>
        <w:spacing w:line="312" w:lineRule="auto"/>
        <w:rPr>
          <w:rFonts w:cs="Arial"/>
          <w:color w:val="222222"/>
          <w:lang w:val="en-GB"/>
        </w:rPr>
      </w:pPr>
    </w:p>
    <w:p w:rsidR="006B4D8A" w:rsidRPr="00E20701" w:rsidRDefault="006B4D8A" w:rsidP="006B4D8A">
      <w:pPr>
        <w:spacing w:line="312" w:lineRule="auto"/>
        <w:rPr>
          <w:rFonts w:cs="Arial"/>
          <w:color w:val="222222"/>
          <w:lang w:val="en-GB"/>
        </w:rPr>
      </w:pPr>
      <w:r w:rsidRPr="00E20701">
        <w:rPr>
          <w:rStyle w:val="hps"/>
          <w:rFonts w:cs="Arial"/>
          <w:color w:val="222222"/>
          <w:lang w:val="en-GB"/>
        </w:rPr>
        <w:t>The risk</w:t>
      </w:r>
      <w:r w:rsidRPr="00E20701">
        <w:rPr>
          <w:rFonts w:cs="Arial"/>
          <w:color w:val="222222"/>
          <w:lang w:val="en-GB"/>
        </w:rPr>
        <w:t xml:space="preserve"> </w:t>
      </w:r>
      <w:r w:rsidRPr="00E20701">
        <w:rPr>
          <w:rStyle w:val="hps"/>
          <w:rFonts w:cs="Arial"/>
          <w:color w:val="222222"/>
          <w:lang w:val="en-GB"/>
        </w:rPr>
        <w:t>from</w:t>
      </w:r>
      <w:r w:rsidRPr="00E20701">
        <w:rPr>
          <w:rFonts w:cs="Arial"/>
          <w:color w:val="222222"/>
          <w:lang w:val="en-GB"/>
        </w:rPr>
        <w:t xml:space="preserve"> </w:t>
      </w:r>
      <w:r w:rsidRPr="00E20701">
        <w:rPr>
          <w:rStyle w:val="hps"/>
          <w:rFonts w:cs="Arial"/>
          <w:color w:val="222222"/>
          <w:lang w:val="en-GB"/>
        </w:rPr>
        <w:t>external</w:t>
      </w:r>
      <w:r w:rsidRPr="00E20701">
        <w:rPr>
          <w:rFonts w:cs="Arial"/>
          <w:color w:val="222222"/>
          <w:lang w:val="en-GB"/>
        </w:rPr>
        <w:t xml:space="preserve"> </w:t>
      </w:r>
      <w:r w:rsidRPr="00E20701">
        <w:rPr>
          <w:rStyle w:val="hps"/>
          <w:rFonts w:cs="Arial"/>
          <w:color w:val="222222"/>
          <w:lang w:val="en-GB"/>
        </w:rPr>
        <w:t>events</w:t>
      </w:r>
      <w:r w:rsidRPr="00E20701">
        <w:rPr>
          <w:rFonts w:cs="Arial"/>
          <w:color w:val="222222"/>
          <w:lang w:val="en-GB"/>
        </w:rPr>
        <w:t xml:space="preserve"> </w:t>
      </w:r>
      <w:r w:rsidRPr="00E20701">
        <w:rPr>
          <w:rStyle w:val="hps"/>
          <w:rFonts w:cs="Arial"/>
          <w:color w:val="222222"/>
          <w:lang w:val="en-GB"/>
        </w:rPr>
        <w:t>is</w:t>
      </w:r>
      <w:r w:rsidRPr="00E20701">
        <w:rPr>
          <w:rFonts w:cs="Arial"/>
          <w:color w:val="222222"/>
          <w:lang w:val="en-GB"/>
        </w:rPr>
        <w:t xml:space="preserve"> </w:t>
      </w:r>
      <w:r w:rsidRPr="00E20701">
        <w:rPr>
          <w:rStyle w:val="hps"/>
          <w:rFonts w:cs="Arial"/>
          <w:color w:val="222222"/>
          <w:lang w:val="en-GB"/>
        </w:rPr>
        <w:t>insignificant</w:t>
      </w:r>
      <w:r w:rsidRPr="00E20701">
        <w:rPr>
          <w:rFonts w:cs="Arial"/>
          <w:color w:val="222222"/>
          <w:lang w:val="en-GB"/>
        </w:rPr>
        <w:t xml:space="preserve">, </w:t>
      </w:r>
      <w:r w:rsidRPr="00E20701">
        <w:rPr>
          <w:rStyle w:val="hps"/>
          <w:rFonts w:cs="Arial"/>
          <w:color w:val="222222"/>
          <w:lang w:val="en-GB"/>
        </w:rPr>
        <w:t>if</w:t>
      </w:r>
      <w:r w:rsidRPr="00E20701">
        <w:rPr>
          <w:rFonts w:cs="Arial"/>
          <w:color w:val="222222"/>
          <w:lang w:val="en-GB"/>
        </w:rPr>
        <w:t xml:space="preserve"> all three </w:t>
      </w:r>
      <w:r w:rsidRPr="00E20701">
        <w:rPr>
          <w:rStyle w:val="hps"/>
          <w:rFonts w:cs="Arial"/>
          <w:color w:val="222222"/>
          <w:lang w:val="en-GB"/>
        </w:rPr>
        <w:t>of the following conditions</w:t>
      </w:r>
      <w:r w:rsidR="0027152C">
        <w:rPr>
          <w:rStyle w:val="hps"/>
          <w:rFonts w:cs="Arial"/>
          <w:color w:val="222222"/>
          <w:lang w:val="en-GB"/>
        </w:rPr>
        <w:t xml:space="preserve"> apply</w:t>
      </w:r>
      <w:r w:rsidRPr="00E20701">
        <w:rPr>
          <w:rFonts w:cs="Arial"/>
          <w:color w:val="222222"/>
          <w:lang w:val="en-GB"/>
        </w:rPr>
        <w:t>:</w:t>
      </w:r>
    </w:p>
    <w:p w:rsidR="006B4D8A" w:rsidRPr="00E20701" w:rsidRDefault="006B4D8A" w:rsidP="00E62976">
      <w:pPr>
        <w:numPr>
          <w:ilvl w:val="0"/>
          <w:numId w:val="30"/>
        </w:numPr>
        <w:spacing w:line="312" w:lineRule="auto"/>
        <w:rPr>
          <w:rFonts w:cs="Arial"/>
          <w:lang w:val="en-GB"/>
        </w:rPr>
      </w:pPr>
      <w:r w:rsidRPr="00E20701">
        <w:rPr>
          <w:rFonts w:cs="Arial"/>
          <w:lang w:val="en-GB"/>
        </w:rPr>
        <w:t>CDF (from external event) &lt; 1% CDF (Total CDF for unit)</w:t>
      </w:r>
    </w:p>
    <w:p w:rsidR="006B4D8A" w:rsidRPr="00E20701" w:rsidRDefault="006B4D8A" w:rsidP="00E62976">
      <w:pPr>
        <w:numPr>
          <w:ilvl w:val="0"/>
          <w:numId w:val="30"/>
        </w:numPr>
        <w:spacing w:line="312" w:lineRule="auto"/>
        <w:rPr>
          <w:rFonts w:cs="Arial"/>
          <w:lang w:val="en-GB"/>
        </w:rPr>
      </w:pPr>
      <w:r w:rsidRPr="00E20701">
        <w:rPr>
          <w:rFonts w:cs="Arial"/>
          <w:lang w:val="en-GB"/>
        </w:rPr>
        <w:t>LERF (from external event) &lt; 1% LERF (Total LERF for unit)</w:t>
      </w:r>
    </w:p>
    <w:p w:rsidR="006B4D8A" w:rsidRPr="00E20701" w:rsidRDefault="006B4D8A" w:rsidP="00E62976">
      <w:pPr>
        <w:numPr>
          <w:ilvl w:val="0"/>
          <w:numId w:val="30"/>
        </w:numPr>
        <w:spacing w:line="312" w:lineRule="auto"/>
        <w:rPr>
          <w:rFonts w:cs="Arial"/>
          <w:lang w:val="en-GB"/>
        </w:rPr>
      </w:pPr>
      <w:r w:rsidRPr="00E20701">
        <w:rPr>
          <w:rStyle w:val="hps"/>
          <w:rFonts w:cs="Arial"/>
          <w:color w:val="222222"/>
          <w:lang w:val="en-GB"/>
        </w:rPr>
        <w:t>Accident scenarios</w:t>
      </w:r>
      <w:r w:rsidRPr="00E20701">
        <w:rPr>
          <w:rStyle w:val="shorttext"/>
          <w:rFonts w:cs="Arial"/>
          <w:color w:val="222222"/>
          <w:lang w:val="en-GB"/>
        </w:rPr>
        <w:t xml:space="preserve"> from external events </w:t>
      </w:r>
      <w:r w:rsidRPr="00E20701">
        <w:rPr>
          <w:rStyle w:val="hps"/>
          <w:rFonts w:cs="Arial"/>
          <w:color w:val="222222"/>
          <w:lang w:val="en-GB"/>
        </w:rPr>
        <w:t>are not</w:t>
      </w:r>
      <w:r w:rsidRPr="00E20701">
        <w:rPr>
          <w:rStyle w:val="shorttext"/>
          <w:rFonts w:cs="Arial"/>
          <w:color w:val="222222"/>
          <w:lang w:val="en-GB"/>
        </w:rPr>
        <w:t xml:space="preserve"> </w:t>
      </w:r>
      <w:r w:rsidRPr="00E20701">
        <w:rPr>
          <w:rStyle w:val="hps"/>
          <w:rFonts w:cs="Arial"/>
          <w:color w:val="222222"/>
          <w:lang w:val="en-GB"/>
        </w:rPr>
        <w:t xml:space="preserve">the type of </w:t>
      </w:r>
      <w:r w:rsidR="00B36421">
        <w:rPr>
          <w:rStyle w:val="hps"/>
          <w:rFonts w:cs="Arial"/>
          <w:color w:val="222222"/>
          <w:lang w:val="en-GB"/>
        </w:rPr>
        <w:t>“</w:t>
      </w:r>
      <w:r w:rsidRPr="00E20701">
        <w:rPr>
          <w:rStyle w:val="hps"/>
          <w:rFonts w:cs="Arial"/>
          <w:color w:val="222222"/>
          <w:lang w:val="en-GB"/>
        </w:rPr>
        <w:t xml:space="preserve">Cliff edge </w:t>
      </w:r>
      <w:r w:rsidR="00043FEA">
        <w:rPr>
          <w:rStyle w:val="hps"/>
          <w:rFonts w:cs="Arial" w:hint="eastAsia"/>
          <w:color w:val="222222"/>
          <w:lang w:val="en-GB" w:eastAsia="ja-JP"/>
        </w:rPr>
        <w:t>effect</w:t>
      </w:r>
      <w:r w:rsidR="00B36421">
        <w:rPr>
          <w:rStyle w:val="hps"/>
          <w:rFonts w:cs="Arial"/>
          <w:color w:val="222222"/>
          <w:lang w:val="en-GB"/>
        </w:rPr>
        <w:t>”</w:t>
      </w:r>
      <w:r w:rsidRPr="00E20701">
        <w:rPr>
          <w:rStyle w:val="hps"/>
          <w:rFonts w:cs="Arial"/>
          <w:color w:val="222222"/>
          <w:lang w:val="en-GB"/>
        </w:rPr>
        <w:t xml:space="preserve"> (CCDP)</w:t>
      </w:r>
    </w:p>
    <w:p w:rsidR="006B4D8A" w:rsidRPr="00E20701" w:rsidRDefault="006B4D8A" w:rsidP="006B4D8A">
      <w:pPr>
        <w:spacing w:line="312" w:lineRule="auto"/>
        <w:rPr>
          <w:rFonts w:cs="Arial"/>
          <w:lang w:val="en-GB"/>
        </w:rPr>
      </w:pPr>
    </w:p>
    <w:p w:rsidR="006B4D8A" w:rsidRPr="00E20701" w:rsidRDefault="006B4D8A" w:rsidP="006B4D8A">
      <w:pPr>
        <w:spacing w:line="312" w:lineRule="auto"/>
        <w:rPr>
          <w:rFonts w:cs="Arial"/>
          <w:lang w:val="en-GB"/>
        </w:rPr>
      </w:pPr>
      <w:r w:rsidRPr="00E20701">
        <w:rPr>
          <w:rFonts w:cs="Arial"/>
          <w:lang w:val="en-GB"/>
        </w:rPr>
        <w:t>One of the most important parts of external event analysis has been evaluation of SSC (Structures, Systems, and Components) fragility in consequence of external events. The Evaluation of SSC fragility has been carried out in a deterministic way, i.e. only two possibilities of external event impacts has been taken into account - 1) SSC undamaged (0) or 2) SSC damaged (1). The reason for adopting such approach may be lack of information related to the impact of external events on SSC and/or insufficient methodological support.</w:t>
      </w:r>
    </w:p>
    <w:p w:rsidR="006B4D8A" w:rsidRPr="00E20701" w:rsidRDefault="006B4D8A" w:rsidP="006B4D8A">
      <w:pPr>
        <w:spacing w:line="312" w:lineRule="auto"/>
        <w:rPr>
          <w:rFonts w:cs="Arial"/>
          <w:lang w:val="en-GB"/>
        </w:rPr>
      </w:pPr>
      <w:r w:rsidRPr="00E20701">
        <w:rPr>
          <w:rFonts w:cs="Arial"/>
          <w:lang w:val="en-GB"/>
        </w:rPr>
        <w:t>The approach described above was taken for analysis of all external events except seismic analysis. The seismic analysis has been carried out according to PSA methodology using a probabilistic approach, i.e. fragility curves have been used for the evaluation of SSC fragility.</w:t>
      </w:r>
    </w:p>
    <w:p w:rsidR="006B4D8A" w:rsidRPr="00E20701" w:rsidRDefault="006B4D8A" w:rsidP="006B4D8A">
      <w:pPr>
        <w:spacing w:line="312" w:lineRule="auto"/>
        <w:rPr>
          <w:rStyle w:val="hps"/>
          <w:rFonts w:cs="Arial"/>
          <w:lang w:val="en-GB"/>
        </w:rPr>
      </w:pPr>
    </w:p>
    <w:p w:rsidR="006B4D8A" w:rsidRPr="00E20701" w:rsidRDefault="006B4D8A" w:rsidP="006B4D8A">
      <w:pPr>
        <w:shd w:val="clear" w:color="auto" w:fill="D9D9D9"/>
        <w:spacing w:before="60" w:after="60" w:line="312" w:lineRule="auto"/>
        <w:rPr>
          <w:rFonts w:cs="Arial"/>
          <w:b/>
          <w:u w:val="single"/>
          <w:lang w:val="en-GB"/>
        </w:rPr>
      </w:pPr>
      <w:r w:rsidRPr="00E20701">
        <w:rPr>
          <w:rStyle w:val="hps"/>
          <w:rFonts w:cs="Arial"/>
          <w:b/>
          <w:color w:val="222222"/>
          <w:u w:val="single"/>
          <w:lang w:val="en-GB"/>
        </w:rPr>
        <w:t xml:space="preserve">C. </w:t>
      </w:r>
      <w:r w:rsidRPr="00E20701">
        <w:rPr>
          <w:rStyle w:val="hps"/>
          <w:rFonts w:cs="Arial"/>
          <w:b/>
          <w:color w:val="222222"/>
          <w:lang w:val="en-GB"/>
        </w:rPr>
        <w:t>Combination of</w:t>
      </w:r>
      <w:r w:rsidRPr="00E20701">
        <w:rPr>
          <w:rStyle w:val="shorttext"/>
          <w:rFonts w:cs="Arial"/>
          <w:b/>
          <w:color w:val="222222"/>
          <w:lang w:val="en-GB"/>
        </w:rPr>
        <w:t xml:space="preserve"> </w:t>
      </w:r>
      <w:r w:rsidRPr="00E20701">
        <w:rPr>
          <w:rStyle w:val="hps"/>
          <w:rFonts w:cs="Arial"/>
          <w:b/>
          <w:color w:val="222222"/>
          <w:lang w:val="en-GB"/>
        </w:rPr>
        <w:t>external events</w:t>
      </w:r>
    </w:p>
    <w:p w:rsidR="006B4D8A" w:rsidRPr="00E20701" w:rsidRDefault="006B4D8A" w:rsidP="006B4D8A">
      <w:pPr>
        <w:spacing w:before="60" w:after="60" w:line="312" w:lineRule="auto"/>
        <w:rPr>
          <w:rStyle w:val="hps"/>
          <w:rFonts w:cs="Arial"/>
          <w:color w:val="222222"/>
          <w:lang w:val="en-GB"/>
        </w:rPr>
      </w:pPr>
      <w:r w:rsidRPr="00E20701">
        <w:rPr>
          <w:rStyle w:val="hps"/>
          <w:rFonts w:cs="Arial"/>
          <w:color w:val="222222"/>
          <w:lang w:val="en-GB"/>
        </w:rPr>
        <w:t>The main steps of</w:t>
      </w:r>
      <w:r w:rsidRPr="00E20701">
        <w:rPr>
          <w:rStyle w:val="shorttext"/>
          <w:rFonts w:cs="Arial"/>
          <w:color w:val="222222"/>
          <w:lang w:val="en-GB"/>
        </w:rPr>
        <w:t xml:space="preserve"> combination of external events </w:t>
      </w:r>
      <w:r w:rsidRPr="00E20701">
        <w:rPr>
          <w:rStyle w:val="hps"/>
          <w:rFonts w:cs="Arial"/>
          <w:color w:val="222222"/>
          <w:lang w:val="en-GB"/>
        </w:rPr>
        <w:t>are as follows:</w:t>
      </w:r>
    </w:p>
    <w:p w:rsidR="006B4D8A" w:rsidRPr="00E20701" w:rsidRDefault="006B4D8A" w:rsidP="006B4D8A">
      <w:pPr>
        <w:spacing w:before="60" w:after="60" w:line="312" w:lineRule="auto"/>
        <w:ind w:left="709"/>
        <w:rPr>
          <w:rFonts w:cs="Arial"/>
          <w:lang w:val="en-GB"/>
        </w:rPr>
      </w:pPr>
      <w:r w:rsidRPr="00E20701">
        <w:rPr>
          <w:rFonts w:cs="Arial"/>
          <w:lang w:val="en-GB"/>
        </w:rPr>
        <w:t xml:space="preserve">a) Formation of </w:t>
      </w:r>
      <w:r w:rsidRPr="00E20701">
        <w:rPr>
          <w:rStyle w:val="hps"/>
          <w:rFonts w:cs="Arial"/>
          <w:color w:val="222222"/>
          <w:lang w:val="en-GB"/>
        </w:rPr>
        <w:t>a</w:t>
      </w:r>
      <w:r w:rsidRPr="00E20701">
        <w:rPr>
          <w:rFonts w:cs="Arial"/>
          <w:color w:val="222222"/>
          <w:lang w:val="en-GB"/>
        </w:rPr>
        <w:t xml:space="preserve"> </w:t>
      </w:r>
      <w:r w:rsidRPr="00E20701">
        <w:rPr>
          <w:rStyle w:val="hps"/>
          <w:rFonts w:cs="Arial"/>
          <w:b/>
          <w:color w:val="222222"/>
          <w:lang w:val="en-GB"/>
        </w:rPr>
        <w:t>matrix</w:t>
      </w:r>
      <w:r w:rsidRPr="00E20701">
        <w:rPr>
          <w:rFonts w:cs="Arial"/>
          <w:b/>
          <w:color w:val="222222"/>
          <w:lang w:val="en-GB"/>
        </w:rPr>
        <w:t xml:space="preserve"> </w:t>
      </w:r>
      <w:r w:rsidRPr="00E20701">
        <w:rPr>
          <w:rStyle w:val="hps"/>
          <w:rFonts w:cs="Arial"/>
          <w:b/>
          <w:color w:val="222222"/>
          <w:lang w:val="en-GB"/>
        </w:rPr>
        <w:t>for all combinations</w:t>
      </w:r>
      <w:r w:rsidRPr="00E20701">
        <w:rPr>
          <w:rStyle w:val="hps"/>
          <w:rFonts w:cs="Arial"/>
          <w:color w:val="222222"/>
          <w:lang w:val="en-GB"/>
        </w:rPr>
        <w:t xml:space="preserve"> of</w:t>
      </w:r>
      <w:r w:rsidRPr="00E20701">
        <w:rPr>
          <w:rFonts w:cs="Arial"/>
          <w:color w:val="222222"/>
          <w:lang w:val="en-GB"/>
        </w:rPr>
        <w:t xml:space="preserve"> </w:t>
      </w:r>
      <w:r w:rsidRPr="00E20701">
        <w:rPr>
          <w:rStyle w:val="hps"/>
          <w:rFonts w:cs="Arial"/>
          <w:color w:val="222222"/>
          <w:lang w:val="en-GB"/>
        </w:rPr>
        <w:t>external events</w:t>
      </w:r>
      <w:r w:rsidR="00B36421">
        <w:rPr>
          <w:rStyle w:val="hps"/>
          <w:rFonts w:cs="Arial"/>
          <w:color w:val="222222"/>
          <w:lang w:val="en-GB"/>
        </w:rPr>
        <w:t>,</w:t>
      </w:r>
    </w:p>
    <w:p w:rsidR="006B4D8A" w:rsidRPr="00E20701" w:rsidRDefault="006B4D8A" w:rsidP="006B4D8A">
      <w:pPr>
        <w:spacing w:before="60" w:after="60" w:line="312" w:lineRule="auto"/>
        <w:ind w:left="709"/>
        <w:rPr>
          <w:rFonts w:cs="Arial"/>
          <w:lang w:val="en-GB"/>
        </w:rPr>
      </w:pPr>
      <w:r w:rsidRPr="00E20701">
        <w:rPr>
          <w:rFonts w:cs="Arial"/>
          <w:lang w:val="en-GB"/>
        </w:rPr>
        <w:t xml:space="preserve">b) </w:t>
      </w:r>
      <w:r w:rsidRPr="00E20701">
        <w:rPr>
          <w:rStyle w:val="hps"/>
          <w:rFonts w:cs="Arial"/>
          <w:color w:val="222222"/>
          <w:lang w:val="en-GB"/>
        </w:rPr>
        <w:t>Analysis of</w:t>
      </w:r>
      <w:r w:rsidRPr="00E20701">
        <w:rPr>
          <w:rStyle w:val="shorttext"/>
          <w:rFonts w:cs="Arial"/>
          <w:color w:val="222222"/>
          <w:lang w:val="en-GB"/>
        </w:rPr>
        <w:t xml:space="preserve"> </w:t>
      </w:r>
      <w:r w:rsidRPr="00E20701">
        <w:rPr>
          <w:rStyle w:val="hps"/>
          <w:rFonts w:cs="Arial"/>
          <w:b/>
          <w:color w:val="222222"/>
          <w:lang w:val="en-GB"/>
        </w:rPr>
        <w:t>combination type</w:t>
      </w:r>
      <w:r w:rsidRPr="00E20701">
        <w:rPr>
          <w:rStyle w:val="hps"/>
          <w:rFonts w:cs="Arial"/>
          <w:color w:val="222222"/>
          <w:lang w:val="en-GB"/>
        </w:rPr>
        <w:t xml:space="preserve"> for each combination of external events</w:t>
      </w:r>
      <w:r w:rsidR="00B36421">
        <w:rPr>
          <w:rStyle w:val="hps"/>
          <w:rFonts w:cs="Arial"/>
          <w:color w:val="222222"/>
          <w:lang w:val="en-GB"/>
        </w:rPr>
        <w:t>,</w:t>
      </w:r>
    </w:p>
    <w:p w:rsidR="006B4D8A" w:rsidRPr="00E20701" w:rsidRDefault="006B4D8A" w:rsidP="006B4D8A">
      <w:pPr>
        <w:spacing w:before="60" w:after="60" w:line="312" w:lineRule="auto"/>
        <w:ind w:left="709"/>
        <w:rPr>
          <w:rStyle w:val="hps"/>
          <w:rFonts w:cs="Arial"/>
          <w:color w:val="222222"/>
          <w:lang w:val="en-GB"/>
        </w:rPr>
      </w:pPr>
      <w:r w:rsidRPr="00E20701">
        <w:rPr>
          <w:rFonts w:cs="Arial"/>
          <w:lang w:val="en-GB"/>
        </w:rPr>
        <w:t xml:space="preserve">c) </w:t>
      </w:r>
      <w:r w:rsidRPr="00E20701">
        <w:rPr>
          <w:rStyle w:val="hps"/>
          <w:rFonts w:cs="Arial"/>
          <w:color w:val="222222"/>
          <w:lang w:val="en-GB"/>
        </w:rPr>
        <w:t>Analysis</w:t>
      </w:r>
      <w:r w:rsidRPr="00E20701">
        <w:rPr>
          <w:rStyle w:val="shorttext"/>
          <w:rFonts w:cs="Arial"/>
          <w:color w:val="222222"/>
          <w:lang w:val="en-GB"/>
        </w:rPr>
        <w:t xml:space="preserve"> </w:t>
      </w:r>
      <w:r w:rsidRPr="00E20701">
        <w:rPr>
          <w:rStyle w:val="hps"/>
          <w:rFonts w:cs="Arial"/>
          <w:color w:val="222222"/>
          <w:lang w:val="en-GB"/>
        </w:rPr>
        <w:t xml:space="preserve">of the </w:t>
      </w:r>
      <w:r w:rsidRPr="00E20701">
        <w:rPr>
          <w:rStyle w:val="hps"/>
          <w:rFonts w:cs="Arial"/>
          <w:b/>
          <w:color w:val="222222"/>
          <w:lang w:val="en-GB"/>
        </w:rPr>
        <w:t>dominant</w:t>
      </w:r>
      <w:r w:rsidRPr="00E20701">
        <w:rPr>
          <w:rStyle w:val="shorttext"/>
          <w:rFonts w:cs="Arial"/>
          <w:b/>
          <w:color w:val="222222"/>
          <w:lang w:val="en-GB"/>
        </w:rPr>
        <w:t xml:space="preserve"> hazard</w:t>
      </w:r>
      <w:r w:rsidRPr="00E20701">
        <w:rPr>
          <w:rStyle w:val="shorttext"/>
          <w:rFonts w:cs="Arial"/>
          <w:color w:val="222222"/>
          <w:lang w:val="en-GB"/>
        </w:rPr>
        <w:t xml:space="preserve"> for each </w:t>
      </w:r>
      <w:r w:rsidRPr="00E20701">
        <w:rPr>
          <w:rStyle w:val="hps"/>
          <w:rFonts w:cs="Arial"/>
          <w:color w:val="222222"/>
          <w:lang w:val="en-GB"/>
        </w:rPr>
        <w:t>combination of external events</w:t>
      </w:r>
      <w:r w:rsidR="00B36421">
        <w:rPr>
          <w:rStyle w:val="hps"/>
          <w:rFonts w:cs="Arial"/>
          <w:color w:val="222222"/>
          <w:lang w:val="en-GB"/>
        </w:rPr>
        <w:t>,</w:t>
      </w:r>
    </w:p>
    <w:p w:rsidR="006B4D8A" w:rsidRPr="00E20701" w:rsidRDefault="006B4D8A" w:rsidP="006B4D8A">
      <w:pPr>
        <w:spacing w:before="60" w:after="60" w:line="312" w:lineRule="auto"/>
        <w:ind w:left="709"/>
        <w:rPr>
          <w:rStyle w:val="hps"/>
          <w:rFonts w:cs="Arial"/>
          <w:color w:val="222222"/>
          <w:lang w:val="en-GB"/>
        </w:rPr>
      </w:pPr>
      <w:r w:rsidRPr="00E20701">
        <w:rPr>
          <w:rStyle w:val="hps"/>
          <w:rFonts w:cs="Arial"/>
          <w:color w:val="222222"/>
          <w:lang w:val="en-GB"/>
        </w:rPr>
        <w:t>d) Risk calculation</w:t>
      </w:r>
      <w:r w:rsidR="00B36421">
        <w:rPr>
          <w:rStyle w:val="hps"/>
          <w:rFonts w:cs="Arial"/>
          <w:color w:val="222222"/>
          <w:lang w:val="en-GB"/>
        </w:rPr>
        <w:t>,</w:t>
      </w:r>
    </w:p>
    <w:p w:rsidR="006B4D8A" w:rsidRPr="00E20701" w:rsidRDefault="006B4D8A" w:rsidP="006B4D8A">
      <w:pPr>
        <w:spacing w:before="60" w:after="60" w:line="312" w:lineRule="auto"/>
        <w:ind w:left="709"/>
        <w:rPr>
          <w:rFonts w:cs="Arial"/>
          <w:lang w:val="en-GB"/>
        </w:rPr>
      </w:pPr>
      <w:r w:rsidRPr="00E20701">
        <w:rPr>
          <w:rStyle w:val="hps"/>
          <w:rFonts w:cs="Arial"/>
          <w:color w:val="222222"/>
          <w:lang w:val="en-GB"/>
        </w:rPr>
        <w:t>e) Selection of</w:t>
      </w:r>
      <w:r w:rsidRPr="00E20701">
        <w:rPr>
          <w:rFonts w:cs="Arial"/>
          <w:color w:val="222222"/>
          <w:lang w:val="en-GB"/>
        </w:rPr>
        <w:t xml:space="preserve"> </w:t>
      </w:r>
      <w:r w:rsidRPr="00E20701">
        <w:rPr>
          <w:rStyle w:val="hps"/>
          <w:rFonts w:cs="Arial"/>
          <w:color w:val="222222"/>
          <w:lang w:val="en-GB"/>
        </w:rPr>
        <w:t>dominant combinations</w:t>
      </w:r>
      <w:r w:rsidRPr="00E20701">
        <w:rPr>
          <w:rFonts w:cs="Arial"/>
          <w:color w:val="222222"/>
          <w:lang w:val="en-GB"/>
        </w:rPr>
        <w:t xml:space="preserve"> </w:t>
      </w:r>
      <w:r w:rsidRPr="00E20701">
        <w:rPr>
          <w:rStyle w:val="hps"/>
          <w:rFonts w:cs="Arial"/>
          <w:color w:val="222222"/>
          <w:lang w:val="en-GB"/>
        </w:rPr>
        <w:t>of external events</w:t>
      </w:r>
      <w:r w:rsidR="00B36421">
        <w:rPr>
          <w:rStyle w:val="hps"/>
          <w:rFonts w:cs="Arial"/>
          <w:color w:val="222222"/>
          <w:lang w:val="en-GB"/>
        </w:rPr>
        <w:t>.</w:t>
      </w:r>
    </w:p>
    <w:p w:rsidR="006B4D8A" w:rsidRPr="00E20701" w:rsidRDefault="006B4D8A" w:rsidP="006B4D8A">
      <w:pPr>
        <w:spacing w:before="60" w:after="60" w:line="312" w:lineRule="auto"/>
        <w:rPr>
          <w:rFonts w:cs="Arial"/>
          <w:lang w:val="en-GB"/>
        </w:rPr>
      </w:pPr>
    </w:p>
    <w:p w:rsidR="006B4D8A" w:rsidRPr="00E20701" w:rsidRDefault="006B4D8A" w:rsidP="006B4D8A">
      <w:pPr>
        <w:spacing w:before="60" w:after="60" w:line="312" w:lineRule="auto"/>
        <w:rPr>
          <w:rFonts w:cs="Arial"/>
          <w:lang w:val="en-GB"/>
        </w:rPr>
      </w:pPr>
      <w:r w:rsidRPr="00E20701">
        <w:rPr>
          <w:rFonts w:cs="Arial"/>
          <w:lang w:val="en-GB"/>
        </w:rPr>
        <w:t xml:space="preserve">A matrix created for Dukovany NPP contains 70 x 70 external events. </w:t>
      </w:r>
      <w:r w:rsidRPr="00E20701">
        <w:rPr>
          <w:rStyle w:val="hps"/>
          <w:rFonts w:cs="Arial"/>
          <w:color w:val="222222"/>
          <w:lang w:val="en-GB"/>
        </w:rPr>
        <w:t>Each combination of</w:t>
      </w:r>
      <w:r w:rsidRPr="00E20701">
        <w:rPr>
          <w:rFonts w:cs="Arial"/>
          <w:color w:val="222222"/>
          <w:lang w:val="en-GB"/>
        </w:rPr>
        <w:t xml:space="preserve"> </w:t>
      </w:r>
      <w:r w:rsidRPr="00E20701">
        <w:rPr>
          <w:rStyle w:val="hps"/>
          <w:rFonts w:cs="Arial"/>
          <w:color w:val="222222"/>
          <w:lang w:val="en-GB"/>
        </w:rPr>
        <w:t>external events</w:t>
      </w:r>
      <w:r w:rsidRPr="00E20701">
        <w:rPr>
          <w:rFonts w:cs="Arial"/>
          <w:color w:val="222222"/>
          <w:lang w:val="en-GB"/>
        </w:rPr>
        <w:t xml:space="preserve"> can be associated with </w:t>
      </w:r>
      <w:r w:rsidRPr="00E20701">
        <w:rPr>
          <w:rStyle w:val="hps"/>
          <w:rFonts w:cs="Arial"/>
          <w:color w:val="222222"/>
          <w:lang w:val="en-GB"/>
        </w:rPr>
        <w:t>one of</w:t>
      </w:r>
      <w:r w:rsidRPr="00E20701">
        <w:rPr>
          <w:rFonts w:cs="Arial"/>
          <w:color w:val="222222"/>
          <w:lang w:val="en-GB"/>
        </w:rPr>
        <w:t xml:space="preserve"> </w:t>
      </w:r>
      <w:r w:rsidRPr="00E20701">
        <w:rPr>
          <w:rStyle w:val="hps"/>
          <w:rFonts w:cs="Arial"/>
          <w:color w:val="222222"/>
          <w:lang w:val="en-GB"/>
        </w:rPr>
        <w:t>the following types:</w:t>
      </w:r>
      <w:r w:rsidRPr="00E20701">
        <w:rPr>
          <w:rFonts w:cs="Arial"/>
          <w:lang w:val="en-GB"/>
        </w:rPr>
        <w:t xml:space="preserve"> </w:t>
      </w:r>
    </w:p>
    <w:tbl>
      <w:tblPr>
        <w:tblW w:w="496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2297"/>
        <w:gridCol w:w="6379"/>
      </w:tblGrid>
      <w:tr w:rsidR="006B4D8A" w:rsidRPr="00E20701" w:rsidTr="006B4D8A">
        <w:tc>
          <w:tcPr>
            <w:tcW w:w="433" w:type="pct"/>
          </w:tcPr>
          <w:p w:rsidR="006B4D8A" w:rsidRPr="00E20701" w:rsidRDefault="006B4D8A" w:rsidP="006B4D8A">
            <w:pPr>
              <w:spacing w:before="60" w:after="60" w:line="312" w:lineRule="auto"/>
              <w:jc w:val="center"/>
              <w:rPr>
                <w:rFonts w:cs="Arial"/>
                <w:lang w:val="en-GB"/>
              </w:rPr>
            </w:pPr>
            <w:r w:rsidRPr="00E20701">
              <w:rPr>
                <w:rFonts w:cs="Arial"/>
                <w:lang w:val="en-GB"/>
              </w:rPr>
              <w:t>1.</w:t>
            </w:r>
          </w:p>
        </w:tc>
        <w:tc>
          <w:tcPr>
            <w:tcW w:w="1209" w:type="pct"/>
          </w:tcPr>
          <w:p w:rsidR="006B4D8A" w:rsidRPr="00E20701" w:rsidRDefault="006B4D8A" w:rsidP="006B4D8A">
            <w:pPr>
              <w:spacing w:before="60" w:after="60" w:line="312" w:lineRule="auto"/>
              <w:jc w:val="left"/>
              <w:rPr>
                <w:rFonts w:cs="Arial"/>
                <w:lang w:val="en-GB"/>
              </w:rPr>
            </w:pPr>
            <w:r w:rsidRPr="00E20701">
              <w:rPr>
                <w:rFonts w:cs="Arial"/>
                <w:lang w:val="en-GB"/>
              </w:rPr>
              <w:t>Coincidental Hazards</w:t>
            </w:r>
          </w:p>
        </w:tc>
        <w:tc>
          <w:tcPr>
            <w:tcW w:w="3358" w:type="pct"/>
          </w:tcPr>
          <w:p w:rsidR="006B4D8A" w:rsidRPr="00E20701" w:rsidRDefault="006B4D8A" w:rsidP="006B4D8A">
            <w:pPr>
              <w:spacing w:before="60" w:after="60" w:line="312" w:lineRule="auto"/>
              <w:rPr>
                <w:rFonts w:cs="Arial"/>
                <w:lang w:val="en-GB"/>
              </w:rPr>
            </w:pPr>
            <w:r w:rsidRPr="00E20701">
              <w:rPr>
                <w:rFonts w:cs="Arial"/>
                <w:lang w:val="en-GB"/>
              </w:rPr>
              <w:t>Hazards occurred simultaneously without a common mechanism. For example, an earthquake shortly after an aircraft crash or vice versa. Mathematically, these events are taken as independent events.</w:t>
            </w:r>
          </w:p>
        </w:tc>
      </w:tr>
      <w:tr w:rsidR="006B4D8A" w:rsidRPr="00304D8A" w:rsidTr="006B4D8A">
        <w:tc>
          <w:tcPr>
            <w:tcW w:w="433" w:type="pct"/>
          </w:tcPr>
          <w:p w:rsidR="006B4D8A" w:rsidRPr="00E20701" w:rsidRDefault="006B4D8A" w:rsidP="006B4D8A">
            <w:pPr>
              <w:spacing w:before="60" w:after="60" w:line="312" w:lineRule="auto"/>
              <w:jc w:val="center"/>
              <w:rPr>
                <w:rFonts w:cs="Arial"/>
                <w:lang w:val="en-GB"/>
              </w:rPr>
            </w:pPr>
            <w:r w:rsidRPr="00E20701">
              <w:rPr>
                <w:rFonts w:cs="Arial"/>
                <w:lang w:val="en-GB"/>
              </w:rPr>
              <w:t>2.</w:t>
            </w:r>
          </w:p>
        </w:tc>
        <w:tc>
          <w:tcPr>
            <w:tcW w:w="1209" w:type="pct"/>
          </w:tcPr>
          <w:p w:rsidR="006B4D8A" w:rsidRPr="00E20701" w:rsidRDefault="006B4D8A" w:rsidP="006B4D8A">
            <w:pPr>
              <w:spacing w:before="60" w:after="60" w:line="312" w:lineRule="auto"/>
              <w:jc w:val="left"/>
              <w:rPr>
                <w:rFonts w:cs="Arial"/>
                <w:lang w:val="en-GB"/>
              </w:rPr>
            </w:pPr>
            <w:bookmarkStart w:id="407" w:name="OLE_LINK18"/>
            <w:bookmarkStart w:id="408" w:name="OLE_LINK19"/>
            <w:bookmarkStart w:id="409" w:name="OLE_LINK20"/>
            <w:bookmarkStart w:id="410" w:name="OLE_LINK21"/>
            <w:bookmarkStart w:id="411" w:name="OLE_LINK22"/>
            <w:r w:rsidRPr="00E20701">
              <w:rPr>
                <w:rFonts w:cs="Arial"/>
                <w:lang w:val="en-GB"/>
              </w:rPr>
              <w:t>Consequential Hazards</w:t>
            </w:r>
            <w:bookmarkEnd w:id="407"/>
            <w:bookmarkEnd w:id="408"/>
            <w:bookmarkEnd w:id="409"/>
            <w:bookmarkEnd w:id="410"/>
            <w:bookmarkEnd w:id="411"/>
          </w:p>
        </w:tc>
        <w:tc>
          <w:tcPr>
            <w:tcW w:w="3358" w:type="pct"/>
          </w:tcPr>
          <w:p w:rsidR="006B4D8A" w:rsidRPr="00E20701" w:rsidRDefault="006B4D8A" w:rsidP="006B4D8A">
            <w:pPr>
              <w:spacing w:before="60" w:after="60" w:line="312" w:lineRule="auto"/>
              <w:rPr>
                <w:rFonts w:cs="Arial"/>
                <w:lang w:val="en-GB"/>
              </w:rPr>
            </w:pPr>
            <w:r w:rsidRPr="00E20701">
              <w:rPr>
                <w:rFonts w:cs="Arial"/>
                <w:lang w:val="en-GB"/>
              </w:rPr>
              <w:t>Hazards with a causal relationship. These combinations are possible only if the first condition has been fulfilled – therefore, the order of hazard is important.</w:t>
            </w:r>
          </w:p>
        </w:tc>
      </w:tr>
      <w:tr w:rsidR="006B4D8A" w:rsidRPr="00304D8A" w:rsidTr="006B4D8A">
        <w:tc>
          <w:tcPr>
            <w:tcW w:w="433" w:type="pct"/>
          </w:tcPr>
          <w:p w:rsidR="006B4D8A" w:rsidRPr="00E20701" w:rsidRDefault="006B4D8A" w:rsidP="006B4D8A">
            <w:pPr>
              <w:spacing w:before="60" w:after="60" w:line="312" w:lineRule="auto"/>
              <w:jc w:val="center"/>
              <w:rPr>
                <w:rFonts w:cs="Arial"/>
                <w:lang w:val="en-GB"/>
              </w:rPr>
            </w:pPr>
            <w:r w:rsidRPr="00E20701">
              <w:rPr>
                <w:rFonts w:cs="Arial"/>
                <w:lang w:val="en-GB"/>
              </w:rPr>
              <w:t>3.</w:t>
            </w:r>
          </w:p>
        </w:tc>
        <w:tc>
          <w:tcPr>
            <w:tcW w:w="1209" w:type="pct"/>
          </w:tcPr>
          <w:p w:rsidR="006B4D8A" w:rsidRPr="00E20701" w:rsidRDefault="006B4D8A" w:rsidP="006B4D8A">
            <w:pPr>
              <w:spacing w:before="60" w:after="60" w:line="312" w:lineRule="auto"/>
              <w:jc w:val="left"/>
              <w:rPr>
                <w:rFonts w:cs="Arial"/>
                <w:lang w:val="en-GB"/>
              </w:rPr>
            </w:pPr>
            <w:r w:rsidRPr="00E20701">
              <w:rPr>
                <w:rFonts w:cs="Arial"/>
                <w:lang w:val="en-GB"/>
              </w:rPr>
              <w:t>Correlated Hazards</w:t>
            </w:r>
          </w:p>
        </w:tc>
        <w:tc>
          <w:tcPr>
            <w:tcW w:w="3358" w:type="pct"/>
          </w:tcPr>
          <w:p w:rsidR="006B4D8A" w:rsidRPr="00E20701" w:rsidRDefault="006B4D8A" w:rsidP="006B4D8A">
            <w:pPr>
              <w:spacing w:before="60" w:after="60" w:line="312" w:lineRule="auto"/>
              <w:rPr>
                <w:rFonts w:cs="Arial"/>
                <w:lang w:val="en-GB"/>
              </w:rPr>
            </w:pPr>
            <w:r w:rsidRPr="00E20701">
              <w:rPr>
                <w:rFonts w:cs="Arial"/>
                <w:lang w:val="en-GB"/>
              </w:rPr>
              <w:t>Hazards originated from the same parent event. For example, rail accident BLEVE and rail accident cold toxic gases occurred as a result of the same parent event – rail derailment. In general, one event is not causally related to any other.</w:t>
            </w:r>
          </w:p>
        </w:tc>
      </w:tr>
      <w:tr w:rsidR="006B4D8A" w:rsidRPr="00304D8A" w:rsidTr="006B4D8A">
        <w:tc>
          <w:tcPr>
            <w:tcW w:w="433" w:type="pct"/>
          </w:tcPr>
          <w:p w:rsidR="006B4D8A" w:rsidRPr="00E20701" w:rsidRDefault="006B4D8A" w:rsidP="006B4D8A">
            <w:pPr>
              <w:spacing w:before="60" w:after="60" w:line="312" w:lineRule="auto"/>
              <w:jc w:val="center"/>
              <w:rPr>
                <w:rFonts w:cs="Arial"/>
                <w:lang w:val="en-GB"/>
              </w:rPr>
            </w:pPr>
            <w:r w:rsidRPr="00E20701">
              <w:rPr>
                <w:rFonts w:cs="Arial"/>
                <w:lang w:val="en-GB"/>
              </w:rPr>
              <w:t>4</w:t>
            </w:r>
          </w:p>
        </w:tc>
        <w:tc>
          <w:tcPr>
            <w:tcW w:w="1209" w:type="pct"/>
          </w:tcPr>
          <w:p w:rsidR="006B4D8A" w:rsidRPr="00E20701" w:rsidRDefault="006B4D8A" w:rsidP="006B4D8A">
            <w:pPr>
              <w:spacing w:before="60" w:after="60" w:line="312" w:lineRule="auto"/>
              <w:jc w:val="left"/>
              <w:rPr>
                <w:rFonts w:cs="Arial"/>
                <w:lang w:val="en-GB"/>
              </w:rPr>
            </w:pPr>
            <w:r w:rsidRPr="00E20701">
              <w:rPr>
                <w:rFonts w:cs="Arial"/>
                <w:lang w:val="en-GB"/>
              </w:rPr>
              <w:t>Not Applicable Hazards</w:t>
            </w:r>
          </w:p>
        </w:tc>
        <w:tc>
          <w:tcPr>
            <w:tcW w:w="3358" w:type="pct"/>
          </w:tcPr>
          <w:p w:rsidR="006B4D8A" w:rsidRPr="00E20701" w:rsidRDefault="006B4D8A" w:rsidP="006B4D8A">
            <w:pPr>
              <w:spacing w:before="60" w:after="60" w:line="312" w:lineRule="auto"/>
              <w:rPr>
                <w:rFonts w:cs="Arial"/>
                <w:lang w:val="en-GB"/>
              </w:rPr>
            </w:pPr>
            <w:r w:rsidRPr="00E20701">
              <w:rPr>
                <w:rStyle w:val="hps"/>
                <w:rFonts w:cs="Arial"/>
                <w:color w:val="222222"/>
                <w:lang w:val="en-GB"/>
              </w:rPr>
              <w:t>These are</w:t>
            </w:r>
            <w:r w:rsidRPr="00E20701">
              <w:rPr>
                <w:rFonts w:cs="Arial"/>
                <w:color w:val="222222"/>
                <w:lang w:val="en-GB"/>
              </w:rPr>
              <w:t xml:space="preserve"> </w:t>
            </w:r>
            <w:r w:rsidRPr="00E20701">
              <w:rPr>
                <w:rStyle w:val="hps"/>
                <w:rFonts w:cs="Arial"/>
                <w:color w:val="222222"/>
                <w:lang w:val="en-GB"/>
              </w:rPr>
              <w:t>absurd</w:t>
            </w:r>
            <w:r w:rsidRPr="00E20701">
              <w:rPr>
                <w:rFonts w:cs="Arial"/>
                <w:color w:val="222222"/>
                <w:lang w:val="en-GB"/>
              </w:rPr>
              <w:t xml:space="preserve"> </w:t>
            </w:r>
            <w:r w:rsidRPr="00E20701">
              <w:rPr>
                <w:rStyle w:val="hps"/>
                <w:rFonts w:cs="Arial"/>
                <w:color w:val="222222"/>
                <w:lang w:val="en-GB"/>
              </w:rPr>
              <w:t>or</w:t>
            </w:r>
            <w:r w:rsidRPr="00E20701">
              <w:rPr>
                <w:rFonts w:cs="Arial"/>
                <w:color w:val="222222"/>
                <w:lang w:val="en-GB"/>
              </w:rPr>
              <w:t xml:space="preserve"> </w:t>
            </w:r>
            <w:r w:rsidRPr="00E20701">
              <w:rPr>
                <w:rStyle w:val="hps"/>
                <w:rFonts w:cs="Arial"/>
                <w:color w:val="222222"/>
                <w:lang w:val="en-GB"/>
              </w:rPr>
              <w:t>illogical</w:t>
            </w:r>
            <w:r w:rsidRPr="00E20701">
              <w:rPr>
                <w:rFonts w:cs="Arial"/>
                <w:color w:val="222222"/>
                <w:lang w:val="en-GB"/>
              </w:rPr>
              <w:t xml:space="preserve"> </w:t>
            </w:r>
            <w:r w:rsidRPr="00E20701">
              <w:rPr>
                <w:rStyle w:val="hps"/>
                <w:rFonts w:cs="Arial"/>
                <w:color w:val="222222"/>
                <w:lang w:val="en-GB"/>
              </w:rPr>
              <w:t>combinations</w:t>
            </w:r>
            <w:r w:rsidRPr="00E20701">
              <w:rPr>
                <w:rFonts w:cs="Arial"/>
                <w:color w:val="222222"/>
                <w:lang w:val="en-GB"/>
              </w:rPr>
              <w:t xml:space="preserve">. </w:t>
            </w:r>
            <w:r w:rsidRPr="00E20701">
              <w:rPr>
                <w:rStyle w:val="hps"/>
                <w:rFonts w:cs="Arial"/>
                <w:color w:val="222222"/>
                <w:lang w:val="en-GB"/>
              </w:rPr>
              <w:t>For example,</w:t>
            </w:r>
            <w:r w:rsidRPr="00E20701">
              <w:rPr>
                <w:rFonts w:cs="Arial"/>
                <w:color w:val="222222"/>
                <w:lang w:val="en-GB"/>
              </w:rPr>
              <w:t xml:space="preserve"> </w:t>
            </w:r>
            <w:r w:rsidRPr="00E20701">
              <w:rPr>
                <w:rStyle w:val="hps"/>
                <w:rFonts w:cs="Arial"/>
                <w:color w:val="222222"/>
                <w:lang w:val="en-GB"/>
              </w:rPr>
              <w:t>the simultaneous occurrence of</w:t>
            </w:r>
            <w:r w:rsidRPr="00E20701">
              <w:rPr>
                <w:rFonts w:cs="Arial"/>
                <w:color w:val="222222"/>
                <w:lang w:val="en-GB"/>
              </w:rPr>
              <w:t xml:space="preserve"> </w:t>
            </w:r>
            <w:r w:rsidRPr="00E20701">
              <w:rPr>
                <w:rStyle w:val="hps"/>
                <w:rFonts w:cs="Arial"/>
                <w:color w:val="222222"/>
                <w:lang w:val="en-GB"/>
              </w:rPr>
              <w:t>the event</w:t>
            </w:r>
            <w:r w:rsidRPr="00E20701">
              <w:rPr>
                <w:rFonts w:cs="Arial"/>
                <w:color w:val="222222"/>
                <w:lang w:val="en-GB"/>
              </w:rPr>
              <w:t xml:space="preserve"> </w:t>
            </w:r>
            <w:r w:rsidRPr="00E20701">
              <w:rPr>
                <w:rStyle w:val="hps"/>
                <w:rFonts w:cs="Arial"/>
                <w:color w:val="222222"/>
                <w:lang w:val="en-GB"/>
              </w:rPr>
              <w:t>type</w:t>
            </w:r>
            <w:r w:rsidRPr="00E20701">
              <w:rPr>
                <w:rFonts w:cs="Arial"/>
                <w:color w:val="222222"/>
                <w:lang w:val="en-GB"/>
              </w:rPr>
              <w:t xml:space="preserve"> </w:t>
            </w:r>
            <w:r w:rsidRPr="00E20701">
              <w:rPr>
                <w:rStyle w:val="hps"/>
                <w:rFonts w:cs="Arial"/>
                <w:color w:val="222222"/>
                <w:lang w:val="en-GB"/>
              </w:rPr>
              <w:t>"high temperature</w:t>
            </w:r>
            <w:r w:rsidRPr="00E20701">
              <w:rPr>
                <w:rFonts w:cs="Arial"/>
                <w:color w:val="222222"/>
                <w:lang w:val="en-GB"/>
              </w:rPr>
              <w:t xml:space="preserve">" </w:t>
            </w:r>
            <w:r w:rsidRPr="00E20701">
              <w:rPr>
                <w:rStyle w:val="hps"/>
                <w:rFonts w:cs="Arial"/>
                <w:color w:val="222222"/>
                <w:lang w:val="en-GB"/>
              </w:rPr>
              <w:t>x</w:t>
            </w:r>
            <w:r w:rsidRPr="00E20701">
              <w:rPr>
                <w:rFonts w:cs="Arial"/>
                <w:color w:val="222222"/>
                <w:lang w:val="en-GB"/>
              </w:rPr>
              <w:t xml:space="preserve"> </w:t>
            </w:r>
            <w:r w:rsidRPr="00E20701">
              <w:rPr>
                <w:rStyle w:val="hps"/>
                <w:rFonts w:cs="Arial"/>
                <w:color w:val="222222"/>
                <w:lang w:val="en-GB"/>
              </w:rPr>
              <w:t>"low temperature</w:t>
            </w:r>
            <w:r w:rsidRPr="00E20701">
              <w:rPr>
                <w:rFonts w:cs="Arial"/>
                <w:color w:val="222222"/>
                <w:lang w:val="en-GB"/>
              </w:rPr>
              <w:t>"</w:t>
            </w:r>
          </w:p>
        </w:tc>
      </w:tr>
    </w:tbl>
    <w:p w:rsidR="006B4D8A" w:rsidRPr="00E20701" w:rsidRDefault="006B4D8A" w:rsidP="006B4D8A">
      <w:pPr>
        <w:spacing w:before="360" w:after="360" w:line="312" w:lineRule="auto"/>
        <w:rPr>
          <w:rStyle w:val="hps"/>
          <w:rFonts w:cs="Arial"/>
          <w:color w:val="222222"/>
          <w:lang w:val="en-GB"/>
        </w:rPr>
      </w:pPr>
      <w:r w:rsidRPr="00E20701">
        <w:rPr>
          <w:rStyle w:val="hps"/>
          <w:rFonts w:cs="Arial"/>
          <w:color w:val="222222"/>
          <w:lang w:val="en-GB"/>
        </w:rPr>
        <w:t>Effect of all</w:t>
      </w:r>
      <w:r w:rsidRPr="00E20701">
        <w:rPr>
          <w:rFonts w:cs="Arial"/>
          <w:color w:val="222222"/>
          <w:lang w:val="en-GB"/>
        </w:rPr>
        <w:t xml:space="preserve"> </w:t>
      </w:r>
      <w:r w:rsidRPr="00E20701">
        <w:rPr>
          <w:rStyle w:val="hps"/>
          <w:rFonts w:cs="Arial"/>
          <w:color w:val="222222"/>
          <w:lang w:val="en-GB"/>
        </w:rPr>
        <w:t>hazards</w:t>
      </w:r>
      <w:r w:rsidRPr="00E20701">
        <w:rPr>
          <w:rFonts w:cs="Arial"/>
          <w:color w:val="222222"/>
          <w:lang w:val="en-GB"/>
        </w:rPr>
        <w:t xml:space="preserve"> </w:t>
      </w:r>
      <w:r w:rsidRPr="00E20701">
        <w:rPr>
          <w:rStyle w:val="hps"/>
          <w:rFonts w:cs="Arial"/>
          <w:color w:val="222222"/>
          <w:lang w:val="en-GB"/>
        </w:rPr>
        <w:t>caused by</w:t>
      </w:r>
      <w:r w:rsidRPr="00E20701">
        <w:rPr>
          <w:rFonts w:cs="Arial"/>
          <w:color w:val="222222"/>
          <w:lang w:val="en-GB"/>
        </w:rPr>
        <w:t xml:space="preserve"> </w:t>
      </w:r>
      <w:r w:rsidRPr="00E20701">
        <w:rPr>
          <w:rStyle w:val="hps"/>
          <w:rFonts w:cs="Arial"/>
          <w:color w:val="222222"/>
          <w:lang w:val="en-GB"/>
        </w:rPr>
        <w:t>external events</w:t>
      </w:r>
      <w:r w:rsidRPr="00E20701">
        <w:rPr>
          <w:rFonts w:cs="Arial"/>
          <w:color w:val="222222"/>
          <w:lang w:val="en-GB"/>
        </w:rPr>
        <w:t xml:space="preserve"> c</w:t>
      </w:r>
      <w:r w:rsidRPr="00E20701">
        <w:rPr>
          <w:rStyle w:val="hps"/>
          <w:rFonts w:cs="Arial"/>
          <w:color w:val="222222"/>
          <w:lang w:val="en-GB"/>
        </w:rPr>
        <w:t>ombination on the unit has been considered. Dominant</w:t>
      </w:r>
      <w:r w:rsidRPr="00E20701">
        <w:rPr>
          <w:rStyle w:val="shorttext"/>
          <w:rFonts w:cs="Arial"/>
          <w:color w:val="222222"/>
          <w:lang w:val="en-GB"/>
        </w:rPr>
        <w:t xml:space="preserve"> </w:t>
      </w:r>
      <w:r w:rsidRPr="00E20701">
        <w:rPr>
          <w:rStyle w:val="hps"/>
          <w:rFonts w:cs="Arial"/>
          <w:color w:val="222222"/>
          <w:lang w:val="en-GB"/>
        </w:rPr>
        <w:t>or faster</w:t>
      </w:r>
      <w:r w:rsidRPr="00E20701">
        <w:rPr>
          <w:rStyle w:val="shorttext"/>
          <w:rFonts w:cs="Arial"/>
          <w:color w:val="222222"/>
          <w:lang w:val="en-GB"/>
        </w:rPr>
        <w:t xml:space="preserve"> </w:t>
      </w:r>
      <w:r w:rsidRPr="00E20701">
        <w:rPr>
          <w:rStyle w:val="hps"/>
          <w:rFonts w:cs="Arial"/>
          <w:color w:val="222222"/>
          <w:lang w:val="en-GB"/>
        </w:rPr>
        <w:t>hazard</w:t>
      </w:r>
      <w:r w:rsidRPr="00E20701">
        <w:rPr>
          <w:rStyle w:val="shorttext"/>
          <w:rFonts w:cs="Arial"/>
          <w:color w:val="222222"/>
          <w:lang w:val="en-GB"/>
        </w:rPr>
        <w:t xml:space="preserve"> </w:t>
      </w:r>
      <w:r w:rsidRPr="00E20701">
        <w:rPr>
          <w:rStyle w:val="hps"/>
          <w:rFonts w:cs="Arial"/>
          <w:color w:val="222222"/>
          <w:lang w:val="en-GB"/>
        </w:rPr>
        <w:t>defines</w:t>
      </w:r>
      <w:r w:rsidRPr="00E20701">
        <w:rPr>
          <w:rStyle w:val="shorttext"/>
          <w:rFonts w:cs="Arial"/>
          <w:color w:val="222222"/>
          <w:lang w:val="en-GB"/>
        </w:rPr>
        <w:t xml:space="preserve"> the type of </w:t>
      </w:r>
      <w:r w:rsidRPr="00E20701">
        <w:rPr>
          <w:rStyle w:val="hps"/>
          <w:rFonts w:cs="Arial"/>
          <w:color w:val="222222"/>
          <w:lang w:val="en-GB"/>
        </w:rPr>
        <w:t>IE. Correlation between currently operating hazards (lack of methodologies and information) has not been considered.</w:t>
      </w:r>
    </w:p>
    <w:p w:rsidR="006B4D8A" w:rsidRPr="00E20701" w:rsidRDefault="006B4D8A" w:rsidP="006B4D8A">
      <w:pPr>
        <w:spacing w:before="360" w:after="360" w:line="312" w:lineRule="auto"/>
        <w:rPr>
          <w:rFonts w:ascii="Arial" w:hAnsi="Arial" w:cs="Arial"/>
          <w:lang w:val="en-GB"/>
        </w:rPr>
      </w:pPr>
      <w:r w:rsidRPr="00E20701">
        <w:rPr>
          <w:rFonts w:cs="Arial"/>
          <w:lang w:val="en-GB"/>
        </w:rPr>
        <w:t xml:space="preserve">In total, </w:t>
      </w:r>
      <w:r w:rsidRPr="00E20701">
        <w:rPr>
          <w:rStyle w:val="hps"/>
          <w:rFonts w:cs="Arial"/>
          <w:color w:val="222222"/>
          <w:lang w:val="en-GB"/>
        </w:rPr>
        <w:t>12 dominant combinations of external events</w:t>
      </w:r>
      <w:r w:rsidRPr="00E20701">
        <w:rPr>
          <w:rFonts w:cs="Arial"/>
          <w:color w:val="222222"/>
          <w:lang w:val="en-GB"/>
        </w:rPr>
        <w:t xml:space="preserve"> </w:t>
      </w:r>
      <w:r w:rsidRPr="00E20701">
        <w:rPr>
          <w:rStyle w:val="hps"/>
          <w:rFonts w:cs="Arial"/>
          <w:color w:val="222222"/>
          <w:lang w:val="en-GB"/>
        </w:rPr>
        <w:t>with</w:t>
      </w:r>
      <w:r w:rsidRPr="00E20701">
        <w:rPr>
          <w:rFonts w:cs="Arial"/>
          <w:color w:val="222222"/>
          <w:lang w:val="en-GB"/>
        </w:rPr>
        <w:t xml:space="preserve"> high </w:t>
      </w:r>
      <w:r w:rsidRPr="00E20701">
        <w:rPr>
          <w:rStyle w:val="hps"/>
          <w:rFonts w:cs="Arial"/>
          <w:color w:val="222222"/>
          <w:lang w:val="en-GB"/>
        </w:rPr>
        <w:t xml:space="preserve">risk potential </w:t>
      </w:r>
      <w:r w:rsidRPr="00E20701">
        <w:rPr>
          <w:rFonts w:cs="Arial"/>
          <w:color w:val="222222"/>
          <w:lang w:val="en-GB"/>
        </w:rPr>
        <w:t>have been selected for further analysis</w:t>
      </w:r>
      <w:r w:rsidRPr="00E20701">
        <w:rPr>
          <w:rStyle w:val="hps"/>
          <w:rFonts w:cs="Arial"/>
          <w:color w:val="222222"/>
          <w:lang w:val="en-GB"/>
        </w:rPr>
        <w:t>.</w:t>
      </w:r>
      <w:r w:rsidRPr="00E20701">
        <w:rPr>
          <w:rFonts w:cs="Arial"/>
          <w:color w:val="222222"/>
          <w:lang w:val="en-GB"/>
        </w:rPr>
        <w:t xml:space="preserve"> Risk assessment of these combinations </w:t>
      </w:r>
      <w:r w:rsidRPr="00E20701">
        <w:rPr>
          <w:rStyle w:val="hps"/>
          <w:rFonts w:cs="Arial"/>
          <w:color w:val="222222"/>
          <w:lang w:val="en-GB"/>
        </w:rPr>
        <w:t>has not been</w:t>
      </w:r>
      <w:r w:rsidRPr="00E20701">
        <w:rPr>
          <w:rFonts w:cs="Arial"/>
          <w:color w:val="222222"/>
          <w:lang w:val="en-GB"/>
        </w:rPr>
        <w:t xml:space="preserve"> </w:t>
      </w:r>
      <w:r w:rsidRPr="00E20701">
        <w:rPr>
          <w:rStyle w:val="hps"/>
          <w:rFonts w:cs="Arial"/>
          <w:color w:val="222222"/>
          <w:lang w:val="en-GB"/>
        </w:rPr>
        <w:t>performed yet.</w:t>
      </w:r>
    </w:p>
    <w:p w:rsidR="00737A59" w:rsidRPr="00E20701" w:rsidRDefault="00737A59" w:rsidP="003A5817">
      <w:pPr>
        <w:pStyle w:val="Titre3"/>
        <w:rPr>
          <w:lang w:val="en-GB"/>
        </w:rPr>
      </w:pPr>
      <w:bookmarkStart w:id="412" w:name="_Toc450206647"/>
      <w:bookmarkStart w:id="413" w:name="_Toc450207681"/>
      <w:bookmarkStart w:id="414" w:name="_Ref445059493"/>
      <w:bookmarkStart w:id="415" w:name="_Toc473303556"/>
      <w:bookmarkEnd w:id="412"/>
      <w:bookmarkEnd w:id="413"/>
      <w:r w:rsidRPr="00E20701">
        <w:rPr>
          <w:lang w:val="en-GB"/>
        </w:rPr>
        <w:t>France</w:t>
      </w:r>
      <w:bookmarkEnd w:id="414"/>
      <w:bookmarkEnd w:id="415"/>
    </w:p>
    <w:p w:rsidR="00BE5FB5" w:rsidRPr="00BE5FB5" w:rsidRDefault="00BE5FB5" w:rsidP="003A5817">
      <w:pPr>
        <w:pStyle w:val="Titre4"/>
        <w:rPr>
          <w:lang w:val="en-GB"/>
        </w:rPr>
      </w:pPr>
      <w:r w:rsidRPr="00BE5FB5">
        <w:rPr>
          <w:lang w:val="en-GB"/>
        </w:rPr>
        <w:t>Context</w:t>
      </w:r>
    </w:p>
    <w:p w:rsidR="00BE5FB5" w:rsidRPr="00BE5FB5" w:rsidRDefault="00BE5FB5" w:rsidP="009803F6">
      <w:pPr>
        <w:keepNext/>
        <w:rPr>
          <w:highlight w:val="magenta"/>
          <w:lang w:val="en-GB"/>
        </w:rPr>
      </w:pPr>
    </w:p>
    <w:p w:rsidR="00FB2B01" w:rsidRDefault="00061871" w:rsidP="009803F6">
      <w:pPr>
        <w:keepNext/>
        <w:spacing w:line="360" w:lineRule="auto"/>
        <w:rPr>
          <w:szCs w:val="18"/>
          <w:lang w:val="en-US"/>
        </w:rPr>
      </w:pPr>
      <w:r w:rsidRPr="001B7918">
        <w:rPr>
          <w:szCs w:val="18"/>
          <w:lang w:val="en-US"/>
        </w:rPr>
        <w:t xml:space="preserve">In general, in France, for operating reactors and new reactors, Level 1 and 2 PSA including all pertinent internal events, internal and external hazards should </w:t>
      </w:r>
      <w:r w:rsidR="00FB2B01">
        <w:rPr>
          <w:szCs w:val="18"/>
          <w:lang w:val="en-US"/>
        </w:rPr>
        <w:t xml:space="preserve">now </w:t>
      </w:r>
      <w:r w:rsidRPr="001B7918">
        <w:rPr>
          <w:szCs w:val="18"/>
          <w:lang w:val="en-US"/>
        </w:rPr>
        <w:t>be available</w:t>
      </w:r>
      <w:r w:rsidR="00FB2B01">
        <w:rPr>
          <w:szCs w:val="18"/>
          <w:lang w:val="en-US"/>
        </w:rPr>
        <w:t xml:space="preserve"> for each NPP</w:t>
      </w:r>
      <w:r w:rsidR="009126B6">
        <w:rPr>
          <w:szCs w:val="18"/>
          <w:lang w:val="en-US"/>
        </w:rPr>
        <w:t>, taking into account the state-of-</w:t>
      </w:r>
      <w:r w:rsidRPr="001B7918">
        <w:rPr>
          <w:szCs w:val="18"/>
          <w:lang w:val="en-US"/>
        </w:rPr>
        <w:t>the art and the availability of data. If for some hazards</w:t>
      </w:r>
      <w:r w:rsidR="00FB2B01">
        <w:rPr>
          <w:szCs w:val="18"/>
          <w:lang w:val="en-US"/>
        </w:rPr>
        <w:t>,</w:t>
      </w:r>
      <w:r w:rsidR="009126B6">
        <w:rPr>
          <w:szCs w:val="18"/>
          <w:lang w:val="en-US"/>
        </w:rPr>
        <w:t xml:space="preserve"> the state-of-the-</w:t>
      </w:r>
      <w:r w:rsidRPr="001B7918">
        <w:rPr>
          <w:szCs w:val="18"/>
          <w:lang w:val="en-US"/>
        </w:rPr>
        <w:t>art or the data are not available</w:t>
      </w:r>
      <w:r w:rsidR="009126B6">
        <w:rPr>
          <w:szCs w:val="18"/>
          <w:lang w:val="en-US"/>
        </w:rPr>
        <w:t>,</w:t>
      </w:r>
      <w:r w:rsidRPr="001B7918">
        <w:rPr>
          <w:szCs w:val="18"/>
          <w:lang w:val="en-US"/>
        </w:rPr>
        <w:t xml:space="preserve"> other methods should be employed in order to assess their contribution to the installation risk.</w:t>
      </w:r>
    </w:p>
    <w:p w:rsidR="009126B6" w:rsidRDefault="009126B6" w:rsidP="001B7918">
      <w:pPr>
        <w:spacing w:line="360" w:lineRule="auto"/>
        <w:rPr>
          <w:szCs w:val="18"/>
          <w:lang w:val="en-US"/>
        </w:rPr>
      </w:pPr>
    </w:p>
    <w:p w:rsidR="00061871" w:rsidRPr="001B7918" w:rsidRDefault="00061871" w:rsidP="001B7918">
      <w:pPr>
        <w:spacing w:line="360" w:lineRule="auto"/>
        <w:rPr>
          <w:szCs w:val="18"/>
          <w:lang w:val="en-US"/>
        </w:rPr>
      </w:pPr>
      <w:r w:rsidRPr="001B7918">
        <w:rPr>
          <w:szCs w:val="18"/>
          <w:lang w:val="en-US"/>
        </w:rPr>
        <w:t>The</w:t>
      </w:r>
      <w:r w:rsidR="00FB2B01">
        <w:rPr>
          <w:szCs w:val="18"/>
          <w:lang w:val="en-US"/>
        </w:rPr>
        <w:t>se</w:t>
      </w:r>
      <w:r w:rsidRPr="001B7918">
        <w:rPr>
          <w:szCs w:val="18"/>
          <w:lang w:val="en-US"/>
        </w:rPr>
        <w:t xml:space="preserve"> PSA</w:t>
      </w:r>
      <w:r w:rsidR="00FB2B01">
        <w:rPr>
          <w:szCs w:val="18"/>
          <w:lang w:val="en-US"/>
        </w:rPr>
        <w:t>s</w:t>
      </w:r>
      <w:r w:rsidRPr="001B7918">
        <w:rPr>
          <w:szCs w:val="18"/>
          <w:lang w:val="en-US"/>
        </w:rPr>
        <w:t xml:space="preserve"> should cover:</w:t>
      </w:r>
    </w:p>
    <w:p w:rsidR="00061871" w:rsidRPr="001B7918" w:rsidRDefault="00061871" w:rsidP="00E62976">
      <w:pPr>
        <w:pStyle w:val="Paragraphedeliste"/>
        <w:numPr>
          <w:ilvl w:val="0"/>
          <w:numId w:val="47"/>
        </w:numPr>
        <w:spacing w:after="0" w:line="360" w:lineRule="auto"/>
        <w:jc w:val="both"/>
        <w:rPr>
          <w:rFonts w:ascii="Trebuchet MS" w:hAnsi="Trebuchet MS"/>
          <w:sz w:val="18"/>
          <w:szCs w:val="18"/>
        </w:rPr>
      </w:pPr>
      <w:r w:rsidRPr="001B7918">
        <w:rPr>
          <w:rFonts w:ascii="Trebuchet MS" w:hAnsi="Trebuchet MS"/>
          <w:sz w:val="18"/>
          <w:szCs w:val="18"/>
        </w:rPr>
        <w:t>All the plant operational states (full power, shutdown…),</w:t>
      </w:r>
    </w:p>
    <w:p w:rsidR="00061871" w:rsidRPr="001B7918" w:rsidRDefault="00061871" w:rsidP="00E62976">
      <w:pPr>
        <w:pStyle w:val="Paragraphedeliste"/>
        <w:numPr>
          <w:ilvl w:val="0"/>
          <w:numId w:val="47"/>
        </w:numPr>
        <w:spacing w:after="0" w:line="360" w:lineRule="auto"/>
        <w:jc w:val="both"/>
        <w:rPr>
          <w:rFonts w:ascii="Trebuchet MS" w:hAnsi="Trebuchet MS"/>
          <w:sz w:val="18"/>
          <w:szCs w:val="18"/>
        </w:rPr>
      </w:pPr>
      <w:r w:rsidRPr="001B7918">
        <w:rPr>
          <w:rFonts w:ascii="Trebuchet MS" w:hAnsi="Trebuchet MS"/>
          <w:sz w:val="18"/>
          <w:szCs w:val="18"/>
        </w:rPr>
        <w:t>The events affecting simultaneously the reactor and the spent fuel pool,</w:t>
      </w:r>
    </w:p>
    <w:p w:rsidR="00061871" w:rsidRPr="001B7918" w:rsidRDefault="00061871" w:rsidP="00E62976">
      <w:pPr>
        <w:pStyle w:val="Paragraphedeliste"/>
        <w:numPr>
          <w:ilvl w:val="0"/>
          <w:numId w:val="47"/>
        </w:numPr>
        <w:spacing w:after="0" w:line="360" w:lineRule="auto"/>
        <w:jc w:val="both"/>
        <w:rPr>
          <w:rFonts w:ascii="Trebuchet MS" w:hAnsi="Trebuchet MS"/>
          <w:sz w:val="18"/>
          <w:szCs w:val="18"/>
        </w:rPr>
      </w:pPr>
      <w:r w:rsidRPr="001B7918">
        <w:rPr>
          <w:rFonts w:ascii="Trebuchet MS" w:hAnsi="Trebuchet MS"/>
          <w:sz w:val="18"/>
          <w:szCs w:val="18"/>
        </w:rPr>
        <w:t>The events affecting more than one site installation (or the whole site), inc</w:t>
      </w:r>
      <w:r w:rsidR="00FB2B01" w:rsidRPr="005D64CA">
        <w:rPr>
          <w:rFonts w:ascii="Trebuchet MS" w:hAnsi="Trebuchet MS"/>
          <w:sz w:val="18"/>
          <w:szCs w:val="18"/>
        </w:rPr>
        <w:t>ludin</w:t>
      </w:r>
      <w:r w:rsidR="00FB2B01" w:rsidRPr="00D26D32">
        <w:rPr>
          <w:rFonts w:ascii="Trebuchet MS" w:hAnsi="Trebuchet MS"/>
          <w:sz w:val="18"/>
          <w:szCs w:val="18"/>
        </w:rPr>
        <w:t>g the long lasting events.</w:t>
      </w:r>
    </w:p>
    <w:p w:rsidR="00FB2B01" w:rsidRDefault="00FB2B01" w:rsidP="001B7918">
      <w:pPr>
        <w:spacing w:line="360" w:lineRule="auto"/>
        <w:rPr>
          <w:szCs w:val="18"/>
          <w:lang w:val="en-US"/>
        </w:rPr>
      </w:pPr>
    </w:p>
    <w:p w:rsidR="00061871" w:rsidRPr="001B7918" w:rsidRDefault="009126B6" w:rsidP="001B7918">
      <w:pPr>
        <w:spacing w:line="360" w:lineRule="auto"/>
        <w:rPr>
          <w:szCs w:val="18"/>
          <w:lang w:val="en-US"/>
        </w:rPr>
      </w:pPr>
      <w:r>
        <w:rPr>
          <w:szCs w:val="18"/>
          <w:lang w:val="en-US"/>
        </w:rPr>
        <w:t>I</w:t>
      </w:r>
      <w:r w:rsidR="00FB2B01">
        <w:rPr>
          <w:szCs w:val="18"/>
          <w:lang w:val="en-US"/>
        </w:rPr>
        <w:t xml:space="preserve">nternal and external hazards PSAs are currently being developed by EDF to support the coming periodic safety review. </w:t>
      </w:r>
      <w:r>
        <w:rPr>
          <w:szCs w:val="18"/>
          <w:lang w:val="en-US"/>
        </w:rPr>
        <w:t xml:space="preserve">To help in reviewing tasks, </w:t>
      </w:r>
      <w:r w:rsidR="00FB2B01">
        <w:rPr>
          <w:szCs w:val="18"/>
          <w:lang w:val="en-US"/>
        </w:rPr>
        <w:t xml:space="preserve">IRSN develops also some studies in parallel with a more limited scope. The quality of </w:t>
      </w:r>
      <w:r>
        <w:rPr>
          <w:szCs w:val="18"/>
          <w:lang w:val="en-US"/>
        </w:rPr>
        <w:t xml:space="preserve">these </w:t>
      </w:r>
      <w:r w:rsidR="00FB2B01">
        <w:rPr>
          <w:szCs w:val="18"/>
          <w:lang w:val="en-US"/>
        </w:rPr>
        <w:t>hazards PSAs shall progress during the coming years.</w:t>
      </w:r>
    </w:p>
    <w:p w:rsidR="00FB2B01" w:rsidRDefault="00FB2B01" w:rsidP="001B7918">
      <w:pPr>
        <w:spacing w:line="360" w:lineRule="auto"/>
        <w:rPr>
          <w:szCs w:val="18"/>
          <w:lang w:val="en-US"/>
        </w:rPr>
      </w:pPr>
    </w:p>
    <w:p w:rsidR="00061871" w:rsidRPr="001B7918" w:rsidRDefault="00061871" w:rsidP="001B7918">
      <w:pPr>
        <w:spacing w:line="360" w:lineRule="auto"/>
        <w:rPr>
          <w:szCs w:val="18"/>
          <w:lang w:val="en-US"/>
        </w:rPr>
      </w:pPr>
      <w:r w:rsidRPr="001B7918">
        <w:rPr>
          <w:szCs w:val="18"/>
          <w:lang w:val="en-US"/>
        </w:rPr>
        <w:t>The procedure of selection of initiating events for PSA follows specific approaches for:</w:t>
      </w:r>
    </w:p>
    <w:p w:rsidR="00061871" w:rsidRPr="001B7918" w:rsidRDefault="00061871" w:rsidP="00E62976">
      <w:pPr>
        <w:pStyle w:val="Paragraphedeliste"/>
        <w:numPr>
          <w:ilvl w:val="0"/>
          <w:numId w:val="47"/>
        </w:numPr>
        <w:spacing w:after="0" w:line="360" w:lineRule="auto"/>
        <w:jc w:val="both"/>
        <w:rPr>
          <w:rFonts w:ascii="Trebuchet MS" w:hAnsi="Trebuchet MS"/>
          <w:sz w:val="18"/>
          <w:szCs w:val="18"/>
        </w:rPr>
      </w:pPr>
      <w:r w:rsidRPr="001B7918">
        <w:rPr>
          <w:rFonts w:ascii="Trebuchet MS" w:hAnsi="Trebuchet MS"/>
          <w:sz w:val="18"/>
          <w:szCs w:val="18"/>
        </w:rPr>
        <w:t>Internal events,</w:t>
      </w:r>
    </w:p>
    <w:p w:rsidR="00061871" w:rsidRPr="001B7918" w:rsidRDefault="00061871" w:rsidP="00E62976">
      <w:pPr>
        <w:pStyle w:val="Paragraphedeliste"/>
        <w:numPr>
          <w:ilvl w:val="0"/>
          <w:numId w:val="47"/>
        </w:numPr>
        <w:spacing w:after="0" w:line="360" w:lineRule="auto"/>
        <w:jc w:val="both"/>
        <w:rPr>
          <w:rFonts w:ascii="Trebuchet MS" w:hAnsi="Trebuchet MS"/>
          <w:sz w:val="18"/>
          <w:szCs w:val="18"/>
        </w:rPr>
      </w:pPr>
      <w:r w:rsidRPr="001B7918">
        <w:rPr>
          <w:rFonts w:ascii="Trebuchet MS" w:hAnsi="Trebuchet MS"/>
          <w:sz w:val="18"/>
          <w:szCs w:val="18"/>
        </w:rPr>
        <w:t>Internal hazards,</w:t>
      </w:r>
    </w:p>
    <w:p w:rsidR="00061871" w:rsidRPr="001B7918" w:rsidRDefault="00061871" w:rsidP="00E62976">
      <w:pPr>
        <w:pStyle w:val="Paragraphedeliste"/>
        <w:numPr>
          <w:ilvl w:val="0"/>
          <w:numId w:val="47"/>
        </w:numPr>
        <w:spacing w:after="0" w:line="360" w:lineRule="auto"/>
        <w:jc w:val="both"/>
        <w:rPr>
          <w:rFonts w:ascii="Trebuchet MS" w:hAnsi="Trebuchet MS"/>
          <w:sz w:val="18"/>
          <w:szCs w:val="18"/>
        </w:rPr>
      </w:pPr>
      <w:r w:rsidRPr="001B7918">
        <w:rPr>
          <w:rFonts w:ascii="Trebuchet MS" w:hAnsi="Trebuchet MS"/>
          <w:sz w:val="18"/>
          <w:szCs w:val="18"/>
        </w:rPr>
        <w:t>External hazards.</w:t>
      </w:r>
    </w:p>
    <w:p w:rsidR="00061871" w:rsidRPr="00061871" w:rsidRDefault="00061871" w:rsidP="001B7918">
      <w:pPr>
        <w:spacing w:line="360" w:lineRule="auto"/>
        <w:rPr>
          <w:szCs w:val="18"/>
        </w:rPr>
      </w:pPr>
    </w:p>
    <w:p w:rsidR="00061871" w:rsidRPr="00061871" w:rsidRDefault="00061871" w:rsidP="001B7918">
      <w:pPr>
        <w:spacing w:line="360" w:lineRule="auto"/>
        <w:rPr>
          <w:szCs w:val="18"/>
          <w:u w:val="single"/>
        </w:rPr>
      </w:pPr>
      <w:r w:rsidRPr="00061871">
        <w:rPr>
          <w:szCs w:val="18"/>
          <w:u w:val="single"/>
        </w:rPr>
        <w:t>Internal events</w:t>
      </w:r>
    </w:p>
    <w:p w:rsidR="00061871" w:rsidRPr="001B7918" w:rsidRDefault="00061871" w:rsidP="001B7918">
      <w:pPr>
        <w:spacing w:line="360" w:lineRule="auto"/>
        <w:rPr>
          <w:szCs w:val="18"/>
          <w:lang w:val="en-US"/>
        </w:rPr>
      </w:pPr>
      <w:r w:rsidRPr="001B7918">
        <w:rPr>
          <w:szCs w:val="18"/>
          <w:lang w:val="en-US"/>
        </w:rPr>
        <w:t>The section of internal events to be considered in PSA is performed following the French Basic PSA Safety Rule (Safety Rule 2002-01, 26 December 2002) which indicates</w:t>
      </w:r>
      <w:r w:rsidR="00ED4B5B">
        <w:rPr>
          <w:szCs w:val="18"/>
          <w:lang w:val="en-US"/>
        </w:rPr>
        <w:t xml:space="preserve"> </w:t>
      </w:r>
      <w:r w:rsidR="00ED4B5B">
        <w:rPr>
          <w:szCs w:val="18"/>
          <w:lang w:val="en-US"/>
        </w:rPr>
        <w:fldChar w:fldCharType="begin"/>
      </w:r>
      <w:r w:rsidR="00ED4B5B">
        <w:rPr>
          <w:szCs w:val="18"/>
          <w:lang w:val="en-US"/>
        </w:rPr>
        <w:instrText xml:space="preserve"> REF _Ref406515528 \r \h </w:instrText>
      </w:r>
      <w:r w:rsidR="00ED4B5B">
        <w:rPr>
          <w:szCs w:val="18"/>
          <w:lang w:val="en-US"/>
        </w:rPr>
      </w:r>
      <w:r w:rsidR="00ED4B5B">
        <w:rPr>
          <w:szCs w:val="18"/>
          <w:lang w:val="en-US"/>
        </w:rPr>
        <w:fldChar w:fldCharType="separate"/>
      </w:r>
      <w:r w:rsidR="00E62976">
        <w:rPr>
          <w:szCs w:val="18"/>
          <w:lang w:val="en-US"/>
        </w:rPr>
        <w:t>[39]</w:t>
      </w:r>
      <w:r w:rsidR="00ED4B5B">
        <w:rPr>
          <w:szCs w:val="18"/>
          <w:lang w:val="en-US"/>
        </w:rPr>
        <w:fldChar w:fldCharType="end"/>
      </w:r>
      <w:r w:rsidRPr="001B7918">
        <w:rPr>
          <w:szCs w:val="18"/>
          <w:lang w:val="en-US"/>
        </w:rPr>
        <w:t>:</w:t>
      </w:r>
    </w:p>
    <w:p w:rsidR="00061871" w:rsidRPr="001B7918" w:rsidRDefault="00061871" w:rsidP="001B7918">
      <w:pPr>
        <w:autoSpaceDE w:val="0"/>
        <w:autoSpaceDN w:val="0"/>
        <w:adjustRightInd w:val="0"/>
        <w:spacing w:line="360" w:lineRule="auto"/>
        <w:rPr>
          <w:rFonts w:cs="Arial"/>
          <w:i/>
          <w:szCs w:val="18"/>
          <w:lang w:val="en-US"/>
        </w:rPr>
      </w:pPr>
      <w:r w:rsidRPr="001B7918">
        <w:rPr>
          <w:rFonts w:cs="Arial"/>
          <w:i/>
          <w:szCs w:val="18"/>
          <w:lang w:val="en-US"/>
        </w:rPr>
        <w:t>The list of initiating events studied is as complete as possible. The best approach, in order to tend towards completeness, is to use all the available information sources:</w:t>
      </w:r>
    </w:p>
    <w:p w:rsidR="00061871" w:rsidRPr="001B7918" w:rsidRDefault="00061871" w:rsidP="00E62976">
      <w:pPr>
        <w:pStyle w:val="Paragraphedeliste"/>
        <w:numPr>
          <w:ilvl w:val="0"/>
          <w:numId w:val="47"/>
        </w:numPr>
        <w:spacing w:after="0" w:line="360" w:lineRule="auto"/>
        <w:jc w:val="both"/>
        <w:rPr>
          <w:rFonts w:ascii="Trebuchet MS" w:hAnsi="Trebuchet MS"/>
          <w:i/>
          <w:sz w:val="18"/>
          <w:szCs w:val="18"/>
        </w:rPr>
      </w:pPr>
      <w:r w:rsidRPr="001B7918">
        <w:rPr>
          <w:rFonts w:ascii="Trebuchet MS" w:hAnsi="Trebuchet MS"/>
          <w:i/>
          <w:sz w:val="18"/>
          <w:szCs w:val="18"/>
        </w:rPr>
        <w:t>the safety analysis report, on the basis of the operating conditions,</w:t>
      </w:r>
    </w:p>
    <w:p w:rsidR="00061871" w:rsidRPr="001B7918" w:rsidRDefault="00061871" w:rsidP="00E62976">
      <w:pPr>
        <w:pStyle w:val="Paragraphedeliste"/>
        <w:numPr>
          <w:ilvl w:val="0"/>
          <w:numId w:val="47"/>
        </w:numPr>
        <w:spacing w:after="0" w:line="360" w:lineRule="auto"/>
        <w:jc w:val="both"/>
        <w:rPr>
          <w:rFonts w:ascii="Trebuchet MS" w:hAnsi="Trebuchet MS"/>
          <w:i/>
          <w:sz w:val="18"/>
          <w:szCs w:val="18"/>
        </w:rPr>
      </w:pPr>
      <w:r w:rsidRPr="001B7918">
        <w:rPr>
          <w:rFonts w:ascii="Trebuchet MS" w:hAnsi="Trebuchet MS"/>
          <w:i/>
          <w:sz w:val="18"/>
          <w:szCs w:val="18"/>
        </w:rPr>
        <w:t>French and foreign reactor operating experience,</w:t>
      </w:r>
    </w:p>
    <w:p w:rsidR="00061871" w:rsidRPr="001B7918" w:rsidRDefault="00061871" w:rsidP="00E62976">
      <w:pPr>
        <w:pStyle w:val="Paragraphedeliste"/>
        <w:numPr>
          <w:ilvl w:val="0"/>
          <w:numId w:val="47"/>
        </w:numPr>
        <w:spacing w:after="0" w:line="360" w:lineRule="auto"/>
        <w:jc w:val="both"/>
        <w:rPr>
          <w:rFonts w:ascii="Trebuchet MS" w:hAnsi="Trebuchet MS"/>
          <w:i/>
          <w:sz w:val="18"/>
          <w:szCs w:val="18"/>
        </w:rPr>
      </w:pPr>
      <w:r w:rsidRPr="001B7918">
        <w:rPr>
          <w:rFonts w:ascii="Trebuchet MS" w:hAnsi="Trebuchet MS"/>
          <w:i/>
          <w:sz w:val="18"/>
          <w:szCs w:val="18"/>
        </w:rPr>
        <w:t>international practices,</w:t>
      </w:r>
    </w:p>
    <w:p w:rsidR="00061871" w:rsidRPr="001B7918" w:rsidRDefault="00061871" w:rsidP="00E62976">
      <w:pPr>
        <w:pStyle w:val="Paragraphedeliste"/>
        <w:numPr>
          <w:ilvl w:val="0"/>
          <w:numId w:val="47"/>
        </w:numPr>
        <w:spacing w:after="0" w:line="360" w:lineRule="auto"/>
        <w:jc w:val="both"/>
        <w:rPr>
          <w:rFonts w:ascii="Trebuchet MS" w:hAnsi="Trebuchet MS"/>
          <w:i/>
          <w:sz w:val="18"/>
          <w:szCs w:val="18"/>
        </w:rPr>
      </w:pPr>
      <w:r w:rsidRPr="001B7918">
        <w:rPr>
          <w:rFonts w:ascii="Trebuchet MS" w:hAnsi="Trebuchet MS"/>
          <w:i/>
          <w:sz w:val="18"/>
          <w:szCs w:val="18"/>
        </w:rPr>
        <w:t>improved knowledge and special studies,</w:t>
      </w:r>
    </w:p>
    <w:p w:rsidR="00061871" w:rsidRPr="001B7918" w:rsidRDefault="00061871" w:rsidP="00E62976">
      <w:pPr>
        <w:pStyle w:val="Paragraphedeliste"/>
        <w:numPr>
          <w:ilvl w:val="0"/>
          <w:numId w:val="47"/>
        </w:numPr>
        <w:spacing w:after="0" w:line="360" w:lineRule="auto"/>
        <w:jc w:val="both"/>
        <w:rPr>
          <w:rFonts w:ascii="Trebuchet MS" w:hAnsi="Trebuchet MS"/>
          <w:i/>
          <w:sz w:val="18"/>
          <w:szCs w:val="18"/>
        </w:rPr>
      </w:pPr>
      <w:r w:rsidRPr="001B7918">
        <w:rPr>
          <w:rFonts w:ascii="Trebuchet MS" w:hAnsi="Trebuchet MS"/>
          <w:i/>
          <w:sz w:val="18"/>
          <w:szCs w:val="18"/>
        </w:rPr>
        <w:t>previous PSAs.</w:t>
      </w:r>
    </w:p>
    <w:p w:rsidR="00061871" w:rsidRPr="001B7918" w:rsidRDefault="00061871" w:rsidP="001B7918">
      <w:pPr>
        <w:autoSpaceDE w:val="0"/>
        <w:autoSpaceDN w:val="0"/>
        <w:adjustRightInd w:val="0"/>
        <w:spacing w:line="360" w:lineRule="auto"/>
        <w:rPr>
          <w:rFonts w:cs="Arial"/>
          <w:i/>
          <w:szCs w:val="18"/>
          <w:lang w:val="en-US"/>
        </w:rPr>
      </w:pPr>
      <w:r w:rsidRPr="001B7918">
        <w:rPr>
          <w:rFonts w:cs="Arial"/>
          <w:i/>
          <w:szCs w:val="18"/>
          <w:lang w:val="en-US"/>
        </w:rPr>
        <w:t>To make the list as complete as possible, the use of deductive methods is recommended in order to determine the elementary failures or combinations of elementary failures which would contribute to the loss of each safety function concerned.</w:t>
      </w:r>
    </w:p>
    <w:p w:rsidR="00061871" w:rsidRPr="001B7918" w:rsidRDefault="00061871" w:rsidP="001B7918">
      <w:pPr>
        <w:spacing w:line="360" w:lineRule="auto"/>
        <w:rPr>
          <w:rFonts w:cs="Arial"/>
          <w:i/>
          <w:szCs w:val="18"/>
          <w:lang w:val="en-US"/>
        </w:rPr>
      </w:pPr>
      <w:r w:rsidRPr="001B7918">
        <w:rPr>
          <w:rFonts w:cs="Arial"/>
          <w:i/>
          <w:szCs w:val="18"/>
          <w:lang w:val="en-US"/>
        </w:rPr>
        <w:t>Initiating events are identified for all the reactor states to be examined in the PSA.</w:t>
      </w:r>
    </w:p>
    <w:p w:rsidR="00061871" w:rsidRPr="00061871" w:rsidRDefault="00061871" w:rsidP="001B7918">
      <w:pPr>
        <w:spacing w:line="360" w:lineRule="auto"/>
        <w:rPr>
          <w:szCs w:val="18"/>
          <w:lang w:val="en-US"/>
        </w:rPr>
      </w:pPr>
      <w:r w:rsidRPr="001B7918">
        <w:rPr>
          <w:rFonts w:cs="Arial"/>
          <w:szCs w:val="18"/>
          <w:lang w:val="en-US"/>
        </w:rPr>
        <w:t xml:space="preserve">The </w:t>
      </w:r>
      <w:r w:rsidRPr="001B7918">
        <w:rPr>
          <w:szCs w:val="18"/>
          <w:lang w:val="en-US"/>
        </w:rPr>
        <w:t>Safety Rule is applicable only for the reactor. However, by extension, similar initiating events selection procedure is applied also for the spent fuel pool.</w:t>
      </w:r>
    </w:p>
    <w:p w:rsidR="00061871" w:rsidRPr="001B7918" w:rsidRDefault="00061871" w:rsidP="001B7918">
      <w:pPr>
        <w:spacing w:line="360" w:lineRule="auto"/>
        <w:rPr>
          <w:szCs w:val="18"/>
          <w:u w:val="single"/>
          <w:lang w:val="en-US"/>
        </w:rPr>
      </w:pPr>
    </w:p>
    <w:p w:rsidR="00061871" w:rsidRPr="001B7918" w:rsidRDefault="00061871" w:rsidP="001B7918">
      <w:pPr>
        <w:spacing w:line="360" w:lineRule="auto"/>
        <w:rPr>
          <w:szCs w:val="18"/>
          <w:u w:val="single"/>
          <w:lang w:val="en-US"/>
        </w:rPr>
      </w:pPr>
      <w:r w:rsidRPr="001B7918">
        <w:rPr>
          <w:szCs w:val="18"/>
          <w:u w:val="single"/>
          <w:lang w:val="en-US"/>
        </w:rPr>
        <w:t>Internal hazards</w:t>
      </w:r>
    </w:p>
    <w:p w:rsidR="00061871" w:rsidRPr="001B7918" w:rsidRDefault="00061871" w:rsidP="001B7918">
      <w:pPr>
        <w:spacing w:line="360" w:lineRule="auto"/>
        <w:rPr>
          <w:szCs w:val="18"/>
          <w:lang w:val="en-US"/>
        </w:rPr>
      </w:pPr>
      <w:r w:rsidRPr="001B7918">
        <w:rPr>
          <w:szCs w:val="18"/>
          <w:lang w:val="en-US"/>
        </w:rPr>
        <w:t>No specific procedure is in place for the screening-out of internal hazards to be considered in PSA. Beginning with the third period safety review of 1300 MWe plants, the list of internal hazards which are considered as causes of initiating events was progressively enlarged for all French NPP types and today include a large spectrum of internal hazards:</w:t>
      </w:r>
    </w:p>
    <w:p w:rsidR="00061871" w:rsidRPr="001B7918" w:rsidRDefault="00061871" w:rsidP="00E62976">
      <w:pPr>
        <w:pStyle w:val="Paragraphedeliste"/>
        <w:numPr>
          <w:ilvl w:val="0"/>
          <w:numId w:val="48"/>
        </w:numPr>
        <w:spacing w:after="0" w:line="360" w:lineRule="auto"/>
        <w:jc w:val="both"/>
        <w:rPr>
          <w:rFonts w:ascii="Trebuchet MS" w:hAnsi="Trebuchet MS"/>
          <w:sz w:val="18"/>
          <w:szCs w:val="18"/>
        </w:rPr>
      </w:pPr>
      <w:r w:rsidRPr="001B7918">
        <w:rPr>
          <w:rFonts w:ascii="Trebuchet MS" w:hAnsi="Trebuchet MS"/>
          <w:sz w:val="18"/>
          <w:szCs w:val="18"/>
        </w:rPr>
        <w:t>Internal fire,</w:t>
      </w:r>
    </w:p>
    <w:p w:rsidR="00061871" w:rsidRPr="001B7918" w:rsidRDefault="00061871" w:rsidP="00E62976">
      <w:pPr>
        <w:pStyle w:val="Paragraphedeliste"/>
        <w:numPr>
          <w:ilvl w:val="0"/>
          <w:numId w:val="48"/>
        </w:numPr>
        <w:spacing w:after="0" w:line="360" w:lineRule="auto"/>
        <w:jc w:val="both"/>
        <w:rPr>
          <w:rFonts w:ascii="Trebuchet MS" w:hAnsi="Trebuchet MS"/>
          <w:sz w:val="18"/>
          <w:szCs w:val="18"/>
        </w:rPr>
      </w:pPr>
      <w:r w:rsidRPr="001B7918">
        <w:rPr>
          <w:rFonts w:ascii="Trebuchet MS" w:hAnsi="Trebuchet MS"/>
          <w:sz w:val="18"/>
          <w:szCs w:val="18"/>
        </w:rPr>
        <w:t>Internal flooding,</w:t>
      </w:r>
    </w:p>
    <w:p w:rsidR="00061871" w:rsidRPr="001B7918" w:rsidRDefault="00061871" w:rsidP="00E62976">
      <w:pPr>
        <w:pStyle w:val="Paragraphedeliste"/>
        <w:numPr>
          <w:ilvl w:val="0"/>
          <w:numId w:val="48"/>
        </w:numPr>
        <w:spacing w:after="0" w:line="360" w:lineRule="auto"/>
        <w:jc w:val="both"/>
        <w:rPr>
          <w:rFonts w:ascii="Trebuchet MS" w:hAnsi="Trebuchet MS"/>
          <w:sz w:val="18"/>
          <w:szCs w:val="18"/>
        </w:rPr>
      </w:pPr>
      <w:r w:rsidRPr="001B7918">
        <w:rPr>
          <w:rFonts w:ascii="Trebuchet MS" w:hAnsi="Trebuchet MS"/>
          <w:sz w:val="18"/>
          <w:szCs w:val="18"/>
        </w:rPr>
        <w:t>Internal explosion,</w:t>
      </w:r>
    </w:p>
    <w:p w:rsidR="00061871" w:rsidRPr="001B7918" w:rsidRDefault="00061871" w:rsidP="00E62976">
      <w:pPr>
        <w:pStyle w:val="Paragraphedeliste"/>
        <w:numPr>
          <w:ilvl w:val="0"/>
          <w:numId w:val="48"/>
        </w:numPr>
        <w:spacing w:after="0" w:line="360" w:lineRule="auto"/>
        <w:jc w:val="both"/>
        <w:rPr>
          <w:rFonts w:ascii="Trebuchet MS" w:hAnsi="Trebuchet MS"/>
          <w:sz w:val="18"/>
          <w:szCs w:val="18"/>
        </w:rPr>
      </w:pPr>
      <w:r w:rsidRPr="001B7918">
        <w:rPr>
          <w:rFonts w:ascii="Trebuchet MS" w:hAnsi="Trebuchet MS"/>
          <w:sz w:val="18"/>
          <w:szCs w:val="18"/>
        </w:rPr>
        <w:t>Heavy load drop.</w:t>
      </w:r>
    </w:p>
    <w:p w:rsidR="00061871" w:rsidRPr="001B7918" w:rsidRDefault="00061871" w:rsidP="001B7918">
      <w:pPr>
        <w:spacing w:line="360" w:lineRule="auto"/>
        <w:rPr>
          <w:szCs w:val="18"/>
          <w:lang w:val="en-US"/>
        </w:rPr>
      </w:pPr>
      <w:r w:rsidRPr="001B7918">
        <w:rPr>
          <w:szCs w:val="18"/>
          <w:lang w:val="en-US"/>
        </w:rPr>
        <w:t>These internal hazards are studied for the reactor and for the spent fuel pool</w:t>
      </w:r>
      <w:r>
        <w:rPr>
          <w:szCs w:val="18"/>
          <w:lang w:val="en-US"/>
        </w:rPr>
        <w:t>.</w:t>
      </w:r>
    </w:p>
    <w:p w:rsidR="00061871" w:rsidRPr="001B7918" w:rsidRDefault="00061871" w:rsidP="001B7918">
      <w:pPr>
        <w:spacing w:line="360" w:lineRule="auto"/>
        <w:rPr>
          <w:szCs w:val="18"/>
          <w:lang w:val="en-US"/>
        </w:rPr>
      </w:pPr>
    </w:p>
    <w:p w:rsidR="00061871" w:rsidRPr="001B7918" w:rsidRDefault="00061871" w:rsidP="001B7918">
      <w:pPr>
        <w:spacing w:line="360" w:lineRule="auto"/>
        <w:rPr>
          <w:szCs w:val="18"/>
          <w:u w:val="single"/>
          <w:lang w:val="en-US"/>
        </w:rPr>
      </w:pPr>
      <w:r w:rsidRPr="001B7918">
        <w:rPr>
          <w:szCs w:val="18"/>
          <w:u w:val="single"/>
          <w:lang w:val="en-US"/>
        </w:rPr>
        <w:t>External hazards</w:t>
      </w:r>
    </w:p>
    <w:p w:rsidR="00BA5EA2" w:rsidRDefault="00061871" w:rsidP="009E2F50">
      <w:pPr>
        <w:spacing w:line="360" w:lineRule="auto"/>
        <w:rPr>
          <w:szCs w:val="18"/>
          <w:lang w:val="en-US"/>
        </w:rPr>
      </w:pPr>
      <w:r w:rsidRPr="001B7918">
        <w:rPr>
          <w:szCs w:val="18"/>
          <w:lang w:val="en-US"/>
        </w:rPr>
        <w:t xml:space="preserve">Regarding the external hazards, a systematic procedure for the identification of the hazards which may affect the site should be </w:t>
      </w:r>
      <w:r w:rsidR="009E2F50">
        <w:rPr>
          <w:szCs w:val="18"/>
          <w:lang w:val="en-US"/>
        </w:rPr>
        <w:t>applied</w:t>
      </w:r>
      <w:r w:rsidRPr="001B7918">
        <w:rPr>
          <w:szCs w:val="18"/>
          <w:lang w:val="en-US"/>
        </w:rPr>
        <w:t xml:space="preserve">, and PSA should be developed if </w:t>
      </w:r>
      <w:r w:rsidR="00BA5EA2">
        <w:rPr>
          <w:szCs w:val="18"/>
          <w:lang w:val="en-US"/>
        </w:rPr>
        <w:t>relevant</w:t>
      </w:r>
      <w:r w:rsidRPr="001B7918">
        <w:rPr>
          <w:szCs w:val="18"/>
          <w:lang w:val="en-US"/>
        </w:rPr>
        <w:t>. The combinations of hazards (internal or external) as well as the induced internal hazards should also be considered.</w:t>
      </w:r>
      <w:r w:rsidR="009E2F50">
        <w:rPr>
          <w:szCs w:val="18"/>
          <w:lang w:val="en-US"/>
        </w:rPr>
        <w:t xml:space="preserve"> </w:t>
      </w:r>
    </w:p>
    <w:p w:rsidR="009E2F50" w:rsidRDefault="00BA5EA2" w:rsidP="009E2F50">
      <w:pPr>
        <w:spacing w:line="360" w:lineRule="auto"/>
        <w:rPr>
          <w:szCs w:val="18"/>
          <w:lang w:val="en-US"/>
        </w:rPr>
      </w:pPr>
      <w:r>
        <w:rPr>
          <w:szCs w:val="18"/>
          <w:lang w:val="en-US"/>
        </w:rPr>
        <w:t>S</w:t>
      </w:r>
      <w:r w:rsidR="00FD63CB">
        <w:rPr>
          <w:szCs w:val="18"/>
          <w:lang w:val="en-US"/>
        </w:rPr>
        <w:t>ome</w:t>
      </w:r>
      <w:r w:rsidR="009E2F50" w:rsidRPr="00A17967">
        <w:rPr>
          <w:szCs w:val="18"/>
          <w:lang w:val="en-US"/>
        </w:rPr>
        <w:t xml:space="preserve"> man-made external hazards </w:t>
      </w:r>
      <w:r w:rsidR="00FD63CB" w:rsidRPr="00A17967">
        <w:rPr>
          <w:szCs w:val="18"/>
          <w:lang w:val="en-US"/>
        </w:rPr>
        <w:t xml:space="preserve">(accidental </w:t>
      </w:r>
      <w:r w:rsidR="00FD63CB">
        <w:rPr>
          <w:szCs w:val="18"/>
          <w:lang w:val="en-US"/>
        </w:rPr>
        <w:t>aircraft</w:t>
      </w:r>
      <w:r w:rsidR="00FD63CB" w:rsidRPr="00A17967">
        <w:rPr>
          <w:szCs w:val="18"/>
          <w:lang w:val="en-US"/>
        </w:rPr>
        <w:t xml:space="preserve"> crash</w:t>
      </w:r>
      <w:r w:rsidR="00FD63CB">
        <w:rPr>
          <w:szCs w:val="18"/>
          <w:lang w:val="en-US"/>
        </w:rPr>
        <w:t>,</w:t>
      </w:r>
      <w:r w:rsidR="00FD63CB" w:rsidRPr="00A17967">
        <w:rPr>
          <w:szCs w:val="18"/>
          <w:lang w:val="en-US"/>
        </w:rPr>
        <w:t xml:space="preserve"> industrial and transportation </w:t>
      </w:r>
      <w:r w:rsidR="00FD63CB">
        <w:rPr>
          <w:szCs w:val="18"/>
          <w:lang w:val="en-US"/>
        </w:rPr>
        <w:t>accidents</w:t>
      </w:r>
      <w:r w:rsidR="00FD63CB" w:rsidRPr="00A17967">
        <w:rPr>
          <w:szCs w:val="18"/>
          <w:lang w:val="en-US"/>
        </w:rPr>
        <w:t>)</w:t>
      </w:r>
      <w:r w:rsidR="00FD63CB">
        <w:rPr>
          <w:szCs w:val="18"/>
          <w:lang w:val="en-US"/>
        </w:rPr>
        <w:t xml:space="preserve"> </w:t>
      </w:r>
      <w:r w:rsidR="009E2F50">
        <w:rPr>
          <w:szCs w:val="18"/>
          <w:lang w:val="en-US"/>
        </w:rPr>
        <w:t>were</w:t>
      </w:r>
      <w:r w:rsidR="009E2F50" w:rsidRPr="00A17967">
        <w:rPr>
          <w:szCs w:val="18"/>
          <w:lang w:val="en-US"/>
        </w:rPr>
        <w:t xml:space="preserve"> already studied by EDF </w:t>
      </w:r>
      <w:r w:rsidR="00FD63CB">
        <w:rPr>
          <w:szCs w:val="18"/>
          <w:lang w:val="en-US"/>
        </w:rPr>
        <w:t>with</w:t>
      </w:r>
      <w:r w:rsidR="009E2F50" w:rsidRPr="00A17967">
        <w:rPr>
          <w:szCs w:val="18"/>
          <w:lang w:val="en-US"/>
        </w:rPr>
        <w:t xml:space="preserve"> probabilistic methods. </w:t>
      </w:r>
      <w:r w:rsidR="00FD63CB">
        <w:rPr>
          <w:szCs w:val="18"/>
          <w:lang w:val="en-US"/>
        </w:rPr>
        <w:t>S</w:t>
      </w:r>
      <w:r w:rsidR="009E2F50" w:rsidRPr="00A17967">
        <w:rPr>
          <w:szCs w:val="18"/>
          <w:lang w:val="en-US"/>
        </w:rPr>
        <w:t xml:space="preserve">everal </w:t>
      </w:r>
      <w:r w:rsidR="00FD63CB">
        <w:rPr>
          <w:szCs w:val="18"/>
          <w:lang w:val="en-US"/>
        </w:rPr>
        <w:t xml:space="preserve">seismic </w:t>
      </w:r>
      <w:r w:rsidR="009E2F50" w:rsidRPr="00A17967">
        <w:rPr>
          <w:szCs w:val="18"/>
          <w:lang w:val="en-US"/>
        </w:rPr>
        <w:t>PSA were developed or are under development by EDF. The loss of heat sink and of external grid, induced by external hazard, are also treated, in a limited manner, in the internal events PSA developed by EDF for all NPP types.</w:t>
      </w:r>
    </w:p>
    <w:p w:rsidR="00061871" w:rsidRPr="001B7918" w:rsidRDefault="00061871" w:rsidP="001B7918">
      <w:pPr>
        <w:spacing w:line="360" w:lineRule="auto"/>
        <w:rPr>
          <w:szCs w:val="18"/>
          <w:lang w:val="en-US"/>
        </w:rPr>
      </w:pPr>
    </w:p>
    <w:p w:rsidR="00144858" w:rsidRDefault="00061871" w:rsidP="001B7918">
      <w:pPr>
        <w:spacing w:line="360" w:lineRule="auto"/>
        <w:rPr>
          <w:szCs w:val="18"/>
          <w:lang w:val="en-US"/>
        </w:rPr>
      </w:pPr>
      <w:r w:rsidRPr="001B7918">
        <w:rPr>
          <w:szCs w:val="18"/>
          <w:lang w:val="en-US"/>
        </w:rPr>
        <w:t xml:space="preserve">EDF </w:t>
      </w:r>
      <w:r w:rsidR="00BA5EA2">
        <w:rPr>
          <w:szCs w:val="18"/>
          <w:lang w:val="en-US"/>
        </w:rPr>
        <w:t xml:space="preserve">has </w:t>
      </w:r>
      <w:r w:rsidR="00FD63CB">
        <w:rPr>
          <w:szCs w:val="18"/>
          <w:lang w:val="en-US"/>
        </w:rPr>
        <w:t xml:space="preserve">recently </w:t>
      </w:r>
      <w:r w:rsidRPr="001B7918">
        <w:rPr>
          <w:szCs w:val="18"/>
          <w:lang w:val="en-US"/>
        </w:rPr>
        <w:t xml:space="preserve">proposed a systematic procedure, to be applied to all the French NPP sites, for the selection of the external (natural and made-made) </w:t>
      </w:r>
      <w:r w:rsidR="009E2F50" w:rsidRPr="00A17967">
        <w:rPr>
          <w:szCs w:val="18"/>
          <w:lang w:val="en-US"/>
        </w:rPr>
        <w:t xml:space="preserve">hazards </w:t>
      </w:r>
      <w:r w:rsidRPr="001B7918">
        <w:rPr>
          <w:szCs w:val="18"/>
          <w:lang w:val="en-US"/>
        </w:rPr>
        <w:t>to be considered in the PSA</w:t>
      </w:r>
      <w:r w:rsidR="00FD63CB">
        <w:rPr>
          <w:szCs w:val="18"/>
          <w:lang w:val="en-US"/>
        </w:rPr>
        <w:t xml:space="preserve">s. </w:t>
      </w:r>
      <w:r w:rsidR="00BA5EA2" w:rsidRPr="00BA5EA2">
        <w:rPr>
          <w:szCs w:val="18"/>
          <w:lang w:val="en-US"/>
        </w:rPr>
        <w:t xml:space="preserve">This approach has been reviewed </w:t>
      </w:r>
      <w:r w:rsidR="00144858">
        <w:rPr>
          <w:szCs w:val="18"/>
          <w:lang w:val="en-US"/>
        </w:rPr>
        <w:t>in 2</w:t>
      </w:r>
      <w:r w:rsidR="00C1595B">
        <w:rPr>
          <w:szCs w:val="18"/>
          <w:lang w:val="en-US"/>
        </w:rPr>
        <w:t>01</w:t>
      </w:r>
      <w:r w:rsidR="00144858">
        <w:rPr>
          <w:szCs w:val="18"/>
          <w:lang w:val="en-US"/>
        </w:rPr>
        <w:t xml:space="preserve">5 </w:t>
      </w:r>
      <w:r w:rsidR="00BA5EA2" w:rsidRPr="00BA5EA2">
        <w:rPr>
          <w:szCs w:val="18"/>
          <w:lang w:val="en-US"/>
        </w:rPr>
        <w:t xml:space="preserve">by IRSN </w:t>
      </w:r>
      <w:r w:rsidR="00DC519D">
        <w:rPr>
          <w:szCs w:val="18"/>
          <w:lang w:val="en-US"/>
        </w:rPr>
        <w:t>which highlighted the importance of correlate</w:t>
      </w:r>
      <w:r w:rsidR="00863912">
        <w:rPr>
          <w:szCs w:val="18"/>
          <w:lang w:val="en-US"/>
        </w:rPr>
        <w:t>d</w:t>
      </w:r>
      <w:r w:rsidR="00DC519D">
        <w:rPr>
          <w:szCs w:val="18"/>
          <w:lang w:val="en-US"/>
        </w:rPr>
        <w:t xml:space="preserve"> hazards and low frequency situation</w:t>
      </w:r>
      <w:r w:rsidR="00144858">
        <w:rPr>
          <w:szCs w:val="18"/>
          <w:lang w:val="en-US"/>
        </w:rPr>
        <w:t>s</w:t>
      </w:r>
      <w:r w:rsidR="00DC519D">
        <w:rPr>
          <w:szCs w:val="18"/>
          <w:lang w:val="en-US"/>
        </w:rPr>
        <w:t xml:space="preserve"> but major consequences</w:t>
      </w:r>
      <w:r w:rsidR="00BA5EA2" w:rsidRPr="00BA5EA2">
        <w:rPr>
          <w:szCs w:val="18"/>
          <w:lang w:val="en-US"/>
        </w:rPr>
        <w:t>.</w:t>
      </w:r>
    </w:p>
    <w:p w:rsidR="00144858" w:rsidRDefault="00DC519D" w:rsidP="001B7918">
      <w:pPr>
        <w:spacing w:line="360" w:lineRule="auto"/>
        <w:rPr>
          <w:szCs w:val="18"/>
          <w:lang w:val="en-US"/>
        </w:rPr>
      </w:pPr>
      <w:r>
        <w:rPr>
          <w:szCs w:val="18"/>
          <w:lang w:val="en-US"/>
        </w:rPr>
        <w:t xml:space="preserve">The principles of the approach are accepted by the </w:t>
      </w:r>
      <w:r w:rsidR="00F4626E">
        <w:rPr>
          <w:szCs w:val="18"/>
          <w:lang w:val="en-US"/>
        </w:rPr>
        <w:t>S</w:t>
      </w:r>
      <w:r>
        <w:rPr>
          <w:szCs w:val="18"/>
          <w:lang w:val="en-US"/>
        </w:rPr>
        <w:t>afety Authority</w:t>
      </w:r>
      <w:r w:rsidR="00144858">
        <w:rPr>
          <w:szCs w:val="18"/>
          <w:lang w:val="en-US"/>
        </w:rPr>
        <w:t xml:space="preserve"> with reserves which have been taken into account by EDF.</w:t>
      </w:r>
    </w:p>
    <w:p w:rsidR="00144858" w:rsidRDefault="00144858" w:rsidP="001B7918">
      <w:pPr>
        <w:spacing w:line="360" w:lineRule="auto"/>
        <w:rPr>
          <w:szCs w:val="18"/>
          <w:lang w:val="en-US"/>
        </w:rPr>
      </w:pPr>
    </w:p>
    <w:p w:rsidR="00061871" w:rsidRDefault="00144858" w:rsidP="001B7918">
      <w:pPr>
        <w:spacing w:line="360" w:lineRule="auto"/>
        <w:rPr>
          <w:szCs w:val="18"/>
          <w:lang w:val="en-US"/>
        </w:rPr>
      </w:pPr>
      <w:r>
        <w:rPr>
          <w:szCs w:val="18"/>
          <w:lang w:val="en-US"/>
        </w:rPr>
        <w:t>T</w:t>
      </w:r>
      <w:r w:rsidR="00BA5EA2" w:rsidRPr="00BA5EA2">
        <w:rPr>
          <w:szCs w:val="18"/>
          <w:lang w:val="en-US"/>
        </w:rPr>
        <w:t>he industrial application of the method to all French sites is now ongoing.</w:t>
      </w:r>
    </w:p>
    <w:p w:rsidR="00863912" w:rsidRPr="00360790" w:rsidRDefault="00863912" w:rsidP="00ED4B5B">
      <w:pPr>
        <w:pStyle w:val="abstract"/>
      </w:pPr>
    </w:p>
    <w:p w:rsidR="00BE5FB5" w:rsidRDefault="00144858" w:rsidP="00BE5FB5">
      <w:pPr>
        <w:pStyle w:val="Titre4"/>
        <w:rPr>
          <w:lang w:val="en-GB"/>
        </w:rPr>
      </w:pPr>
      <w:r>
        <w:rPr>
          <w:lang w:val="en-GB"/>
        </w:rPr>
        <w:t>French</w:t>
      </w:r>
      <w:r w:rsidRPr="00BE5FB5">
        <w:rPr>
          <w:lang w:val="en-GB"/>
        </w:rPr>
        <w:t xml:space="preserve"> </w:t>
      </w:r>
      <w:r w:rsidR="00BE5FB5" w:rsidRPr="00BE5FB5">
        <w:rPr>
          <w:lang w:val="en-GB"/>
        </w:rPr>
        <w:t>methodology</w:t>
      </w:r>
      <w:r>
        <w:rPr>
          <w:lang w:val="en-GB"/>
        </w:rPr>
        <w:t xml:space="preserve"> for the selection of </w:t>
      </w:r>
      <w:r w:rsidRPr="001B7918">
        <w:rPr>
          <w:szCs w:val="18"/>
          <w:lang w:val="en-US"/>
        </w:rPr>
        <w:t xml:space="preserve">the external (natural and made-made) </w:t>
      </w:r>
      <w:r w:rsidRPr="00A17967">
        <w:rPr>
          <w:szCs w:val="18"/>
          <w:lang w:val="en-US"/>
        </w:rPr>
        <w:t xml:space="preserve">hazards </w:t>
      </w:r>
      <w:r w:rsidRPr="001B7918">
        <w:rPr>
          <w:szCs w:val="18"/>
          <w:lang w:val="en-US"/>
        </w:rPr>
        <w:t>to be considered in the PSA</w:t>
      </w:r>
      <w:r>
        <w:rPr>
          <w:szCs w:val="18"/>
          <w:lang w:val="en-US"/>
        </w:rPr>
        <w:t>s</w:t>
      </w:r>
    </w:p>
    <w:p w:rsidR="00144858" w:rsidRDefault="00144858" w:rsidP="004B3DA1">
      <w:pPr>
        <w:rPr>
          <w:lang w:val="en-US"/>
        </w:rPr>
      </w:pPr>
      <w:r w:rsidRPr="00360790">
        <w:rPr>
          <w:lang w:val="en-US"/>
        </w:rPr>
        <w:t xml:space="preserve">The </w:t>
      </w:r>
      <w:r>
        <w:rPr>
          <w:lang w:val="en-US"/>
        </w:rPr>
        <w:t xml:space="preserve">methodology which is </w:t>
      </w:r>
      <w:r w:rsidR="00D44FE7">
        <w:rPr>
          <w:lang w:val="en-US"/>
        </w:rPr>
        <w:t xml:space="preserve">applied by EDF </w:t>
      </w:r>
      <w:r>
        <w:rPr>
          <w:lang w:val="en-US"/>
        </w:rPr>
        <w:t xml:space="preserve">for the French NPPs </w:t>
      </w:r>
      <w:r w:rsidRPr="00360790">
        <w:rPr>
          <w:lang w:val="en-US"/>
        </w:rPr>
        <w:t>includes three steps which are described hereafter</w:t>
      </w:r>
      <w:r w:rsidR="00113957">
        <w:rPr>
          <w:lang w:val="en-US"/>
        </w:rPr>
        <w:t xml:space="preserve"> (IRSN applied </w:t>
      </w:r>
      <w:r w:rsidR="00264C9B">
        <w:rPr>
          <w:lang w:val="en-US"/>
        </w:rPr>
        <w:t>for the review of EDF results</w:t>
      </w:r>
      <w:r w:rsidR="00113957">
        <w:rPr>
          <w:lang w:val="en-US"/>
        </w:rPr>
        <w:t xml:space="preserve"> a similar method which is not presented in the report).</w:t>
      </w:r>
      <w:r w:rsidR="00ED4B5B">
        <w:rPr>
          <w:lang w:val="en-US"/>
        </w:rPr>
        <w:tab/>
      </w:r>
      <w:r w:rsidR="00ED4B5B">
        <w:rPr>
          <w:lang w:val="en-US"/>
        </w:rPr>
        <w:br/>
      </w:r>
    </w:p>
    <w:p w:rsidR="00FB2B01" w:rsidRPr="00A76EDC" w:rsidRDefault="00A76EDC" w:rsidP="00A76EDC">
      <w:pPr>
        <w:rPr>
          <w:b/>
          <w:lang w:val="en-US"/>
        </w:rPr>
      </w:pPr>
      <w:r w:rsidRPr="00A76EDC">
        <w:rPr>
          <w:b/>
          <w:lang w:val="en-US"/>
        </w:rPr>
        <w:t>Step 1 – Elaboration of a</w:t>
      </w:r>
      <w:r w:rsidR="00FB2B01" w:rsidRPr="00A76EDC">
        <w:rPr>
          <w:b/>
          <w:lang w:val="en-US"/>
        </w:rPr>
        <w:t xml:space="preserve"> list of potential external hazards</w:t>
      </w:r>
    </w:p>
    <w:p w:rsidR="00A76EDC" w:rsidRDefault="00A76EDC" w:rsidP="001B7918">
      <w:pPr>
        <w:spacing w:line="360" w:lineRule="auto"/>
        <w:rPr>
          <w:szCs w:val="18"/>
          <w:lang w:val="en-US"/>
        </w:rPr>
      </w:pPr>
    </w:p>
    <w:p w:rsidR="00A76EDC" w:rsidRDefault="00FB2B01" w:rsidP="001B7918">
      <w:pPr>
        <w:spacing w:line="360" w:lineRule="auto"/>
        <w:rPr>
          <w:szCs w:val="18"/>
          <w:lang w:val="en-US"/>
        </w:rPr>
      </w:pPr>
      <w:r w:rsidRPr="001B7918">
        <w:rPr>
          <w:szCs w:val="18"/>
          <w:lang w:val="en-US"/>
        </w:rPr>
        <w:t xml:space="preserve">The external hazards </w:t>
      </w:r>
      <w:r w:rsidR="00A76EDC">
        <w:rPr>
          <w:szCs w:val="18"/>
          <w:lang w:val="en-US"/>
        </w:rPr>
        <w:t xml:space="preserve">to be </w:t>
      </w:r>
      <w:r w:rsidRPr="001B7918">
        <w:rPr>
          <w:szCs w:val="18"/>
          <w:lang w:val="en-US"/>
        </w:rPr>
        <w:t xml:space="preserve">considered </w:t>
      </w:r>
      <w:r w:rsidR="00A76EDC">
        <w:rPr>
          <w:szCs w:val="18"/>
          <w:lang w:val="en-US"/>
        </w:rPr>
        <w:t>are</w:t>
      </w:r>
      <w:r w:rsidRPr="001B7918">
        <w:rPr>
          <w:szCs w:val="18"/>
          <w:lang w:val="en-US"/>
        </w:rPr>
        <w:t xml:space="preserve"> the natural and man-made events whose origin is located outside the site and that can potentially have a negative impact on the safety of the unit and lea</w:t>
      </w:r>
      <w:r w:rsidR="00A76EDC">
        <w:rPr>
          <w:szCs w:val="18"/>
          <w:lang w:val="en-US"/>
        </w:rPr>
        <w:t>d to radiological consequences.</w:t>
      </w:r>
    </w:p>
    <w:p w:rsidR="00FB2B01" w:rsidRDefault="00FB2B01" w:rsidP="001B7918">
      <w:pPr>
        <w:spacing w:line="360" w:lineRule="auto"/>
        <w:rPr>
          <w:szCs w:val="18"/>
          <w:lang w:val="en-US"/>
        </w:rPr>
      </w:pPr>
      <w:r w:rsidRPr="001B7918">
        <w:rPr>
          <w:szCs w:val="18"/>
          <w:lang w:val="en-US"/>
        </w:rPr>
        <w:t xml:space="preserve">This list used </w:t>
      </w:r>
      <w:r w:rsidR="00A76EDC">
        <w:rPr>
          <w:szCs w:val="18"/>
          <w:lang w:val="en-US"/>
        </w:rPr>
        <w:t>by EDF</w:t>
      </w:r>
      <w:r w:rsidRPr="001B7918">
        <w:rPr>
          <w:szCs w:val="18"/>
          <w:lang w:val="en-US"/>
        </w:rPr>
        <w:t xml:space="preserve"> was created after analysis of international practices. It is similar to </w:t>
      </w:r>
      <w:r w:rsidR="00A76EDC">
        <w:rPr>
          <w:szCs w:val="18"/>
          <w:lang w:val="en-US"/>
        </w:rPr>
        <w:t>the list</w:t>
      </w:r>
      <w:r w:rsidRPr="001B7918">
        <w:rPr>
          <w:szCs w:val="18"/>
          <w:lang w:val="en-US"/>
        </w:rPr>
        <w:t xml:space="preserve"> proposed by EPRI and </w:t>
      </w:r>
      <w:r w:rsidR="00DC519D">
        <w:rPr>
          <w:szCs w:val="18"/>
          <w:lang w:val="en-US"/>
        </w:rPr>
        <w:t>discussed</w:t>
      </w:r>
      <w:r w:rsidRPr="001B7918">
        <w:rPr>
          <w:szCs w:val="18"/>
          <w:lang w:val="en-US"/>
        </w:rPr>
        <w:t xml:space="preserve"> in the frame of ASAMPSA_E; </w:t>
      </w:r>
      <w:r w:rsidR="00BA2722">
        <w:rPr>
          <w:szCs w:val="18"/>
          <w:lang w:val="en-US"/>
        </w:rPr>
        <w:t>there is</w:t>
      </w:r>
      <w:r w:rsidRPr="001B7918">
        <w:rPr>
          <w:szCs w:val="18"/>
          <w:lang w:val="en-US"/>
        </w:rPr>
        <w:t xml:space="preserve"> few differences justified by adaptations to the natural environment of the French plants and the regulatory context in France.</w:t>
      </w:r>
    </w:p>
    <w:p w:rsidR="00FB2B01" w:rsidRPr="001B7918" w:rsidRDefault="00FB2B01" w:rsidP="001B7918">
      <w:pPr>
        <w:spacing w:line="360" w:lineRule="auto"/>
        <w:rPr>
          <w:szCs w:val="18"/>
          <w:lang w:val="en-US"/>
        </w:rPr>
      </w:pPr>
      <w:r w:rsidRPr="001B7918">
        <w:rPr>
          <w:szCs w:val="18"/>
          <w:lang w:val="en-US"/>
        </w:rPr>
        <w:t>Climatic change does not represent a hazard and has not been included in the list of potential hazards per se.</w:t>
      </w:r>
      <w:r w:rsidRPr="005D64CA">
        <w:rPr>
          <w:szCs w:val="18"/>
          <w:lang w:val="en-US"/>
        </w:rPr>
        <w:t xml:space="preserve"> </w:t>
      </w:r>
      <w:r w:rsidRPr="001B7918">
        <w:rPr>
          <w:szCs w:val="18"/>
          <w:lang w:val="en-US"/>
        </w:rPr>
        <w:t xml:space="preserve">But this phenomenon should be taken into account when </w:t>
      </w:r>
      <w:r w:rsidR="00A76EDC" w:rsidRPr="001B7918">
        <w:rPr>
          <w:szCs w:val="18"/>
          <w:lang w:val="en-US"/>
        </w:rPr>
        <w:t>analy</w:t>
      </w:r>
      <w:r w:rsidR="001B44C9">
        <w:rPr>
          <w:szCs w:val="18"/>
          <w:lang w:val="en-US"/>
        </w:rPr>
        <w:t>s</w:t>
      </w:r>
      <w:r w:rsidR="00A76EDC" w:rsidRPr="001B7918">
        <w:rPr>
          <w:szCs w:val="18"/>
          <w:lang w:val="en-US"/>
        </w:rPr>
        <w:t>ing</w:t>
      </w:r>
      <w:r w:rsidRPr="001B7918">
        <w:rPr>
          <w:szCs w:val="18"/>
          <w:lang w:val="en-US"/>
        </w:rPr>
        <w:t xml:space="preserve"> the minima and maxima of the intensity of </w:t>
      </w:r>
      <w:r w:rsidR="00A76EDC">
        <w:rPr>
          <w:szCs w:val="18"/>
          <w:lang w:val="en-US"/>
        </w:rPr>
        <w:t>some</w:t>
      </w:r>
      <w:r w:rsidRPr="001B7918">
        <w:rPr>
          <w:szCs w:val="18"/>
          <w:lang w:val="en-US"/>
        </w:rPr>
        <w:t xml:space="preserve"> hazards, during the screening and quantification phases.</w:t>
      </w:r>
    </w:p>
    <w:p w:rsidR="00FB2B01" w:rsidRDefault="00DC519D" w:rsidP="00DC519D">
      <w:pPr>
        <w:rPr>
          <w:b/>
          <w:lang w:val="en-US"/>
        </w:rPr>
      </w:pPr>
      <w:r>
        <w:rPr>
          <w:b/>
          <w:lang w:val="en-US"/>
        </w:rPr>
        <w:t xml:space="preserve">Step 2 - </w:t>
      </w:r>
      <w:r w:rsidR="00FB2B01" w:rsidRPr="00DC519D">
        <w:rPr>
          <w:b/>
          <w:lang w:val="en-US"/>
        </w:rPr>
        <w:t>Exclusion criteria</w:t>
      </w:r>
    </w:p>
    <w:p w:rsidR="00DC519D" w:rsidRPr="00DC519D" w:rsidRDefault="00DC519D" w:rsidP="00DC519D">
      <w:pPr>
        <w:rPr>
          <w:b/>
          <w:lang w:val="en-US"/>
        </w:rPr>
      </w:pPr>
    </w:p>
    <w:p w:rsidR="00FB2B01" w:rsidRDefault="00DC519D" w:rsidP="00ED4B5B">
      <w:pPr>
        <w:pStyle w:val="Corpsdetexte3"/>
      </w:pPr>
      <w:r>
        <w:t>The</w:t>
      </w:r>
      <w:r w:rsidR="00FB2B01" w:rsidRPr="00DC519D">
        <w:t xml:space="preserve"> list of criteria for screening </w:t>
      </w:r>
      <w:r>
        <w:t>out the</w:t>
      </w:r>
      <w:r w:rsidR="00FB2B01" w:rsidRPr="00DC519D">
        <w:t xml:space="preserve"> hazards considered individually and for the relev</w:t>
      </w:r>
      <w:r>
        <w:t>ant combinations, is given in th</w:t>
      </w:r>
      <w:r w:rsidR="00FB2B01" w:rsidRPr="00DC519D">
        <w:t>e following table</w:t>
      </w:r>
      <w:r w:rsidR="00FB2B01">
        <w:t>:</w:t>
      </w:r>
    </w:p>
    <w:p w:rsidR="00FB2B01" w:rsidRDefault="00FB2B01" w:rsidP="00ED4B5B">
      <w:pPr>
        <w:pStyle w:val="Corpsdetexte3"/>
      </w:pPr>
    </w:p>
    <w:p w:rsidR="00FB2B01" w:rsidRPr="00DC519D" w:rsidRDefault="00471F15" w:rsidP="005F1EF2">
      <w:pPr>
        <w:pStyle w:val="Corpsdetexte"/>
        <w:keepNext/>
        <w:jc w:val="center"/>
        <w:rPr>
          <w:rFonts w:ascii="Trebuchet MS" w:hAnsi="Trebuchet MS"/>
          <w:b/>
          <w:sz w:val="18"/>
          <w:szCs w:val="18"/>
        </w:rPr>
      </w:pPr>
      <w:r w:rsidRPr="00471F15">
        <w:rPr>
          <w:rFonts w:ascii="Trebuchet MS" w:hAnsi="Trebuchet MS"/>
          <w:b/>
          <w:bCs/>
          <w:sz w:val="20"/>
          <w:lang w:val="en-GB" w:eastAsia="fr-FR"/>
        </w:rPr>
        <w:t xml:space="preserve">Table </w:t>
      </w:r>
      <w:r w:rsidRPr="00471F15">
        <w:rPr>
          <w:rFonts w:ascii="Trebuchet MS" w:hAnsi="Trebuchet MS"/>
          <w:b/>
          <w:bCs/>
          <w:sz w:val="20"/>
          <w:lang w:val="en-GB" w:eastAsia="fr-FR"/>
        </w:rPr>
        <w:fldChar w:fldCharType="begin"/>
      </w:r>
      <w:r w:rsidRPr="00471F15">
        <w:rPr>
          <w:rFonts w:ascii="Trebuchet MS" w:hAnsi="Trebuchet MS"/>
          <w:b/>
          <w:bCs/>
          <w:sz w:val="20"/>
          <w:lang w:val="en-GB" w:eastAsia="fr-FR"/>
        </w:rPr>
        <w:instrText xml:space="preserve"> STYLEREF 1 \s </w:instrText>
      </w:r>
      <w:r w:rsidRPr="00471F15">
        <w:rPr>
          <w:rFonts w:ascii="Trebuchet MS" w:hAnsi="Trebuchet MS"/>
          <w:b/>
          <w:bCs/>
          <w:sz w:val="20"/>
          <w:lang w:val="en-GB" w:eastAsia="fr-FR"/>
        </w:rPr>
        <w:fldChar w:fldCharType="separate"/>
      </w:r>
      <w:r w:rsidR="00E62976">
        <w:rPr>
          <w:rFonts w:ascii="Trebuchet MS" w:hAnsi="Trebuchet MS"/>
          <w:b/>
          <w:bCs/>
          <w:noProof/>
          <w:sz w:val="20"/>
          <w:lang w:val="en-GB" w:eastAsia="fr-FR"/>
        </w:rPr>
        <w:t>5</w:t>
      </w:r>
      <w:r w:rsidRPr="00471F15">
        <w:rPr>
          <w:rFonts w:ascii="Trebuchet MS" w:hAnsi="Trebuchet MS"/>
          <w:b/>
          <w:bCs/>
          <w:sz w:val="20"/>
          <w:lang w:val="en-GB" w:eastAsia="fr-FR"/>
        </w:rPr>
        <w:fldChar w:fldCharType="end"/>
      </w:r>
      <w:r w:rsidRPr="00471F15">
        <w:rPr>
          <w:rFonts w:ascii="Trebuchet MS" w:hAnsi="Trebuchet MS"/>
          <w:b/>
          <w:bCs/>
          <w:sz w:val="20"/>
          <w:lang w:val="en-GB" w:eastAsia="fr-FR"/>
        </w:rPr>
        <w:noBreakHyphen/>
      </w:r>
      <w:r w:rsidRPr="00471F15">
        <w:rPr>
          <w:rFonts w:ascii="Trebuchet MS" w:hAnsi="Trebuchet MS"/>
          <w:b/>
          <w:bCs/>
          <w:sz w:val="20"/>
          <w:lang w:val="en-GB" w:eastAsia="fr-FR"/>
        </w:rPr>
        <w:fldChar w:fldCharType="begin"/>
      </w:r>
      <w:r w:rsidRPr="00471F15">
        <w:rPr>
          <w:rFonts w:ascii="Trebuchet MS" w:hAnsi="Trebuchet MS"/>
          <w:b/>
          <w:bCs/>
          <w:sz w:val="20"/>
          <w:lang w:val="en-GB" w:eastAsia="fr-FR"/>
        </w:rPr>
        <w:instrText xml:space="preserve"> SEQ Table \* ARABIC \s 1 </w:instrText>
      </w:r>
      <w:r w:rsidRPr="00471F15">
        <w:rPr>
          <w:rFonts w:ascii="Trebuchet MS" w:hAnsi="Trebuchet MS"/>
          <w:b/>
          <w:bCs/>
          <w:sz w:val="20"/>
          <w:lang w:val="en-GB" w:eastAsia="fr-FR"/>
        </w:rPr>
        <w:fldChar w:fldCharType="separate"/>
      </w:r>
      <w:r w:rsidR="00E62976">
        <w:rPr>
          <w:rFonts w:ascii="Trebuchet MS" w:hAnsi="Trebuchet MS"/>
          <w:b/>
          <w:bCs/>
          <w:noProof/>
          <w:sz w:val="20"/>
          <w:lang w:val="en-GB" w:eastAsia="fr-FR"/>
        </w:rPr>
        <w:t>2</w:t>
      </w:r>
      <w:r w:rsidRPr="00471F15">
        <w:rPr>
          <w:rFonts w:ascii="Trebuchet MS" w:hAnsi="Trebuchet MS"/>
          <w:b/>
          <w:bCs/>
          <w:sz w:val="20"/>
          <w:lang w:val="en-GB" w:eastAsia="fr-FR"/>
        </w:rPr>
        <w:fldChar w:fldCharType="end"/>
      </w:r>
      <w:r w:rsidR="00FB2B01" w:rsidRPr="00DC519D">
        <w:rPr>
          <w:rFonts w:ascii="Trebuchet MS" w:hAnsi="Trebuchet MS"/>
          <w:b/>
          <w:sz w:val="18"/>
          <w:szCs w:val="18"/>
          <w:lang w:val="en-GB"/>
        </w:rPr>
        <w:t xml:space="preserve"> </w:t>
      </w:r>
      <w:r>
        <w:rPr>
          <w:rFonts w:ascii="Trebuchet MS" w:hAnsi="Trebuchet MS"/>
          <w:b/>
          <w:sz w:val="18"/>
          <w:szCs w:val="18"/>
          <w:lang w:val="en-GB"/>
        </w:rPr>
        <w:t>E</w:t>
      </w:r>
      <w:r w:rsidR="00FB2B01" w:rsidRPr="00DC519D">
        <w:rPr>
          <w:rFonts w:ascii="Trebuchet MS" w:hAnsi="Trebuchet MS"/>
          <w:b/>
          <w:sz w:val="18"/>
          <w:szCs w:val="18"/>
          <w:lang w:val="en-GB"/>
        </w:rPr>
        <w:t>xclusion criteria</w:t>
      </w:r>
    </w:p>
    <w:tbl>
      <w:tblPr>
        <w:tblW w:w="0" w:type="auto"/>
        <w:jc w:val="center"/>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0A0" w:firstRow="1" w:lastRow="0" w:firstColumn="1" w:lastColumn="0" w:noHBand="0" w:noVBand="0"/>
      </w:tblPr>
      <w:tblGrid>
        <w:gridCol w:w="1297"/>
        <w:gridCol w:w="8274"/>
      </w:tblGrid>
      <w:tr w:rsidR="00FB2B01" w:rsidTr="00DC519D">
        <w:trPr>
          <w:jc w:val="center"/>
        </w:trPr>
        <w:tc>
          <w:tcPr>
            <w:tcW w:w="0" w:type="auto"/>
            <w:tcBorders>
              <w:top w:val="double" w:sz="4" w:space="0" w:color="auto"/>
              <w:left w:val="double" w:sz="4" w:space="0" w:color="auto"/>
              <w:bottom w:val="single" w:sz="4" w:space="0" w:color="000000"/>
              <w:right w:val="single" w:sz="4" w:space="0" w:color="000000"/>
            </w:tcBorders>
            <w:hideMark/>
          </w:tcPr>
          <w:p w:rsidR="00FB2B01" w:rsidRDefault="00FB2B01" w:rsidP="00DC519D">
            <w:pPr>
              <w:overflowPunct w:val="0"/>
              <w:autoSpaceDE w:val="0"/>
              <w:autoSpaceDN w:val="0"/>
              <w:adjustRightInd w:val="0"/>
              <w:spacing w:before="120" w:line="240" w:lineRule="auto"/>
              <w:rPr>
                <w:b/>
                <w:szCs w:val="18"/>
                <w:lang w:eastAsia="en-US"/>
              </w:rPr>
            </w:pPr>
            <w:r>
              <w:rPr>
                <w:b/>
                <w:szCs w:val="18"/>
                <w:lang w:val="en-GB"/>
              </w:rPr>
              <w:t>Criterion</w:t>
            </w:r>
          </w:p>
        </w:tc>
        <w:tc>
          <w:tcPr>
            <w:tcW w:w="0" w:type="auto"/>
            <w:tcBorders>
              <w:top w:val="double" w:sz="4" w:space="0" w:color="auto"/>
              <w:left w:val="single" w:sz="4" w:space="0" w:color="000000"/>
              <w:bottom w:val="single" w:sz="4" w:space="0" w:color="000000"/>
              <w:right w:val="double" w:sz="4" w:space="0" w:color="auto"/>
            </w:tcBorders>
            <w:hideMark/>
          </w:tcPr>
          <w:p w:rsidR="00FB2B01" w:rsidRDefault="00FB2B01" w:rsidP="00DC519D">
            <w:pPr>
              <w:overflowPunct w:val="0"/>
              <w:autoSpaceDE w:val="0"/>
              <w:autoSpaceDN w:val="0"/>
              <w:adjustRightInd w:val="0"/>
              <w:spacing w:before="120" w:line="240" w:lineRule="auto"/>
              <w:rPr>
                <w:b/>
                <w:szCs w:val="18"/>
                <w:lang w:eastAsia="en-US"/>
              </w:rPr>
            </w:pPr>
            <w:r>
              <w:rPr>
                <w:b/>
                <w:szCs w:val="18"/>
                <w:lang w:val="en-GB"/>
              </w:rPr>
              <w:t>Description</w:t>
            </w:r>
          </w:p>
        </w:tc>
      </w:tr>
      <w:tr w:rsidR="00FB2B01" w:rsidRPr="00304D8A" w:rsidTr="00DC519D">
        <w:trPr>
          <w:jc w:val="center"/>
        </w:trPr>
        <w:tc>
          <w:tcPr>
            <w:tcW w:w="0" w:type="auto"/>
            <w:tcBorders>
              <w:top w:val="single" w:sz="4" w:space="0" w:color="000000"/>
              <w:left w:val="double" w:sz="4" w:space="0" w:color="auto"/>
              <w:bottom w:val="single" w:sz="4" w:space="0" w:color="000000"/>
              <w:right w:val="single" w:sz="4" w:space="0" w:color="000000"/>
            </w:tcBorders>
            <w:hideMark/>
          </w:tcPr>
          <w:p w:rsidR="00FB2B01" w:rsidRDefault="00FB2B01" w:rsidP="00DC519D">
            <w:pPr>
              <w:spacing w:before="120" w:line="240" w:lineRule="auto"/>
              <w:rPr>
                <w:szCs w:val="18"/>
                <w:lang w:eastAsia="en-US"/>
              </w:rPr>
            </w:pPr>
            <w:r>
              <w:rPr>
                <w:szCs w:val="18"/>
                <w:lang w:val="en-GB"/>
              </w:rPr>
              <w:t>C1:</w:t>
            </w:r>
            <w:r>
              <w:rPr>
                <w:szCs w:val="18"/>
              </w:rPr>
              <w:t xml:space="preserve"> </w:t>
            </w:r>
          </w:p>
          <w:p w:rsidR="00FB2B01" w:rsidRDefault="00FB2B01" w:rsidP="00DC519D">
            <w:pPr>
              <w:overflowPunct w:val="0"/>
              <w:autoSpaceDE w:val="0"/>
              <w:autoSpaceDN w:val="0"/>
              <w:adjustRightInd w:val="0"/>
              <w:spacing w:line="240" w:lineRule="auto"/>
              <w:rPr>
                <w:szCs w:val="18"/>
                <w:lang w:eastAsia="en-US"/>
              </w:rPr>
            </w:pPr>
            <w:r>
              <w:rPr>
                <w:szCs w:val="18"/>
                <w:lang w:val="en-GB"/>
              </w:rPr>
              <w:t>Applicability</w:t>
            </w:r>
          </w:p>
        </w:tc>
        <w:tc>
          <w:tcPr>
            <w:tcW w:w="0" w:type="auto"/>
            <w:tcBorders>
              <w:top w:val="single" w:sz="4" w:space="0" w:color="000000"/>
              <w:left w:val="single" w:sz="4" w:space="0" w:color="000000"/>
              <w:bottom w:val="single" w:sz="4" w:space="0" w:color="000000"/>
              <w:right w:val="double" w:sz="4" w:space="0" w:color="auto"/>
            </w:tcBorders>
            <w:hideMark/>
          </w:tcPr>
          <w:p w:rsidR="00FB2B01" w:rsidRDefault="00FB2B01" w:rsidP="00DC519D">
            <w:pPr>
              <w:overflowPunct w:val="0"/>
              <w:autoSpaceDE w:val="0"/>
              <w:autoSpaceDN w:val="0"/>
              <w:adjustRightInd w:val="0"/>
              <w:spacing w:before="120" w:line="240" w:lineRule="auto"/>
              <w:rPr>
                <w:szCs w:val="18"/>
                <w:lang w:val="en-US" w:eastAsia="en-US"/>
              </w:rPr>
            </w:pPr>
            <w:r>
              <w:rPr>
                <w:szCs w:val="18"/>
                <w:lang w:val="en-GB"/>
              </w:rPr>
              <w:t>The hazard cannot occur on the site or sufficiently close to have an impact.</w:t>
            </w:r>
          </w:p>
        </w:tc>
      </w:tr>
      <w:tr w:rsidR="00FB2B01" w:rsidRPr="00304D8A" w:rsidTr="00DC519D">
        <w:trPr>
          <w:jc w:val="center"/>
        </w:trPr>
        <w:tc>
          <w:tcPr>
            <w:tcW w:w="0" w:type="auto"/>
            <w:tcBorders>
              <w:top w:val="single" w:sz="4" w:space="0" w:color="000000"/>
              <w:left w:val="double" w:sz="4" w:space="0" w:color="auto"/>
              <w:bottom w:val="single" w:sz="4" w:space="0" w:color="000000"/>
              <w:right w:val="single" w:sz="4" w:space="0" w:color="000000"/>
            </w:tcBorders>
            <w:hideMark/>
          </w:tcPr>
          <w:p w:rsidR="00FB2B01" w:rsidRDefault="00FB2B01" w:rsidP="00DC519D">
            <w:pPr>
              <w:spacing w:before="120" w:line="240" w:lineRule="auto"/>
              <w:rPr>
                <w:szCs w:val="18"/>
                <w:lang w:eastAsia="en-US"/>
              </w:rPr>
            </w:pPr>
            <w:r>
              <w:rPr>
                <w:szCs w:val="18"/>
                <w:lang w:val="en-GB"/>
              </w:rPr>
              <w:t>C2:</w:t>
            </w:r>
            <w:r>
              <w:rPr>
                <w:szCs w:val="18"/>
              </w:rPr>
              <w:t xml:space="preserve"> </w:t>
            </w:r>
          </w:p>
          <w:p w:rsidR="00FB2B01" w:rsidRDefault="00FB2B01" w:rsidP="00DC519D">
            <w:pPr>
              <w:overflowPunct w:val="0"/>
              <w:autoSpaceDE w:val="0"/>
              <w:autoSpaceDN w:val="0"/>
              <w:adjustRightInd w:val="0"/>
              <w:spacing w:line="240" w:lineRule="auto"/>
              <w:rPr>
                <w:szCs w:val="18"/>
                <w:lang w:eastAsia="en-US"/>
              </w:rPr>
            </w:pPr>
            <w:r>
              <w:rPr>
                <w:szCs w:val="18"/>
                <w:lang w:val="en-GB"/>
              </w:rPr>
              <w:t>Inclusion</w:t>
            </w:r>
            <w:r>
              <w:rPr>
                <w:szCs w:val="18"/>
              </w:rPr>
              <w:t xml:space="preserve"> </w:t>
            </w:r>
          </w:p>
        </w:tc>
        <w:tc>
          <w:tcPr>
            <w:tcW w:w="0" w:type="auto"/>
            <w:tcBorders>
              <w:top w:val="single" w:sz="4" w:space="0" w:color="000000"/>
              <w:left w:val="single" w:sz="4" w:space="0" w:color="000000"/>
              <w:bottom w:val="single" w:sz="4" w:space="0" w:color="000000"/>
              <w:right w:val="double" w:sz="4" w:space="0" w:color="auto"/>
            </w:tcBorders>
            <w:hideMark/>
          </w:tcPr>
          <w:p w:rsidR="00FB2B01" w:rsidRDefault="00FB2B01" w:rsidP="00DC519D">
            <w:pPr>
              <w:overflowPunct w:val="0"/>
              <w:autoSpaceDE w:val="0"/>
              <w:autoSpaceDN w:val="0"/>
              <w:adjustRightInd w:val="0"/>
              <w:spacing w:before="120" w:line="240" w:lineRule="auto"/>
              <w:rPr>
                <w:szCs w:val="18"/>
                <w:lang w:val="en-US" w:eastAsia="en-US"/>
              </w:rPr>
            </w:pPr>
            <w:r>
              <w:rPr>
                <w:szCs w:val="18"/>
                <w:lang w:val="en-GB"/>
              </w:rPr>
              <w:t>The hazard is included in the definition of other hazards analysed for the site.</w:t>
            </w:r>
          </w:p>
        </w:tc>
      </w:tr>
      <w:tr w:rsidR="00FB2B01" w:rsidRPr="00304D8A" w:rsidTr="00DC519D">
        <w:trPr>
          <w:jc w:val="center"/>
        </w:trPr>
        <w:tc>
          <w:tcPr>
            <w:tcW w:w="0" w:type="auto"/>
            <w:tcBorders>
              <w:top w:val="single" w:sz="4" w:space="0" w:color="000000"/>
              <w:left w:val="double" w:sz="4" w:space="0" w:color="auto"/>
              <w:bottom w:val="single" w:sz="4" w:space="0" w:color="000000"/>
              <w:right w:val="single" w:sz="4" w:space="0" w:color="000000"/>
            </w:tcBorders>
            <w:hideMark/>
          </w:tcPr>
          <w:p w:rsidR="00FB2B01" w:rsidRDefault="00FB2B01" w:rsidP="00DC519D">
            <w:pPr>
              <w:spacing w:before="120" w:line="240" w:lineRule="auto"/>
              <w:rPr>
                <w:szCs w:val="18"/>
                <w:lang w:eastAsia="en-US"/>
              </w:rPr>
            </w:pPr>
            <w:r>
              <w:rPr>
                <w:szCs w:val="18"/>
                <w:lang w:val="en-GB"/>
              </w:rPr>
              <w:t>C3:</w:t>
            </w:r>
            <w:r>
              <w:rPr>
                <w:szCs w:val="18"/>
              </w:rPr>
              <w:t xml:space="preserve"> </w:t>
            </w:r>
          </w:p>
          <w:p w:rsidR="00FB2B01" w:rsidRDefault="00FB2B01" w:rsidP="00DC519D">
            <w:pPr>
              <w:overflowPunct w:val="0"/>
              <w:autoSpaceDE w:val="0"/>
              <w:autoSpaceDN w:val="0"/>
              <w:adjustRightInd w:val="0"/>
              <w:spacing w:line="240" w:lineRule="auto"/>
              <w:rPr>
                <w:szCs w:val="18"/>
                <w:lang w:eastAsia="en-US"/>
              </w:rPr>
            </w:pPr>
            <w:r>
              <w:rPr>
                <w:szCs w:val="18"/>
                <w:lang w:val="en-GB"/>
              </w:rPr>
              <w:t>Severity</w:t>
            </w:r>
            <w:r>
              <w:rPr>
                <w:szCs w:val="18"/>
              </w:rPr>
              <w:t xml:space="preserve"> </w:t>
            </w:r>
          </w:p>
        </w:tc>
        <w:tc>
          <w:tcPr>
            <w:tcW w:w="0" w:type="auto"/>
            <w:tcBorders>
              <w:top w:val="single" w:sz="4" w:space="0" w:color="000000"/>
              <w:left w:val="single" w:sz="4" w:space="0" w:color="000000"/>
              <w:bottom w:val="single" w:sz="4" w:space="0" w:color="000000"/>
              <w:right w:val="double" w:sz="4" w:space="0" w:color="auto"/>
            </w:tcBorders>
            <w:hideMark/>
          </w:tcPr>
          <w:p w:rsidR="00FB2B01" w:rsidRDefault="00FB2B01" w:rsidP="00DC519D">
            <w:pPr>
              <w:overflowPunct w:val="0"/>
              <w:autoSpaceDE w:val="0"/>
              <w:autoSpaceDN w:val="0"/>
              <w:adjustRightInd w:val="0"/>
              <w:spacing w:before="120" w:line="240" w:lineRule="auto"/>
              <w:rPr>
                <w:szCs w:val="18"/>
                <w:lang w:val="en-US" w:eastAsia="en-US"/>
              </w:rPr>
            </w:pPr>
            <w:r>
              <w:rPr>
                <w:szCs w:val="18"/>
                <w:lang w:val="en-GB"/>
              </w:rPr>
              <w:t>The hazard can only generate potential damage lower than or equal to that caused by similar event(s) for which the plant was sized (designed and/or checked).</w:t>
            </w:r>
          </w:p>
        </w:tc>
      </w:tr>
      <w:tr w:rsidR="00FB2B01" w:rsidRPr="00304D8A" w:rsidTr="00DC519D">
        <w:trPr>
          <w:jc w:val="center"/>
        </w:trPr>
        <w:tc>
          <w:tcPr>
            <w:tcW w:w="0" w:type="auto"/>
            <w:tcBorders>
              <w:top w:val="single" w:sz="4" w:space="0" w:color="000000"/>
              <w:left w:val="double" w:sz="4" w:space="0" w:color="auto"/>
              <w:bottom w:val="single" w:sz="4" w:space="0" w:color="000000"/>
              <w:right w:val="single" w:sz="4" w:space="0" w:color="000000"/>
            </w:tcBorders>
            <w:hideMark/>
          </w:tcPr>
          <w:p w:rsidR="00FB2B01" w:rsidRDefault="00FB2B01" w:rsidP="00DC519D">
            <w:pPr>
              <w:spacing w:before="120" w:line="240" w:lineRule="auto"/>
              <w:rPr>
                <w:szCs w:val="18"/>
                <w:lang w:eastAsia="en-US"/>
              </w:rPr>
            </w:pPr>
            <w:r>
              <w:rPr>
                <w:szCs w:val="18"/>
                <w:lang w:val="en-GB"/>
              </w:rPr>
              <w:t>C4:</w:t>
            </w:r>
            <w:r>
              <w:rPr>
                <w:szCs w:val="18"/>
              </w:rPr>
              <w:t xml:space="preserve"> </w:t>
            </w:r>
          </w:p>
          <w:p w:rsidR="00FB2B01" w:rsidRDefault="00FB2B01" w:rsidP="00DC519D">
            <w:pPr>
              <w:overflowPunct w:val="0"/>
              <w:autoSpaceDE w:val="0"/>
              <w:autoSpaceDN w:val="0"/>
              <w:adjustRightInd w:val="0"/>
              <w:spacing w:line="240" w:lineRule="auto"/>
              <w:rPr>
                <w:szCs w:val="18"/>
                <w:lang w:eastAsia="en-US"/>
              </w:rPr>
            </w:pPr>
            <w:r>
              <w:rPr>
                <w:szCs w:val="18"/>
                <w:lang w:val="en-GB"/>
              </w:rPr>
              <w:t>Initiating event</w:t>
            </w:r>
          </w:p>
        </w:tc>
        <w:tc>
          <w:tcPr>
            <w:tcW w:w="0" w:type="auto"/>
            <w:tcBorders>
              <w:top w:val="single" w:sz="4" w:space="0" w:color="000000"/>
              <w:left w:val="single" w:sz="4" w:space="0" w:color="000000"/>
              <w:bottom w:val="single" w:sz="4" w:space="0" w:color="000000"/>
              <w:right w:val="double" w:sz="4" w:space="0" w:color="auto"/>
            </w:tcBorders>
            <w:hideMark/>
          </w:tcPr>
          <w:p w:rsidR="00FB2B01" w:rsidRDefault="00FB2B01" w:rsidP="00DC519D">
            <w:pPr>
              <w:spacing w:before="120" w:line="240" w:lineRule="auto"/>
              <w:rPr>
                <w:szCs w:val="18"/>
                <w:lang w:val="en-GB" w:eastAsia="en-US"/>
              </w:rPr>
            </w:pPr>
            <w:r>
              <w:rPr>
                <w:szCs w:val="18"/>
                <w:lang w:val="en-GB"/>
              </w:rPr>
              <w:t>The hazard doesn’t generate any PSA initiating event.</w:t>
            </w:r>
          </w:p>
          <w:p w:rsidR="00FB2B01" w:rsidRDefault="00FB2B01" w:rsidP="00DC519D">
            <w:pPr>
              <w:spacing w:before="120" w:line="240" w:lineRule="auto"/>
              <w:rPr>
                <w:szCs w:val="18"/>
                <w:lang w:val="en-GB"/>
              </w:rPr>
            </w:pPr>
            <w:r>
              <w:rPr>
                <w:szCs w:val="18"/>
                <w:lang w:val="en-GB"/>
              </w:rPr>
              <w:t>or</w:t>
            </w:r>
          </w:p>
          <w:p w:rsidR="00FB2B01" w:rsidRDefault="00FB2B01" w:rsidP="00DC519D">
            <w:pPr>
              <w:overflowPunct w:val="0"/>
              <w:autoSpaceDE w:val="0"/>
              <w:autoSpaceDN w:val="0"/>
              <w:adjustRightInd w:val="0"/>
              <w:spacing w:before="120" w:line="240" w:lineRule="auto"/>
              <w:rPr>
                <w:szCs w:val="18"/>
                <w:lang w:val="en-US" w:eastAsia="en-US"/>
              </w:rPr>
            </w:pPr>
            <w:r>
              <w:rPr>
                <w:szCs w:val="18"/>
                <w:lang w:val="en-GB"/>
              </w:rPr>
              <w:t xml:space="preserve">The hazard can only generate initiating event(s) already modelled in the L1 internal events </w:t>
            </w:r>
            <w:r w:rsidR="00DC519D">
              <w:rPr>
                <w:szCs w:val="18"/>
                <w:lang w:val="en-GB"/>
              </w:rPr>
              <w:t>PSA</w:t>
            </w:r>
            <w:r>
              <w:rPr>
                <w:szCs w:val="18"/>
                <w:lang w:val="en-GB"/>
              </w:rPr>
              <w:t xml:space="preserve"> model. It is necessary to either verify that the model takes account of the hazard or demonstrate that hazard’s frequency is residual </w:t>
            </w:r>
            <w:r w:rsidRPr="001B7918">
              <w:rPr>
                <w:szCs w:val="18"/>
                <w:lang w:val="en-US"/>
              </w:rPr>
              <w:t>in comparison with the frequency of the generated internal events</w:t>
            </w:r>
            <w:r>
              <w:rPr>
                <w:szCs w:val="18"/>
                <w:lang w:val="en-GB"/>
              </w:rPr>
              <w:t>.</w:t>
            </w:r>
          </w:p>
        </w:tc>
      </w:tr>
      <w:tr w:rsidR="00FB2B01" w:rsidRPr="00304D8A" w:rsidTr="00DC519D">
        <w:trPr>
          <w:jc w:val="center"/>
        </w:trPr>
        <w:tc>
          <w:tcPr>
            <w:tcW w:w="0" w:type="auto"/>
            <w:tcBorders>
              <w:top w:val="single" w:sz="4" w:space="0" w:color="000000"/>
              <w:left w:val="double" w:sz="4" w:space="0" w:color="auto"/>
              <w:bottom w:val="single" w:sz="4" w:space="0" w:color="000000"/>
              <w:right w:val="single" w:sz="4" w:space="0" w:color="000000"/>
            </w:tcBorders>
            <w:hideMark/>
          </w:tcPr>
          <w:p w:rsidR="00FB2B01" w:rsidRDefault="00FB2B01" w:rsidP="00DC519D">
            <w:pPr>
              <w:spacing w:before="120" w:line="240" w:lineRule="auto"/>
              <w:rPr>
                <w:szCs w:val="18"/>
                <w:lang w:eastAsia="en-US"/>
              </w:rPr>
            </w:pPr>
            <w:r>
              <w:rPr>
                <w:szCs w:val="18"/>
                <w:lang w:val="en-GB"/>
              </w:rPr>
              <w:t>C5:</w:t>
            </w:r>
          </w:p>
          <w:p w:rsidR="00FB2B01" w:rsidRDefault="00FB2B01" w:rsidP="00DC519D">
            <w:pPr>
              <w:overflowPunct w:val="0"/>
              <w:autoSpaceDE w:val="0"/>
              <w:autoSpaceDN w:val="0"/>
              <w:adjustRightInd w:val="0"/>
              <w:spacing w:before="120" w:line="240" w:lineRule="auto"/>
              <w:rPr>
                <w:szCs w:val="18"/>
                <w:lang w:eastAsia="en-US"/>
              </w:rPr>
            </w:pPr>
            <w:r>
              <w:rPr>
                <w:szCs w:val="18"/>
                <w:lang w:val="en-GB"/>
              </w:rPr>
              <w:t>Kinetics</w:t>
            </w:r>
          </w:p>
        </w:tc>
        <w:tc>
          <w:tcPr>
            <w:tcW w:w="0" w:type="auto"/>
            <w:tcBorders>
              <w:top w:val="single" w:sz="4" w:space="0" w:color="000000"/>
              <w:left w:val="single" w:sz="4" w:space="0" w:color="000000"/>
              <w:bottom w:val="single" w:sz="4" w:space="0" w:color="000000"/>
              <w:right w:val="double" w:sz="4" w:space="0" w:color="auto"/>
            </w:tcBorders>
            <w:hideMark/>
          </w:tcPr>
          <w:p w:rsidR="00FB2B01" w:rsidRDefault="00FB2B01" w:rsidP="00DC519D">
            <w:pPr>
              <w:overflowPunct w:val="0"/>
              <w:autoSpaceDE w:val="0"/>
              <w:autoSpaceDN w:val="0"/>
              <w:adjustRightInd w:val="0"/>
              <w:spacing w:before="120" w:line="240" w:lineRule="auto"/>
              <w:rPr>
                <w:szCs w:val="18"/>
                <w:lang w:val="en-US" w:eastAsia="en-US"/>
              </w:rPr>
            </w:pPr>
            <w:r>
              <w:rPr>
                <w:szCs w:val="18"/>
                <w:lang w:val="en-GB"/>
              </w:rPr>
              <w:t xml:space="preserve">The hazard has sufficiently slow kinetics to demonstrate that there is sufficient time to either eliminate the effects or to implement a suitable response. </w:t>
            </w:r>
          </w:p>
        </w:tc>
      </w:tr>
      <w:tr w:rsidR="00FB2B01" w:rsidRPr="00304D8A" w:rsidTr="00DC519D">
        <w:trPr>
          <w:jc w:val="center"/>
        </w:trPr>
        <w:tc>
          <w:tcPr>
            <w:tcW w:w="0" w:type="auto"/>
            <w:tcBorders>
              <w:top w:val="single" w:sz="4" w:space="0" w:color="000000"/>
              <w:left w:val="double" w:sz="4" w:space="0" w:color="auto"/>
              <w:bottom w:val="single" w:sz="4" w:space="0" w:color="000000"/>
              <w:right w:val="single" w:sz="4" w:space="0" w:color="000000"/>
            </w:tcBorders>
            <w:hideMark/>
          </w:tcPr>
          <w:p w:rsidR="00FB2B01" w:rsidRDefault="00FB2B01" w:rsidP="00DC519D">
            <w:pPr>
              <w:spacing w:before="120" w:line="240" w:lineRule="auto"/>
              <w:rPr>
                <w:szCs w:val="18"/>
                <w:lang w:eastAsia="en-US"/>
              </w:rPr>
            </w:pPr>
            <w:r>
              <w:rPr>
                <w:szCs w:val="18"/>
                <w:lang w:val="en-GB"/>
              </w:rPr>
              <w:t>C6:</w:t>
            </w:r>
            <w:r>
              <w:rPr>
                <w:szCs w:val="18"/>
              </w:rPr>
              <w:t xml:space="preserve"> </w:t>
            </w:r>
          </w:p>
          <w:p w:rsidR="00FB2B01" w:rsidRDefault="00FB2B01" w:rsidP="00DC519D">
            <w:pPr>
              <w:overflowPunct w:val="0"/>
              <w:autoSpaceDE w:val="0"/>
              <w:autoSpaceDN w:val="0"/>
              <w:adjustRightInd w:val="0"/>
              <w:spacing w:line="240" w:lineRule="auto"/>
              <w:rPr>
                <w:szCs w:val="18"/>
                <w:lang w:eastAsia="en-US"/>
              </w:rPr>
            </w:pPr>
            <w:r>
              <w:rPr>
                <w:szCs w:val="18"/>
                <w:lang w:val="en-GB"/>
              </w:rPr>
              <w:t>Frequency</w:t>
            </w:r>
          </w:p>
        </w:tc>
        <w:tc>
          <w:tcPr>
            <w:tcW w:w="0" w:type="auto"/>
            <w:tcBorders>
              <w:top w:val="single" w:sz="4" w:space="0" w:color="000000"/>
              <w:left w:val="single" w:sz="4" w:space="0" w:color="000000"/>
              <w:bottom w:val="single" w:sz="4" w:space="0" w:color="000000"/>
              <w:right w:val="double" w:sz="4" w:space="0" w:color="auto"/>
            </w:tcBorders>
            <w:hideMark/>
          </w:tcPr>
          <w:p w:rsidR="00FB2B01" w:rsidRPr="008D75DB" w:rsidRDefault="00FB2B01" w:rsidP="0027152C">
            <w:pPr>
              <w:overflowPunct w:val="0"/>
              <w:autoSpaceDE w:val="0"/>
              <w:autoSpaceDN w:val="0"/>
              <w:adjustRightInd w:val="0"/>
              <w:spacing w:before="120" w:line="240" w:lineRule="auto"/>
              <w:rPr>
                <w:szCs w:val="18"/>
                <w:lang w:val="en-US" w:eastAsia="en-US"/>
              </w:rPr>
            </w:pPr>
            <w:r w:rsidRPr="005262CB">
              <w:rPr>
                <w:szCs w:val="18"/>
                <w:lang w:val="en-GB"/>
              </w:rPr>
              <w:t xml:space="preserve">The hazard has a frequency of occurrence lower than an indicative target in order of a few </w:t>
            </w:r>
            <w:r w:rsidR="00BA2722" w:rsidRPr="005262CB">
              <w:rPr>
                <w:szCs w:val="18"/>
                <w:lang w:val="en-GB"/>
              </w:rPr>
              <w:br/>
            </w:r>
            <w:r w:rsidRPr="005262CB">
              <w:rPr>
                <w:szCs w:val="18"/>
                <w:lang w:val="en-GB"/>
              </w:rPr>
              <w:t>10</w:t>
            </w:r>
            <w:r w:rsidRPr="005262CB">
              <w:rPr>
                <w:szCs w:val="18"/>
                <w:vertAlign w:val="superscript"/>
                <w:lang w:val="en-GB"/>
              </w:rPr>
              <w:t>-7</w:t>
            </w:r>
            <w:r w:rsidR="0027152C" w:rsidRPr="005F1EF2">
              <w:rPr>
                <w:szCs w:val="18"/>
                <w:lang w:val="en-GB"/>
              </w:rPr>
              <w:t>per reactor year</w:t>
            </w:r>
            <w:r w:rsidRPr="008D75DB">
              <w:rPr>
                <w:szCs w:val="18"/>
                <w:lang w:val="en-GB"/>
              </w:rPr>
              <w:t>.</w:t>
            </w:r>
          </w:p>
        </w:tc>
      </w:tr>
      <w:tr w:rsidR="00FB2B01" w:rsidRPr="00304D8A" w:rsidTr="00DC519D">
        <w:trPr>
          <w:jc w:val="center"/>
        </w:trPr>
        <w:tc>
          <w:tcPr>
            <w:tcW w:w="0" w:type="auto"/>
            <w:tcBorders>
              <w:top w:val="single" w:sz="4" w:space="0" w:color="000000"/>
              <w:left w:val="double" w:sz="4" w:space="0" w:color="auto"/>
              <w:bottom w:val="double" w:sz="4" w:space="0" w:color="auto"/>
              <w:right w:val="single" w:sz="4" w:space="0" w:color="000000"/>
            </w:tcBorders>
            <w:hideMark/>
          </w:tcPr>
          <w:p w:rsidR="00FB2B01" w:rsidRPr="00BA2722" w:rsidRDefault="00FB2B01" w:rsidP="00DC519D">
            <w:pPr>
              <w:spacing w:before="120" w:line="240" w:lineRule="auto"/>
              <w:rPr>
                <w:szCs w:val="18"/>
                <w:lang w:val="en-US" w:eastAsia="en-US"/>
              </w:rPr>
            </w:pPr>
            <w:r>
              <w:rPr>
                <w:szCs w:val="18"/>
                <w:lang w:val="en-GB"/>
              </w:rPr>
              <w:t>C7:</w:t>
            </w:r>
            <w:r w:rsidRPr="00BA2722">
              <w:rPr>
                <w:szCs w:val="18"/>
                <w:lang w:val="en-US"/>
              </w:rPr>
              <w:t xml:space="preserve"> </w:t>
            </w:r>
          </w:p>
          <w:p w:rsidR="00FB2B01" w:rsidRPr="00BA2722" w:rsidRDefault="00FB2B01" w:rsidP="00DC519D">
            <w:pPr>
              <w:overflowPunct w:val="0"/>
              <w:autoSpaceDE w:val="0"/>
              <w:autoSpaceDN w:val="0"/>
              <w:adjustRightInd w:val="0"/>
              <w:spacing w:line="240" w:lineRule="auto"/>
              <w:rPr>
                <w:szCs w:val="18"/>
                <w:lang w:val="en-US" w:eastAsia="en-US"/>
              </w:rPr>
            </w:pPr>
            <w:r>
              <w:rPr>
                <w:szCs w:val="18"/>
                <w:lang w:val="en-GB"/>
              </w:rPr>
              <w:t>Contribution</w:t>
            </w:r>
            <w:r w:rsidRPr="00BA2722">
              <w:rPr>
                <w:szCs w:val="18"/>
                <w:lang w:val="en-US"/>
              </w:rPr>
              <w:t xml:space="preserve"> </w:t>
            </w:r>
          </w:p>
        </w:tc>
        <w:tc>
          <w:tcPr>
            <w:tcW w:w="0" w:type="auto"/>
            <w:tcBorders>
              <w:top w:val="single" w:sz="4" w:space="0" w:color="000000"/>
              <w:left w:val="single" w:sz="4" w:space="0" w:color="000000"/>
              <w:bottom w:val="double" w:sz="4" w:space="0" w:color="auto"/>
              <w:right w:val="double" w:sz="4" w:space="0" w:color="auto"/>
            </w:tcBorders>
            <w:hideMark/>
          </w:tcPr>
          <w:p w:rsidR="00FB2B01" w:rsidRPr="008D75DB" w:rsidRDefault="00FB2B01" w:rsidP="00DC519D">
            <w:pPr>
              <w:overflowPunct w:val="0"/>
              <w:autoSpaceDE w:val="0"/>
              <w:autoSpaceDN w:val="0"/>
              <w:adjustRightInd w:val="0"/>
              <w:spacing w:before="120" w:line="240" w:lineRule="auto"/>
              <w:rPr>
                <w:szCs w:val="18"/>
                <w:lang w:val="en-US" w:eastAsia="en-US"/>
              </w:rPr>
            </w:pPr>
            <w:r w:rsidRPr="008D75DB">
              <w:rPr>
                <w:szCs w:val="18"/>
                <w:lang w:val="en-GB"/>
              </w:rPr>
              <w:t>The risk contribution of the hazard is lower than indicative targets of a few 10</w:t>
            </w:r>
            <w:r w:rsidRPr="008D75DB">
              <w:rPr>
                <w:szCs w:val="18"/>
                <w:vertAlign w:val="superscript"/>
                <w:lang w:val="en-GB"/>
              </w:rPr>
              <w:t>-7</w:t>
            </w:r>
            <w:r w:rsidR="008D75DB" w:rsidRPr="005F1EF2">
              <w:rPr>
                <w:szCs w:val="18"/>
                <w:lang w:val="en-GB"/>
              </w:rPr>
              <w:t xml:space="preserve"> per reactor year</w:t>
            </w:r>
            <w:r w:rsidR="008D75DB" w:rsidRPr="005F1EF2" w:rsidDel="008D75DB">
              <w:rPr>
                <w:szCs w:val="18"/>
                <w:lang w:val="en-GB"/>
              </w:rPr>
              <w:t xml:space="preserve"> </w:t>
            </w:r>
            <w:r w:rsidRPr="008D75DB">
              <w:rPr>
                <w:szCs w:val="18"/>
                <w:lang w:val="en-GB"/>
              </w:rPr>
              <w:t>for fuel meltdown, or of a few 10</w:t>
            </w:r>
            <w:r w:rsidRPr="008D75DB">
              <w:rPr>
                <w:szCs w:val="18"/>
                <w:vertAlign w:val="superscript"/>
                <w:lang w:val="en-GB"/>
              </w:rPr>
              <w:t>-8</w:t>
            </w:r>
            <w:r w:rsidR="008D75DB" w:rsidRPr="005F1EF2">
              <w:rPr>
                <w:szCs w:val="18"/>
                <w:lang w:val="en-GB"/>
              </w:rPr>
              <w:t xml:space="preserve"> per reactor year</w:t>
            </w:r>
            <w:r w:rsidR="008D75DB" w:rsidRPr="005F1EF2" w:rsidDel="008D75DB">
              <w:rPr>
                <w:szCs w:val="18"/>
                <w:lang w:val="en-GB"/>
              </w:rPr>
              <w:t xml:space="preserve"> </w:t>
            </w:r>
            <w:r w:rsidRPr="008D75DB">
              <w:rPr>
                <w:szCs w:val="18"/>
                <w:lang w:val="en-GB"/>
              </w:rPr>
              <w:t>for large releases.</w:t>
            </w:r>
          </w:p>
        </w:tc>
      </w:tr>
    </w:tbl>
    <w:p w:rsidR="00FB2B01" w:rsidRDefault="00FB2B01" w:rsidP="00BA2722">
      <w:pPr>
        <w:rPr>
          <w:lang w:val="en-US"/>
        </w:rPr>
      </w:pPr>
    </w:p>
    <w:p w:rsidR="00FB2B01" w:rsidRPr="00BA2722" w:rsidRDefault="00FB2B01" w:rsidP="00BA2722">
      <w:pPr>
        <w:spacing w:line="360" w:lineRule="auto"/>
        <w:rPr>
          <w:szCs w:val="18"/>
          <w:lang w:val="en-US"/>
        </w:rPr>
      </w:pPr>
      <w:r w:rsidRPr="00BA2722">
        <w:rPr>
          <w:szCs w:val="18"/>
          <w:lang w:val="en-US"/>
        </w:rPr>
        <w:t xml:space="preserve">In addition, in case of application of criteria C6 or C7, </w:t>
      </w:r>
      <w:r w:rsidR="00BA2722" w:rsidRPr="00BA2722">
        <w:rPr>
          <w:szCs w:val="18"/>
          <w:lang w:val="en-US"/>
        </w:rPr>
        <w:t>EDF</w:t>
      </w:r>
      <w:r w:rsidRPr="00BA2722">
        <w:rPr>
          <w:szCs w:val="18"/>
          <w:lang w:val="en-US"/>
        </w:rPr>
        <w:t xml:space="preserve"> will check that there is no cliff-edge effect on large releases</w:t>
      </w:r>
      <w:r w:rsidR="00BA2722" w:rsidRPr="00BA2722">
        <w:rPr>
          <w:szCs w:val="18"/>
          <w:lang w:val="en-US"/>
        </w:rPr>
        <w:t>.</w:t>
      </w:r>
    </w:p>
    <w:p w:rsidR="00FB2B01" w:rsidRPr="00BA2722" w:rsidRDefault="00FB2B01" w:rsidP="00BA2722">
      <w:pPr>
        <w:spacing w:line="360" w:lineRule="auto"/>
        <w:rPr>
          <w:szCs w:val="18"/>
          <w:lang w:val="en-US"/>
        </w:rPr>
      </w:pPr>
      <w:r w:rsidRPr="00BA2722">
        <w:rPr>
          <w:szCs w:val="18"/>
          <w:lang w:val="en-US"/>
        </w:rPr>
        <w:t>In so far</w:t>
      </w:r>
      <w:r w:rsidR="00BA2722">
        <w:rPr>
          <w:szCs w:val="18"/>
          <w:lang w:val="en-US"/>
        </w:rPr>
        <w:t>,</w:t>
      </w:r>
      <w:r w:rsidRPr="00BA2722">
        <w:rPr>
          <w:szCs w:val="18"/>
          <w:lang w:val="en-US"/>
        </w:rPr>
        <w:t xml:space="preserve"> as evaluating the relevance of a hazard with respect to its frequency of occurrence and evaluating the relevance of a hazard with respect to its contribution to risk do not require the same level of analysis, these two aspects are clearly separated to:</w:t>
      </w:r>
    </w:p>
    <w:p w:rsidR="00FB2B01" w:rsidRPr="00BA2722" w:rsidRDefault="00FB2B01" w:rsidP="00E62976">
      <w:pPr>
        <w:pStyle w:val="Paragraphedeliste"/>
        <w:numPr>
          <w:ilvl w:val="0"/>
          <w:numId w:val="60"/>
        </w:numPr>
        <w:spacing w:line="360" w:lineRule="auto"/>
        <w:rPr>
          <w:rFonts w:ascii="Trebuchet MS" w:hAnsi="Trebuchet MS"/>
          <w:sz w:val="18"/>
          <w:szCs w:val="18"/>
          <w:lang w:val="en-US"/>
        </w:rPr>
      </w:pPr>
      <w:r w:rsidRPr="00BA2722">
        <w:rPr>
          <w:rFonts w:ascii="Trebuchet MS" w:hAnsi="Trebuchet MS"/>
          <w:sz w:val="18"/>
          <w:szCs w:val="18"/>
          <w:lang w:val="en-US"/>
        </w:rPr>
        <w:t>Eliminate hazards on a residual frequency criterion,</w:t>
      </w:r>
    </w:p>
    <w:p w:rsidR="00FB2B01" w:rsidRPr="00BA2722" w:rsidRDefault="00FB2B01" w:rsidP="00E62976">
      <w:pPr>
        <w:pStyle w:val="Paragraphedeliste"/>
        <w:numPr>
          <w:ilvl w:val="0"/>
          <w:numId w:val="60"/>
        </w:numPr>
        <w:spacing w:line="360" w:lineRule="auto"/>
        <w:rPr>
          <w:rFonts w:ascii="Trebuchet MS" w:hAnsi="Trebuchet MS"/>
          <w:sz w:val="18"/>
          <w:szCs w:val="18"/>
          <w:lang w:val="en-US"/>
        </w:rPr>
      </w:pPr>
      <w:r w:rsidRPr="00BA2722">
        <w:rPr>
          <w:rFonts w:ascii="Trebuchet MS" w:hAnsi="Trebuchet MS"/>
          <w:sz w:val="18"/>
          <w:szCs w:val="18"/>
          <w:lang w:val="en-US"/>
        </w:rPr>
        <w:t>Eliminate hazards on their very low contribution to the risk of fuel meltdown or large releases depending on the impact of the hazard.</w:t>
      </w:r>
    </w:p>
    <w:p w:rsidR="00FB2B01" w:rsidRPr="00BA2722" w:rsidRDefault="00FB2B01" w:rsidP="00BA2722">
      <w:pPr>
        <w:spacing w:line="360" w:lineRule="auto"/>
        <w:rPr>
          <w:szCs w:val="18"/>
          <w:lang w:val="en-US"/>
        </w:rPr>
      </w:pPr>
      <w:r w:rsidRPr="00BA2722">
        <w:rPr>
          <w:szCs w:val="18"/>
          <w:lang w:val="en-US"/>
        </w:rPr>
        <w:t>If at least one of the criteria C1 to C7 is verified, the hazard can be excluded.</w:t>
      </w:r>
    </w:p>
    <w:p w:rsidR="00FB2B01" w:rsidRPr="00BA2722" w:rsidRDefault="00FB2B01" w:rsidP="00BA2722">
      <w:pPr>
        <w:spacing w:line="360" w:lineRule="auto"/>
        <w:rPr>
          <w:szCs w:val="18"/>
          <w:lang w:val="en-US"/>
        </w:rPr>
      </w:pPr>
      <w:r w:rsidRPr="00BA2722">
        <w:rPr>
          <w:szCs w:val="18"/>
          <w:lang w:val="en-US"/>
        </w:rPr>
        <w:t>There is no mandatory order for the analysis of Ci.</w:t>
      </w:r>
    </w:p>
    <w:p w:rsidR="00FB2B01" w:rsidRDefault="004C7389" w:rsidP="00BA2722">
      <w:pPr>
        <w:rPr>
          <w:b/>
          <w:lang w:val="en-US"/>
        </w:rPr>
      </w:pPr>
      <w:r>
        <w:rPr>
          <w:b/>
          <w:lang w:val="en-US"/>
        </w:rPr>
        <w:t>Step</w:t>
      </w:r>
      <w:r w:rsidR="00BA2722">
        <w:rPr>
          <w:b/>
          <w:lang w:val="en-US"/>
        </w:rPr>
        <w:t xml:space="preserve"> 3 - Implementation of the methodology </w:t>
      </w:r>
    </w:p>
    <w:p w:rsidR="00FB2B01" w:rsidRPr="00BA2722" w:rsidRDefault="0091640B" w:rsidP="00BA2722">
      <w:pPr>
        <w:rPr>
          <w:b/>
          <w:i/>
          <w:lang w:val="en-US"/>
        </w:rPr>
      </w:pPr>
      <w:r>
        <w:rPr>
          <w:b/>
          <w:i/>
          <w:lang w:val="en-US"/>
        </w:rPr>
        <w:t xml:space="preserve">A - </w:t>
      </w:r>
      <w:r w:rsidR="00FB2B01" w:rsidRPr="00BA2722">
        <w:rPr>
          <w:b/>
          <w:i/>
          <w:lang w:val="en-US"/>
        </w:rPr>
        <w:t>Analysis of hazards considered individually</w:t>
      </w:r>
    </w:p>
    <w:p w:rsidR="00FB2B01" w:rsidRPr="00BA2722" w:rsidRDefault="00FB2B01" w:rsidP="00BA2722">
      <w:pPr>
        <w:rPr>
          <w:lang w:val="en-US"/>
        </w:rPr>
      </w:pPr>
      <w:r w:rsidRPr="00BA2722">
        <w:rPr>
          <w:lang w:val="en-GB"/>
        </w:rPr>
        <w:t>The analysis is performed for a given site and for each of the hazards in the list of potential hazards.</w:t>
      </w:r>
      <w:r w:rsidRPr="00BA2722">
        <w:rPr>
          <w:lang w:val="en-US"/>
        </w:rPr>
        <w:t xml:space="preserve"> </w:t>
      </w:r>
      <w:r w:rsidRPr="00BA2722">
        <w:rPr>
          <w:lang w:val="en-GB"/>
        </w:rPr>
        <w:t>The objective is to verify whether at least one of the criteria C1 to C7 applies and thus justify excluding the hazard from the list of candidate hazards for the preparation of a more advanced probabilistic risk assessment.</w:t>
      </w:r>
      <w:r w:rsidRPr="00BA2722">
        <w:rPr>
          <w:lang w:val="en-US"/>
        </w:rPr>
        <w:t xml:space="preserve"> There is no mandatory order for the analysis of Ci. </w:t>
      </w:r>
    </w:p>
    <w:p w:rsidR="00FB2B01" w:rsidRPr="00BA2722" w:rsidRDefault="00FB2B01" w:rsidP="00BA2722">
      <w:pPr>
        <w:rPr>
          <w:lang w:val="en-US"/>
        </w:rPr>
      </w:pPr>
    </w:p>
    <w:p w:rsidR="00FB2B01" w:rsidRPr="00BA2722" w:rsidRDefault="00FB2B01" w:rsidP="00BA2722">
      <w:pPr>
        <w:rPr>
          <w:lang w:val="en-US"/>
        </w:rPr>
      </w:pPr>
      <w:r w:rsidRPr="00BA2722">
        <w:rPr>
          <w:lang w:val="en-GB"/>
        </w:rPr>
        <w:t>In support of the</w:t>
      </w:r>
      <w:r w:rsidRPr="00BA2722">
        <w:rPr>
          <w:lang w:val="en-US"/>
        </w:rPr>
        <w:t xml:space="preserve"> general approach for</w:t>
      </w:r>
      <w:r w:rsidRPr="00BA2722">
        <w:rPr>
          <w:lang w:val="en-GB"/>
        </w:rPr>
        <w:t xml:space="preserve"> the analysis</w:t>
      </w:r>
      <w:r w:rsidRPr="00BA2722">
        <w:rPr>
          <w:lang w:val="en-US"/>
        </w:rPr>
        <w:t xml:space="preserve"> of every hazard of potential external hazards</w:t>
      </w:r>
      <w:r w:rsidRPr="00BA2722">
        <w:rPr>
          <w:lang w:val="en-GB"/>
        </w:rPr>
        <w:t>, the following prototype form (EDF practice) can be filled:</w:t>
      </w:r>
    </w:p>
    <w:p w:rsidR="00BE5FB5" w:rsidRDefault="00BE5FB5" w:rsidP="00ED4B5B">
      <w:pPr>
        <w:pStyle w:val="Corpsdetexte3"/>
      </w:pPr>
    </w:p>
    <w:p w:rsidR="00FB2B01" w:rsidRDefault="00FB2B01" w:rsidP="00ED4B5B">
      <w:pPr>
        <w:pStyle w:val="Corpsdetexte3"/>
      </w:pPr>
    </w:p>
    <w:p w:rsidR="00FB2B01" w:rsidRPr="00BA2722" w:rsidRDefault="00EF6E08" w:rsidP="00ED4B5B">
      <w:pPr>
        <w:pStyle w:val="Corpsdetexte3"/>
        <w:rPr>
          <w:lang w:val="en-US"/>
        </w:rPr>
      </w:pPr>
      <w:r>
        <w:rPr>
          <w:noProof/>
          <w:lang w:val="fr-FR" w:eastAsia="fr-FR"/>
        </w:rPr>
        <w:pict w14:anchorId="6C10AABD">
          <v:rect id="Rectangle 13" o:spid="_x0000_s1026" style="position:absolute;left:0;text-align:left;margin-left:-14.5pt;margin-top:-7.4pt;width:474.75pt;height:351.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" filled="f"/>
        </w:pict>
      </w:r>
      <w:r w:rsidR="00FB2B01" w:rsidRPr="00BA2722">
        <w:t>Description of the phenomenon</w:t>
      </w:r>
    </w:p>
    <w:p w:rsidR="002470EE" w:rsidRDefault="002470EE" w:rsidP="00ED4B5B">
      <w:pPr>
        <w:pStyle w:val="Corpsdetexte3"/>
      </w:pPr>
    </w:p>
    <w:p w:rsidR="00FB2B01" w:rsidRPr="00BA2722" w:rsidRDefault="00FB2B01" w:rsidP="00ED4B5B">
      <w:pPr>
        <w:pStyle w:val="Corpsdetexte3"/>
        <w:rPr>
          <w:lang w:val="en-US"/>
        </w:rPr>
      </w:pPr>
      <w:r w:rsidRPr="00BA2722">
        <w:t>Potential impacts on the installation</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17"/>
        <w:gridCol w:w="1123"/>
        <w:gridCol w:w="1546"/>
        <w:gridCol w:w="1984"/>
        <w:gridCol w:w="1843"/>
        <w:gridCol w:w="1134"/>
      </w:tblGrid>
      <w:tr w:rsidR="00FB2B01" w:rsidRPr="00BA2722" w:rsidTr="00FB2B01">
        <w:tc>
          <w:tcPr>
            <w:tcW w:w="1017" w:type="dxa"/>
            <w:tcBorders>
              <w:top w:val="single" w:sz="4" w:space="0" w:color="000000"/>
              <w:left w:val="single" w:sz="4" w:space="0" w:color="000000"/>
              <w:bottom w:val="single" w:sz="4" w:space="0" w:color="000000"/>
              <w:right w:val="single" w:sz="4" w:space="0" w:color="000000"/>
            </w:tcBorders>
            <w:hideMark/>
          </w:tcPr>
          <w:p w:rsidR="00FB2B01" w:rsidRPr="00BA2722" w:rsidRDefault="00FB2B01" w:rsidP="005C750A">
            <w:pPr>
              <w:keepNext/>
              <w:keepLines/>
              <w:overflowPunct w:val="0"/>
              <w:autoSpaceDE w:val="0"/>
              <w:autoSpaceDN w:val="0"/>
              <w:adjustRightInd w:val="0"/>
              <w:rPr>
                <w:rFonts w:cs="Arial"/>
                <w:bCs/>
                <w:sz w:val="16"/>
                <w:szCs w:val="16"/>
                <w:lang w:val="en-US" w:eastAsia="en-US"/>
              </w:rPr>
            </w:pPr>
            <w:r w:rsidRPr="00BA2722">
              <w:rPr>
                <w:rFonts w:cs="Arial"/>
                <w:bCs/>
                <w:sz w:val="16"/>
                <w:szCs w:val="16"/>
                <w:lang w:val="en-GB"/>
              </w:rPr>
              <w:t>Structures</w:t>
            </w:r>
          </w:p>
        </w:tc>
        <w:tc>
          <w:tcPr>
            <w:tcW w:w="1123" w:type="dxa"/>
            <w:tcBorders>
              <w:top w:val="single" w:sz="4" w:space="0" w:color="000000"/>
              <w:left w:val="single" w:sz="4" w:space="0" w:color="000000"/>
              <w:bottom w:val="single" w:sz="4" w:space="0" w:color="000000"/>
              <w:right w:val="single" w:sz="4" w:space="0" w:color="000000"/>
            </w:tcBorders>
            <w:hideMark/>
          </w:tcPr>
          <w:p w:rsidR="00FB2B01" w:rsidRPr="00BA2722" w:rsidRDefault="00FB2B01" w:rsidP="005C750A">
            <w:pPr>
              <w:keepNext/>
              <w:keepLines/>
              <w:overflowPunct w:val="0"/>
              <w:autoSpaceDE w:val="0"/>
              <w:autoSpaceDN w:val="0"/>
              <w:adjustRightInd w:val="0"/>
              <w:rPr>
                <w:rFonts w:cs="Arial"/>
                <w:bCs/>
                <w:sz w:val="16"/>
                <w:szCs w:val="16"/>
                <w:lang w:val="en-US" w:eastAsia="en-US"/>
              </w:rPr>
            </w:pPr>
            <w:r w:rsidRPr="00BA2722">
              <w:rPr>
                <w:rFonts w:cs="Arial"/>
                <w:bCs/>
                <w:sz w:val="16"/>
                <w:szCs w:val="16"/>
                <w:lang w:val="en-GB"/>
              </w:rPr>
              <w:t>Ventilations</w:t>
            </w:r>
          </w:p>
        </w:tc>
        <w:tc>
          <w:tcPr>
            <w:tcW w:w="1546" w:type="dxa"/>
            <w:tcBorders>
              <w:top w:val="single" w:sz="4" w:space="0" w:color="000000"/>
              <w:left w:val="single" w:sz="4" w:space="0" w:color="000000"/>
              <w:bottom w:val="single" w:sz="4" w:space="0" w:color="000000"/>
              <w:right w:val="single" w:sz="4" w:space="0" w:color="000000"/>
            </w:tcBorders>
            <w:hideMark/>
          </w:tcPr>
          <w:p w:rsidR="00FB2B01" w:rsidRPr="00BA2722" w:rsidRDefault="00FB2B01" w:rsidP="005C750A">
            <w:pPr>
              <w:keepNext/>
              <w:keepLines/>
              <w:overflowPunct w:val="0"/>
              <w:autoSpaceDE w:val="0"/>
              <w:autoSpaceDN w:val="0"/>
              <w:adjustRightInd w:val="0"/>
              <w:rPr>
                <w:rFonts w:cs="Arial"/>
                <w:bCs/>
                <w:sz w:val="16"/>
                <w:szCs w:val="16"/>
                <w:lang w:val="en-US" w:eastAsia="en-US"/>
              </w:rPr>
            </w:pPr>
            <w:r w:rsidRPr="00BA2722">
              <w:rPr>
                <w:rFonts w:cs="Arial"/>
                <w:bCs/>
                <w:sz w:val="16"/>
                <w:szCs w:val="16"/>
                <w:lang w:val="en-GB"/>
              </w:rPr>
              <w:t>Cooling</w:t>
            </w:r>
            <w:r w:rsidRPr="00BA2722">
              <w:rPr>
                <w:rFonts w:cs="Arial"/>
                <w:bCs/>
                <w:sz w:val="16"/>
                <w:szCs w:val="16"/>
              </w:rPr>
              <w:t xml:space="preserve"> </w:t>
            </w:r>
          </w:p>
        </w:tc>
        <w:tc>
          <w:tcPr>
            <w:tcW w:w="1984" w:type="dxa"/>
            <w:tcBorders>
              <w:top w:val="single" w:sz="4" w:space="0" w:color="000000"/>
              <w:left w:val="single" w:sz="4" w:space="0" w:color="000000"/>
              <w:bottom w:val="single" w:sz="4" w:space="0" w:color="000000"/>
              <w:right w:val="single" w:sz="4" w:space="0" w:color="000000"/>
            </w:tcBorders>
            <w:hideMark/>
          </w:tcPr>
          <w:p w:rsidR="00FB2B01" w:rsidRPr="00BA2722" w:rsidRDefault="00FB2B01" w:rsidP="005C750A">
            <w:pPr>
              <w:keepNext/>
              <w:keepLines/>
              <w:overflowPunct w:val="0"/>
              <w:autoSpaceDE w:val="0"/>
              <w:autoSpaceDN w:val="0"/>
              <w:adjustRightInd w:val="0"/>
              <w:rPr>
                <w:rFonts w:cs="Arial"/>
                <w:bCs/>
                <w:sz w:val="16"/>
                <w:szCs w:val="16"/>
                <w:lang w:val="en-US" w:eastAsia="en-US"/>
              </w:rPr>
            </w:pPr>
            <w:r w:rsidRPr="00BA2722">
              <w:rPr>
                <w:rFonts w:cs="Arial"/>
                <w:bCs/>
                <w:sz w:val="16"/>
                <w:szCs w:val="16"/>
                <w:lang w:val="en-GB"/>
              </w:rPr>
              <w:t>Electrical sources</w:t>
            </w:r>
            <w:r w:rsidRPr="00BA2722">
              <w:rPr>
                <w:rFonts w:cs="Arial"/>
                <w:bCs/>
                <w:sz w:val="16"/>
                <w:szCs w:val="16"/>
              </w:rPr>
              <w:t xml:space="preserve"> </w:t>
            </w:r>
          </w:p>
        </w:tc>
        <w:tc>
          <w:tcPr>
            <w:tcW w:w="1843" w:type="dxa"/>
            <w:tcBorders>
              <w:top w:val="single" w:sz="4" w:space="0" w:color="000000"/>
              <w:left w:val="single" w:sz="4" w:space="0" w:color="000000"/>
              <w:bottom w:val="single" w:sz="4" w:space="0" w:color="000000"/>
              <w:right w:val="single" w:sz="4" w:space="0" w:color="000000"/>
            </w:tcBorders>
            <w:hideMark/>
          </w:tcPr>
          <w:p w:rsidR="00FB2B01" w:rsidRPr="00BA2722" w:rsidRDefault="00FB2B01" w:rsidP="005C750A">
            <w:pPr>
              <w:keepNext/>
              <w:keepLines/>
              <w:overflowPunct w:val="0"/>
              <w:autoSpaceDE w:val="0"/>
              <w:autoSpaceDN w:val="0"/>
              <w:adjustRightInd w:val="0"/>
              <w:rPr>
                <w:rFonts w:cs="Arial"/>
                <w:bCs/>
                <w:sz w:val="16"/>
                <w:szCs w:val="16"/>
                <w:lang w:val="en-US" w:eastAsia="en-US"/>
              </w:rPr>
            </w:pPr>
            <w:r w:rsidRPr="00BA2722">
              <w:rPr>
                <w:rFonts w:cs="Arial"/>
                <w:bCs/>
                <w:sz w:val="16"/>
                <w:szCs w:val="16"/>
                <w:lang w:val="en-GB"/>
              </w:rPr>
              <w:t>Instrumentation and control / automation</w:t>
            </w:r>
          </w:p>
        </w:tc>
        <w:tc>
          <w:tcPr>
            <w:tcW w:w="1134" w:type="dxa"/>
            <w:tcBorders>
              <w:top w:val="single" w:sz="4" w:space="0" w:color="000000"/>
              <w:left w:val="single" w:sz="4" w:space="0" w:color="000000"/>
              <w:bottom w:val="single" w:sz="4" w:space="0" w:color="000000"/>
              <w:right w:val="single" w:sz="4" w:space="0" w:color="000000"/>
            </w:tcBorders>
            <w:hideMark/>
          </w:tcPr>
          <w:p w:rsidR="00FB2B01" w:rsidRPr="00BA2722" w:rsidRDefault="00FB2B01" w:rsidP="005C750A">
            <w:pPr>
              <w:keepNext/>
              <w:keepLines/>
              <w:overflowPunct w:val="0"/>
              <w:autoSpaceDE w:val="0"/>
              <w:autoSpaceDN w:val="0"/>
              <w:adjustRightInd w:val="0"/>
              <w:rPr>
                <w:rFonts w:cs="Arial"/>
                <w:bCs/>
                <w:sz w:val="16"/>
                <w:szCs w:val="16"/>
                <w:lang w:val="en-US" w:eastAsia="en-US"/>
              </w:rPr>
            </w:pPr>
            <w:r w:rsidRPr="00BA2722">
              <w:rPr>
                <w:rFonts w:cs="Arial"/>
                <w:bCs/>
                <w:sz w:val="16"/>
                <w:szCs w:val="16"/>
                <w:lang w:val="en-GB"/>
              </w:rPr>
              <w:t>Other</w:t>
            </w:r>
          </w:p>
        </w:tc>
      </w:tr>
      <w:tr w:rsidR="00FB2B01" w:rsidRPr="00BA2722" w:rsidTr="00FB2B01">
        <w:tc>
          <w:tcPr>
            <w:tcW w:w="1017" w:type="dxa"/>
            <w:tcBorders>
              <w:top w:val="single" w:sz="4" w:space="0" w:color="000000"/>
              <w:left w:val="single" w:sz="4" w:space="0" w:color="000000"/>
              <w:bottom w:val="single" w:sz="4" w:space="0" w:color="000000"/>
              <w:right w:val="single" w:sz="4" w:space="0" w:color="000000"/>
            </w:tcBorders>
          </w:tcPr>
          <w:p w:rsidR="00FB2B01" w:rsidRPr="00BA2722" w:rsidRDefault="00FB2B01" w:rsidP="005C750A">
            <w:pPr>
              <w:keepNext/>
              <w:keepLines/>
              <w:overflowPunct w:val="0"/>
              <w:autoSpaceDE w:val="0"/>
              <w:autoSpaceDN w:val="0"/>
              <w:adjustRightInd w:val="0"/>
              <w:rPr>
                <w:rFonts w:cs="Arial"/>
                <w:b/>
                <w:bCs/>
                <w:sz w:val="16"/>
                <w:lang w:val="en-US" w:eastAsia="en-US"/>
              </w:rPr>
            </w:pPr>
          </w:p>
        </w:tc>
        <w:tc>
          <w:tcPr>
            <w:tcW w:w="1123" w:type="dxa"/>
            <w:tcBorders>
              <w:top w:val="single" w:sz="4" w:space="0" w:color="000000"/>
              <w:left w:val="single" w:sz="4" w:space="0" w:color="000000"/>
              <w:bottom w:val="single" w:sz="4" w:space="0" w:color="000000"/>
              <w:right w:val="single" w:sz="4" w:space="0" w:color="000000"/>
            </w:tcBorders>
          </w:tcPr>
          <w:p w:rsidR="00FB2B01" w:rsidRPr="00BA2722" w:rsidRDefault="00FB2B01" w:rsidP="005C750A">
            <w:pPr>
              <w:keepNext/>
              <w:keepLines/>
              <w:overflowPunct w:val="0"/>
              <w:autoSpaceDE w:val="0"/>
              <w:autoSpaceDN w:val="0"/>
              <w:adjustRightInd w:val="0"/>
              <w:rPr>
                <w:rFonts w:cs="Arial"/>
                <w:b/>
                <w:bCs/>
                <w:sz w:val="16"/>
                <w:lang w:val="en-US" w:eastAsia="en-US"/>
              </w:rPr>
            </w:pPr>
          </w:p>
        </w:tc>
        <w:tc>
          <w:tcPr>
            <w:tcW w:w="1546" w:type="dxa"/>
            <w:tcBorders>
              <w:top w:val="single" w:sz="4" w:space="0" w:color="000000"/>
              <w:left w:val="single" w:sz="4" w:space="0" w:color="000000"/>
              <w:bottom w:val="single" w:sz="4" w:space="0" w:color="000000"/>
              <w:right w:val="single" w:sz="4" w:space="0" w:color="000000"/>
            </w:tcBorders>
          </w:tcPr>
          <w:p w:rsidR="00FB2B01" w:rsidRPr="00BA2722" w:rsidRDefault="00FB2B01" w:rsidP="005C750A">
            <w:pPr>
              <w:keepNext/>
              <w:keepLines/>
              <w:overflowPunct w:val="0"/>
              <w:autoSpaceDE w:val="0"/>
              <w:autoSpaceDN w:val="0"/>
              <w:adjustRightInd w:val="0"/>
              <w:rPr>
                <w:rFonts w:cs="Arial"/>
                <w:b/>
                <w:bCs/>
                <w:sz w:val="16"/>
                <w:lang w:val="en-US" w:eastAsia="en-US"/>
              </w:rPr>
            </w:pPr>
          </w:p>
        </w:tc>
        <w:tc>
          <w:tcPr>
            <w:tcW w:w="1984" w:type="dxa"/>
            <w:tcBorders>
              <w:top w:val="single" w:sz="4" w:space="0" w:color="000000"/>
              <w:left w:val="single" w:sz="4" w:space="0" w:color="000000"/>
              <w:bottom w:val="single" w:sz="4" w:space="0" w:color="000000"/>
              <w:right w:val="single" w:sz="4" w:space="0" w:color="000000"/>
            </w:tcBorders>
          </w:tcPr>
          <w:p w:rsidR="00FB2B01" w:rsidRPr="00BA2722" w:rsidRDefault="00FB2B01" w:rsidP="005C750A">
            <w:pPr>
              <w:keepNext/>
              <w:keepLines/>
              <w:overflowPunct w:val="0"/>
              <w:autoSpaceDE w:val="0"/>
              <w:autoSpaceDN w:val="0"/>
              <w:adjustRightInd w:val="0"/>
              <w:rPr>
                <w:rFonts w:cs="Arial"/>
                <w:b/>
                <w:bCs/>
                <w:sz w:val="16"/>
                <w:lang w:val="en-US" w:eastAsia="en-US"/>
              </w:rPr>
            </w:pPr>
          </w:p>
        </w:tc>
        <w:tc>
          <w:tcPr>
            <w:tcW w:w="1843" w:type="dxa"/>
            <w:tcBorders>
              <w:top w:val="single" w:sz="4" w:space="0" w:color="000000"/>
              <w:left w:val="single" w:sz="4" w:space="0" w:color="000000"/>
              <w:bottom w:val="single" w:sz="4" w:space="0" w:color="000000"/>
              <w:right w:val="single" w:sz="4" w:space="0" w:color="000000"/>
            </w:tcBorders>
          </w:tcPr>
          <w:p w:rsidR="00FB2B01" w:rsidRPr="00BA2722" w:rsidRDefault="00FB2B01" w:rsidP="005C750A">
            <w:pPr>
              <w:keepNext/>
              <w:keepLines/>
              <w:overflowPunct w:val="0"/>
              <w:autoSpaceDE w:val="0"/>
              <w:autoSpaceDN w:val="0"/>
              <w:adjustRightInd w:val="0"/>
              <w:rPr>
                <w:rFonts w:cs="Arial"/>
                <w:b/>
                <w:bCs/>
                <w:sz w:val="16"/>
                <w:lang w:val="en-US" w:eastAsia="en-US"/>
              </w:rPr>
            </w:pPr>
          </w:p>
        </w:tc>
        <w:tc>
          <w:tcPr>
            <w:tcW w:w="1134" w:type="dxa"/>
            <w:tcBorders>
              <w:top w:val="single" w:sz="4" w:space="0" w:color="000000"/>
              <w:left w:val="single" w:sz="4" w:space="0" w:color="000000"/>
              <w:bottom w:val="single" w:sz="4" w:space="0" w:color="000000"/>
              <w:right w:val="single" w:sz="4" w:space="0" w:color="000000"/>
            </w:tcBorders>
          </w:tcPr>
          <w:p w:rsidR="00FB2B01" w:rsidRPr="00BA2722" w:rsidRDefault="00FB2B01" w:rsidP="005C750A">
            <w:pPr>
              <w:keepNext/>
              <w:keepLines/>
              <w:overflowPunct w:val="0"/>
              <w:autoSpaceDE w:val="0"/>
              <w:autoSpaceDN w:val="0"/>
              <w:adjustRightInd w:val="0"/>
              <w:rPr>
                <w:rFonts w:cs="Arial"/>
                <w:b/>
                <w:bCs/>
                <w:sz w:val="16"/>
                <w:lang w:val="en-US" w:eastAsia="en-US"/>
              </w:rPr>
            </w:pPr>
          </w:p>
        </w:tc>
      </w:tr>
    </w:tbl>
    <w:p w:rsidR="002470EE" w:rsidRDefault="002470EE" w:rsidP="00ED4B5B">
      <w:pPr>
        <w:pStyle w:val="Corpsdetexte3"/>
      </w:pPr>
    </w:p>
    <w:p w:rsidR="00FB2B01" w:rsidRPr="00BA2722" w:rsidRDefault="00FB2B01" w:rsidP="00ED4B5B">
      <w:pPr>
        <w:pStyle w:val="Corpsdetexte3"/>
        <w:rPr>
          <w:lang w:val="en-US"/>
        </w:rPr>
      </w:pPr>
      <w:r w:rsidRPr="00BA2722">
        <w:t>Generic Experience Feedback data relating to the phenomenon</w:t>
      </w:r>
    </w:p>
    <w:p w:rsidR="00FB2B01" w:rsidRPr="00BA2722" w:rsidRDefault="00FB2B01" w:rsidP="00ED4B5B">
      <w:pPr>
        <w:pStyle w:val="Corpsdetexte3"/>
        <w:rPr>
          <w:lang w:val="en-US"/>
        </w:rPr>
      </w:pPr>
      <w:r w:rsidRPr="00BA2722">
        <w:t>Site-specific Experience Feedback data relating to the phenomenon</w:t>
      </w:r>
    </w:p>
    <w:p w:rsidR="00FB2B01" w:rsidRPr="00BA2722" w:rsidRDefault="00FB2B01" w:rsidP="00ED4B5B">
      <w:pPr>
        <w:pStyle w:val="Corpsdetexte3"/>
        <w:rPr>
          <w:lang w:val="en-US"/>
        </w:rPr>
      </w:pPr>
      <w:r w:rsidRPr="00BA2722">
        <w:t>Definition of the hazard</w:t>
      </w:r>
    </w:p>
    <w:p w:rsidR="00FB2B01" w:rsidRPr="00BA2722" w:rsidRDefault="00FB2B01" w:rsidP="00ED4B5B">
      <w:pPr>
        <w:pStyle w:val="Corpsdetexte3"/>
        <w:rPr>
          <w:lang w:val="en-US"/>
        </w:rPr>
      </w:pPr>
      <w:r w:rsidRPr="00BA2722">
        <w:t>Dispositions for protection of the facility with respect to the hazard</w:t>
      </w:r>
    </w:p>
    <w:p w:rsidR="00FB2B01" w:rsidRPr="00BA2722" w:rsidRDefault="00FB2B01" w:rsidP="00ED4B5B">
      <w:pPr>
        <w:pStyle w:val="Corpsdetexte3"/>
      </w:pPr>
      <w:r w:rsidRPr="00BA2722">
        <w:t>Analysis</w:t>
      </w:r>
    </w:p>
    <w:p w:rsidR="00FB2B01" w:rsidRDefault="00FB2B01" w:rsidP="00ED4B5B">
      <w:pPr>
        <w:pStyle w:val="Corpsdetexte3"/>
      </w:pPr>
      <w:r w:rsidRPr="00BA2722">
        <w:t>Conclusion</w:t>
      </w:r>
    </w:p>
    <w:p w:rsidR="002470EE" w:rsidRPr="00BA2722" w:rsidRDefault="002470EE" w:rsidP="00ED4B5B">
      <w:pPr>
        <w:pStyle w:val="Corpsdetexte3"/>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96"/>
        <w:gridCol w:w="1236"/>
        <w:gridCol w:w="1118"/>
        <w:gridCol w:w="1227"/>
        <w:gridCol w:w="1275"/>
        <w:gridCol w:w="1511"/>
        <w:gridCol w:w="1165"/>
      </w:tblGrid>
      <w:tr w:rsidR="00FB2B01" w:rsidRPr="00BA2722" w:rsidTr="00FB2B01">
        <w:tc>
          <w:tcPr>
            <w:tcW w:w="1396" w:type="dxa"/>
            <w:tcBorders>
              <w:top w:val="single" w:sz="4" w:space="0" w:color="000000"/>
              <w:left w:val="single" w:sz="4" w:space="0" w:color="000000"/>
              <w:bottom w:val="single" w:sz="4" w:space="0" w:color="000000"/>
              <w:right w:val="single" w:sz="4" w:space="0" w:color="000000"/>
            </w:tcBorders>
            <w:hideMark/>
          </w:tcPr>
          <w:p w:rsidR="00FB2B01" w:rsidRPr="00BA2722" w:rsidRDefault="00FB2B01" w:rsidP="005C750A">
            <w:pPr>
              <w:keepNext/>
              <w:keepLines/>
              <w:jc w:val="center"/>
              <w:rPr>
                <w:rFonts w:cs="Arial"/>
                <w:bCs/>
                <w:sz w:val="16"/>
                <w:szCs w:val="16"/>
                <w:lang w:val="en-US" w:eastAsia="en-US"/>
              </w:rPr>
            </w:pPr>
            <w:r w:rsidRPr="00BA2722">
              <w:rPr>
                <w:rFonts w:cs="Arial"/>
                <w:bCs/>
                <w:sz w:val="16"/>
                <w:szCs w:val="16"/>
                <w:lang w:val="en-GB"/>
              </w:rPr>
              <w:t>C1:</w:t>
            </w:r>
            <w:r w:rsidRPr="00BA2722">
              <w:rPr>
                <w:rFonts w:cs="Arial"/>
                <w:bCs/>
                <w:sz w:val="16"/>
                <w:szCs w:val="16"/>
              </w:rPr>
              <w:t xml:space="preserve"> </w:t>
            </w:r>
          </w:p>
          <w:p w:rsidR="00FB2B01" w:rsidRPr="00BA2722" w:rsidRDefault="00FB2B01" w:rsidP="005C750A">
            <w:pPr>
              <w:keepNext/>
              <w:keepLines/>
              <w:overflowPunct w:val="0"/>
              <w:autoSpaceDE w:val="0"/>
              <w:autoSpaceDN w:val="0"/>
              <w:adjustRightInd w:val="0"/>
              <w:jc w:val="center"/>
              <w:rPr>
                <w:rFonts w:cs="Arial"/>
                <w:bCs/>
                <w:sz w:val="16"/>
                <w:szCs w:val="16"/>
                <w:lang w:val="en-US" w:eastAsia="en-US"/>
              </w:rPr>
            </w:pPr>
            <w:r w:rsidRPr="00BA2722">
              <w:rPr>
                <w:rFonts w:cs="Arial"/>
                <w:bCs/>
                <w:sz w:val="16"/>
                <w:szCs w:val="16"/>
                <w:lang w:val="en-GB"/>
              </w:rPr>
              <w:t>Applicability</w:t>
            </w:r>
          </w:p>
        </w:tc>
        <w:tc>
          <w:tcPr>
            <w:tcW w:w="1236" w:type="dxa"/>
            <w:tcBorders>
              <w:top w:val="single" w:sz="4" w:space="0" w:color="000000"/>
              <w:left w:val="single" w:sz="4" w:space="0" w:color="000000"/>
              <w:bottom w:val="single" w:sz="4" w:space="0" w:color="000000"/>
              <w:right w:val="single" w:sz="4" w:space="0" w:color="000000"/>
            </w:tcBorders>
            <w:hideMark/>
          </w:tcPr>
          <w:p w:rsidR="00FB2B01" w:rsidRPr="00BA2722" w:rsidRDefault="00FB2B01" w:rsidP="005C750A">
            <w:pPr>
              <w:keepNext/>
              <w:keepLines/>
              <w:jc w:val="center"/>
              <w:rPr>
                <w:rFonts w:cs="Arial"/>
                <w:bCs/>
                <w:sz w:val="16"/>
                <w:szCs w:val="16"/>
                <w:lang w:val="en-US" w:eastAsia="en-US"/>
              </w:rPr>
            </w:pPr>
            <w:r w:rsidRPr="00BA2722">
              <w:rPr>
                <w:rFonts w:cs="Arial"/>
                <w:bCs/>
                <w:sz w:val="16"/>
                <w:szCs w:val="16"/>
                <w:lang w:val="en-GB"/>
              </w:rPr>
              <w:t>C2:</w:t>
            </w:r>
            <w:r w:rsidRPr="00BA2722">
              <w:rPr>
                <w:rFonts w:cs="Arial"/>
                <w:bCs/>
                <w:sz w:val="16"/>
                <w:szCs w:val="16"/>
              </w:rPr>
              <w:t xml:space="preserve"> </w:t>
            </w:r>
          </w:p>
          <w:p w:rsidR="00FB2B01" w:rsidRPr="00BA2722" w:rsidRDefault="00FB2B01" w:rsidP="005C750A">
            <w:pPr>
              <w:keepNext/>
              <w:keepLines/>
              <w:overflowPunct w:val="0"/>
              <w:autoSpaceDE w:val="0"/>
              <w:autoSpaceDN w:val="0"/>
              <w:adjustRightInd w:val="0"/>
              <w:jc w:val="center"/>
              <w:rPr>
                <w:rFonts w:cs="Arial"/>
                <w:bCs/>
                <w:sz w:val="16"/>
                <w:szCs w:val="16"/>
                <w:lang w:val="en-US" w:eastAsia="en-US"/>
              </w:rPr>
            </w:pPr>
            <w:r w:rsidRPr="00BA2722">
              <w:rPr>
                <w:rFonts w:cs="Arial"/>
                <w:bCs/>
                <w:sz w:val="16"/>
                <w:szCs w:val="16"/>
                <w:lang w:val="en-GB"/>
              </w:rPr>
              <w:t>Inclusion</w:t>
            </w:r>
          </w:p>
        </w:tc>
        <w:tc>
          <w:tcPr>
            <w:tcW w:w="1118" w:type="dxa"/>
            <w:tcBorders>
              <w:top w:val="single" w:sz="4" w:space="0" w:color="000000"/>
              <w:left w:val="single" w:sz="4" w:space="0" w:color="000000"/>
              <w:bottom w:val="single" w:sz="4" w:space="0" w:color="000000"/>
              <w:right w:val="single" w:sz="4" w:space="0" w:color="000000"/>
            </w:tcBorders>
            <w:hideMark/>
          </w:tcPr>
          <w:p w:rsidR="00FB2B01" w:rsidRPr="00BA2722" w:rsidRDefault="00FB2B01" w:rsidP="005C750A">
            <w:pPr>
              <w:keepNext/>
              <w:keepLines/>
              <w:jc w:val="center"/>
              <w:rPr>
                <w:rFonts w:cs="Arial"/>
                <w:bCs/>
                <w:sz w:val="16"/>
                <w:szCs w:val="16"/>
                <w:lang w:val="en-US" w:eastAsia="en-US"/>
              </w:rPr>
            </w:pPr>
            <w:r w:rsidRPr="00BA2722">
              <w:rPr>
                <w:rFonts w:cs="Arial"/>
                <w:bCs/>
                <w:sz w:val="16"/>
                <w:szCs w:val="16"/>
                <w:lang w:val="en-GB"/>
              </w:rPr>
              <w:t>C3:</w:t>
            </w:r>
            <w:r w:rsidRPr="00BA2722">
              <w:rPr>
                <w:rFonts w:cs="Arial"/>
                <w:bCs/>
                <w:sz w:val="16"/>
                <w:szCs w:val="16"/>
              </w:rPr>
              <w:t xml:space="preserve"> </w:t>
            </w:r>
          </w:p>
          <w:p w:rsidR="00FB2B01" w:rsidRPr="00BA2722" w:rsidRDefault="00FB2B01" w:rsidP="005C750A">
            <w:pPr>
              <w:keepNext/>
              <w:keepLines/>
              <w:overflowPunct w:val="0"/>
              <w:autoSpaceDE w:val="0"/>
              <w:autoSpaceDN w:val="0"/>
              <w:adjustRightInd w:val="0"/>
              <w:jc w:val="center"/>
              <w:rPr>
                <w:rFonts w:cs="Arial"/>
                <w:bCs/>
                <w:sz w:val="16"/>
                <w:szCs w:val="16"/>
                <w:lang w:val="en-US" w:eastAsia="en-US"/>
              </w:rPr>
            </w:pPr>
            <w:r w:rsidRPr="00BA2722">
              <w:rPr>
                <w:rFonts w:cs="Arial"/>
                <w:bCs/>
                <w:sz w:val="16"/>
                <w:szCs w:val="16"/>
                <w:lang w:val="en-GB"/>
              </w:rPr>
              <w:t>Severity</w:t>
            </w:r>
          </w:p>
        </w:tc>
        <w:tc>
          <w:tcPr>
            <w:tcW w:w="1227" w:type="dxa"/>
            <w:tcBorders>
              <w:top w:val="single" w:sz="4" w:space="0" w:color="000000"/>
              <w:left w:val="single" w:sz="4" w:space="0" w:color="000000"/>
              <w:bottom w:val="single" w:sz="4" w:space="0" w:color="000000"/>
              <w:right w:val="single" w:sz="4" w:space="0" w:color="000000"/>
            </w:tcBorders>
            <w:hideMark/>
          </w:tcPr>
          <w:p w:rsidR="00FB2B01" w:rsidRPr="00BA2722" w:rsidRDefault="00FB2B01" w:rsidP="005C750A">
            <w:pPr>
              <w:keepNext/>
              <w:keepLines/>
              <w:jc w:val="center"/>
              <w:rPr>
                <w:rFonts w:cs="Arial"/>
                <w:bCs/>
                <w:sz w:val="16"/>
                <w:szCs w:val="16"/>
                <w:lang w:val="en-US" w:eastAsia="en-US"/>
              </w:rPr>
            </w:pPr>
            <w:r w:rsidRPr="00BA2722">
              <w:rPr>
                <w:rFonts w:cs="Arial"/>
                <w:bCs/>
                <w:sz w:val="16"/>
                <w:szCs w:val="16"/>
                <w:lang w:val="en-GB"/>
              </w:rPr>
              <w:t>C4:</w:t>
            </w:r>
            <w:r w:rsidRPr="00BA2722">
              <w:rPr>
                <w:rFonts w:cs="Arial"/>
                <w:bCs/>
                <w:sz w:val="16"/>
                <w:szCs w:val="16"/>
              </w:rPr>
              <w:t xml:space="preserve"> </w:t>
            </w:r>
          </w:p>
          <w:p w:rsidR="00FB2B01" w:rsidRPr="00BA2722" w:rsidRDefault="00FB2B01" w:rsidP="005C750A">
            <w:pPr>
              <w:keepNext/>
              <w:keepLines/>
              <w:overflowPunct w:val="0"/>
              <w:autoSpaceDE w:val="0"/>
              <w:autoSpaceDN w:val="0"/>
              <w:adjustRightInd w:val="0"/>
              <w:jc w:val="center"/>
              <w:rPr>
                <w:rFonts w:cs="Arial"/>
                <w:bCs/>
                <w:sz w:val="16"/>
                <w:szCs w:val="16"/>
                <w:lang w:val="en-US" w:eastAsia="en-US"/>
              </w:rPr>
            </w:pPr>
            <w:r w:rsidRPr="00BA2722">
              <w:rPr>
                <w:rFonts w:cs="Arial"/>
                <w:bCs/>
                <w:sz w:val="16"/>
                <w:szCs w:val="16"/>
                <w:lang w:val="en-GB"/>
              </w:rPr>
              <w:t>Initiating event</w:t>
            </w:r>
          </w:p>
        </w:tc>
        <w:tc>
          <w:tcPr>
            <w:tcW w:w="1275" w:type="dxa"/>
            <w:tcBorders>
              <w:top w:val="single" w:sz="4" w:space="0" w:color="000000"/>
              <w:left w:val="single" w:sz="4" w:space="0" w:color="000000"/>
              <w:bottom w:val="single" w:sz="4" w:space="0" w:color="000000"/>
              <w:right w:val="single" w:sz="4" w:space="0" w:color="000000"/>
            </w:tcBorders>
            <w:hideMark/>
          </w:tcPr>
          <w:p w:rsidR="00FB2B01" w:rsidRPr="00BA2722" w:rsidRDefault="00FB2B01" w:rsidP="005C750A">
            <w:pPr>
              <w:keepNext/>
              <w:keepLines/>
              <w:jc w:val="center"/>
              <w:rPr>
                <w:rFonts w:cs="Arial"/>
                <w:bCs/>
                <w:sz w:val="16"/>
                <w:szCs w:val="16"/>
                <w:lang w:val="en-US" w:eastAsia="en-US"/>
              </w:rPr>
            </w:pPr>
            <w:r w:rsidRPr="00BA2722">
              <w:rPr>
                <w:rFonts w:cs="Arial"/>
                <w:bCs/>
                <w:sz w:val="16"/>
                <w:szCs w:val="16"/>
                <w:lang w:val="en-GB"/>
              </w:rPr>
              <w:t>C5:</w:t>
            </w:r>
            <w:r w:rsidRPr="00BA2722">
              <w:rPr>
                <w:rFonts w:cs="Arial"/>
                <w:bCs/>
                <w:sz w:val="16"/>
                <w:szCs w:val="16"/>
              </w:rPr>
              <w:t xml:space="preserve"> </w:t>
            </w:r>
          </w:p>
          <w:p w:rsidR="00FB2B01" w:rsidRPr="00BA2722" w:rsidRDefault="00FB2B01" w:rsidP="005C750A">
            <w:pPr>
              <w:keepNext/>
              <w:keepLines/>
              <w:overflowPunct w:val="0"/>
              <w:autoSpaceDE w:val="0"/>
              <w:autoSpaceDN w:val="0"/>
              <w:adjustRightInd w:val="0"/>
              <w:jc w:val="center"/>
              <w:rPr>
                <w:rFonts w:cs="Arial"/>
                <w:bCs/>
                <w:sz w:val="16"/>
                <w:szCs w:val="16"/>
                <w:lang w:val="en-US" w:eastAsia="en-US"/>
              </w:rPr>
            </w:pPr>
            <w:r w:rsidRPr="00BA2722">
              <w:rPr>
                <w:rFonts w:cs="Arial"/>
                <w:bCs/>
                <w:sz w:val="16"/>
                <w:szCs w:val="16"/>
                <w:lang w:val="en-GB"/>
              </w:rPr>
              <w:t>Kinetics</w:t>
            </w:r>
          </w:p>
        </w:tc>
        <w:tc>
          <w:tcPr>
            <w:tcW w:w="1511" w:type="dxa"/>
            <w:tcBorders>
              <w:top w:val="single" w:sz="4" w:space="0" w:color="000000"/>
              <w:left w:val="single" w:sz="4" w:space="0" w:color="000000"/>
              <w:bottom w:val="single" w:sz="4" w:space="0" w:color="000000"/>
              <w:right w:val="single" w:sz="4" w:space="0" w:color="000000"/>
            </w:tcBorders>
            <w:hideMark/>
          </w:tcPr>
          <w:p w:rsidR="00FB2B01" w:rsidRPr="00BA2722" w:rsidRDefault="00FB2B01" w:rsidP="005C750A">
            <w:pPr>
              <w:keepNext/>
              <w:keepLines/>
              <w:jc w:val="center"/>
              <w:rPr>
                <w:rFonts w:cs="Arial"/>
                <w:bCs/>
                <w:sz w:val="16"/>
                <w:szCs w:val="16"/>
                <w:lang w:val="en-US" w:eastAsia="en-US"/>
              </w:rPr>
            </w:pPr>
            <w:r w:rsidRPr="00BA2722">
              <w:rPr>
                <w:rFonts w:cs="Arial"/>
                <w:bCs/>
                <w:sz w:val="16"/>
                <w:szCs w:val="16"/>
                <w:lang w:val="en-GB"/>
              </w:rPr>
              <w:t>C6:</w:t>
            </w:r>
            <w:r w:rsidRPr="00BA2722">
              <w:rPr>
                <w:rFonts w:cs="Arial"/>
                <w:bCs/>
                <w:sz w:val="16"/>
                <w:szCs w:val="16"/>
              </w:rPr>
              <w:t xml:space="preserve"> </w:t>
            </w:r>
          </w:p>
          <w:p w:rsidR="00FB2B01" w:rsidRPr="00BA2722" w:rsidRDefault="00FB2B01" w:rsidP="005C750A">
            <w:pPr>
              <w:keepNext/>
              <w:keepLines/>
              <w:overflowPunct w:val="0"/>
              <w:autoSpaceDE w:val="0"/>
              <w:autoSpaceDN w:val="0"/>
              <w:adjustRightInd w:val="0"/>
              <w:jc w:val="center"/>
              <w:rPr>
                <w:rFonts w:cs="Arial"/>
                <w:bCs/>
                <w:sz w:val="16"/>
                <w:szCs w:val="16"/>
                <w:lang w:val="en-US" w:eastAsia="en-US"/>
              </w:rPr>
            </w:pPr>
            <w:r w:rsidRPr="00BA2722">
              <w:rPr>
                <w:rFonts w:cs="Arial"/>
                <w:bCs/>
                <w:sz w:val="16"/>
                <w:szCs w:val="16"/>
                <w:lang w:val="en-GB"/>
              </w:rPr>
              <w:t>Frequency</w:t>
            </w:r>
          </w:p>
        </w:tc>
        <w:tc>
          <w:tcPr>
            <w:tcW w:w="1165" w:type="dxa"/>
            <w:tcBorders>
              <w:top w:val="single" w:sz="4" w:space="0" w:color="000000"/>
              <w:left w:val="single" w:sz="4" w:space="0" w:color="000000"/>
              <w:bottom w:val="single" w:sz="4" w:space="0" w:color="000000"/>
              <w:right w:val="single" w:sz="4" w:space="0" w:color="000000"/>
            </w:tcBorders>
            <w:hideMark/>
          </w:tcPr>
          <w:p w:rsidR="00FB2B01" w:rsidRPr="00BA2722" w:rsidRDefault="00FB2B01" w:rsidP="005C750A">
            <w:pPr>
              <w:keepNext/>
              <w:keepLines/>
              <w:overflowPunct w:val="0"/>
              <w:autoSpaceDE w:val="0"/>
              <w:autoSpaceDN w:val="0"/>
              <w:adjustRightInd w:val="0"/>
              <w:jc w:val="center"/>
              <w:rPr>
                <w:rFonts w:cs="Arial"/>
                <w:bCs/>
                <w:sz w:val="16"/>
                <w:szCs w:val="16"/>
                <w:lang w:val="en-US" w:eastAsia="en-US"/>
              </w:rPr>
            </w:pPr>
            <w:r w:rsidRPr="00BA2722">
              <w:rPr>
                <w:rFonts w:cs="Arial"/>
                <w:bCs/>
                <w:sz w:val="16"/>
                <w:szCs w:val="16"/>
                <w:lang w:val="en-GB"/>
              </w:rPr>
              <w:t>C7: Contribution</w:t>
            </w:r>
          </w:p>
        </w:tc>
      </w:tr>
      <w:tr w:rsidR="00FB2B01" w:rsidRPr="00BA2722" w:rsidTr="00FB2B01">
        <w:tc>
          <w:tcPr>
            <w:tcW w:w="1396" w:type="dxa"/>
            <w:tcBorders>
              <w:top w:val="single" w:sz="4" w:space="0" w:color="000000"/>
              <w:left w:val="single" w:sz="4" w:space="0" w:color="000000"/>
              <w:bottom w:val="single" w:sz="4" w:space="0" w:color="000000"/>
              <w:right w:val="single" w:sz="4" w:space="0" w:color="000000"/>
            </w:tcBorders>
          </w:tcPr>
          <w:p w:rsidR="00FB2B01" w:rsidRPr="00BA2722" w:rsidRDefault="00FB2B01" w:rsidP="005C750A">
            <w:pPr>
              <w:keepNext/>
              <w:keepLines/>
              <w:overflowPunct w:val="0"/>
              <w:autoSpaceDE w:val="0"/>
              <w:autoSpaceDN w:val="0"/>
              <w:adjustRightInd w:val="0"/>
              <w:rPr>
                <w:rFonts w:cs="Arial"/>
                <w:b/>
                <w:bCs/>
                <w:sz w:val="16"/>
                <w:lang w:val="en-US" w:eastAsia="en-US"/>
              </w:rPr>
            </w:pPr>
          </w:p>
        </w:tc>
        <w:tc>
          <w:tcPr>
            <w:tcW w:w="1236" w:type="dxa"/>
            <w:tcBorders>
              <w:top w:val="single" w:sz="4" w:space="0" w:color="000000"/>
              <w:left w:val="single" w:sz="4" w:space="0" w:color="000000"/>
              <w:bottom w:val="single" w:sz="4" w:space="0" w:color="000000"/>
              <w:right w:val="single" w:sz="4" w:space="0" w:color="000000"/>
            </w:tcBorders>
          </w:tcPr>
          <w:p w:rsidR="00FB2B01" w:rsidRPr="00BA2722" w:rsidRDefault="00FB2B01" w:rsidP="005C750A">
            <w:pPr>
              <w:keepNext/>
              <w:keepLines/>
              <w:overflowPunct w:val="0"/>
              <w:autoSpaceDE w:val="0"/>
              <w:autoSpaceDN w:val="0"/>
              <w:adjustRightInd w:val="0"/>
              <w:rPr>
                <w:rFonts w:cs="Arial"/>
                <w:b/>
                <w:bCs/>
                <w:sz w:val="16"/>
                <w:lang w:val="en-US" w:eastAsia="en-US"/>
              </w:rPr>
            </w:pPr>
          </w:p>
        </w:tc>
        <w:tc>
          <w:tcPr>
            <w:tcW w:w="1118" w:type="dxa"/>
            <w:tcBorders>
              <w:top w:val="single" w:sz="4" w:space="0" w:color="000000"/>
              <w:left w:val="single" w:sz="4" w:space="0" w:color="000000"/>
              <w:bottom w:val="single" w:sz="4" w:space="0" w:color="000000"/>
              <w:right w:val="single" w:sz="4" w:space="0" w:color="000000"/>
            </w:tcBorders>
          </w:tcPr>
          <w:p w:rsidR="00FB2B01" w:rsidRPr="00BA2722" w:rsidRDefault="00FB2B01" w:rsidP="005C750A">
            <w:pPr>
              <w:keepNext/>
              <w:keepLines/>
              <w:overflowPunct w:val="0"/>
              <w:autoSpaceDE w:val="0"/>
              <w:autoSpaceDN w:val="0"/>
              <w:adjustRightInd w:val="0"/>
              <w:jc w:val="center"/>
              <w:rPr>
                <w:rFonts w:cs="Arial"/>
                <w:b/>
                <w:bCs/>
                <w:sz w:val="16"/>
                <w:lang w:val="en-US" w:eastAsia="en-US"/>
              </w:rPr>
            </w:pPr>
          </w:p>
        </w:tc>
        <w:tc>
          <w:tcPr>
            <w:tcW w:w="1227" w:type="dxa"/>
            <w:tcBorders>
              <w:top w:val="single" w:sz="4" w:space="0" w:color="000000"/>
              <w:left w:val="single" w:sz="4" w:space="0" w:color="000000"/>
              <w:bottom w:val="single" w:sz="4" w:space="0" w:color="000000"/>
              <w:right w:val="single" w:sz="4" w:space="0" w:color="000000"/>
            </w:tcBorders>
          </w:tcPr>
          <w:p w:rsidR="00FB2B01" w:rsidRPr="00BA2722" w:rsidRDefault="00FB2B01" w:rsidP="005C750A">
            <w:pPr>
              <w:keepNext/>
              <w:keepLines/>
              <w:overflowPunct w:val="0"/>
              <w:autoSpaceDE w:val="0"/>
              <w:autoSpaceDN w:val="0"/>
              <w:adjustRightInd w:val="0"/>
              <w:rPr>
                <w:rFonts w:cs="Arial"/>
                <w:b/>
                <w:bCs/>
                <w:sz w:val="16"/>
                <w:lang w:val="en-US" w:eastAsia="en-US"/>
              </w:rPr>
            </w:pPr>
          </w:p>
        </w:tc>
        <w:tc>
          <w:tcPr>
            <w:tcW w:w="1275" w:type="dxa"/>
            <w:tcBorders>
              <w:top w:val="single" w:sz="4" w:space="0" w:color="000000"/>
              <w:left w:val="single" w:sz="4" w:space="0" w:color="000000"/>
              <w:bottom w:val="single" w:sz="4" w:space="0" w:color="000000"/>
              <w:right w:val="single" w:sz="4" w:space="0" w:color="000000"/>
            </w:tcBorders>
          </w:tcPr>
          <w:p w:rsidR="00FB2B01" w:rsidRPr="00BA2722" w:rsidRDefault="00FB2B01" w:rsidP="005C750A">
            <w:pPr>
              <w:keepNext/>
              <w:keepLines/>
              <w:overflowPunct w:val="0"/>
              <w:autoSpaceDE w:val="0"/>
              <w:autoSpaceDN w:val="0"/>
              <w:adjustRightInd w:val="0"/>
              <w:rPr>
                <w:rFonts w:cs="Arial"/>
                <w:b/>
                <w:bCs/>
                <w:sz w:val="16"/>
                <w:lang w:val="en-US" w:eastAsia="en-US"/>
              </w:rPr>
            </w:pPr>
          </w:p>
        </w:tc>
        <w:tc>
          <w:tcPr>
            <w:tcW w:w="1511" w:type="dxa"/>
            <w:tcBorders>
              <w:top w:val="single" w:sz="4" w:space="0" w:color="000000"/>
              <w:left w:val="single" w:sz="4" w:space="0" w:color="000000"/>
              <w:bottom w:val="single" w:sz="4" w:space="0" w:color="000000"/>
              <w:right w:val="single" w:sz="4" w:space="0" w:color="000000"/>
            </w:tcBorders>
          </w:tcPr>
          <w:p w:rsidR="00FB2B01" w:rsidRPr="00BA2722" w:rsidRDefault="00FB2B01" w:rsidP="005C750A">
            <w:pPr>
              <w:keepNext/>
              <w:keepLines/>
              <w:overflowPunct w:val="0"/>
              <w:autoSpaceDE w:val="0"/>
              <w:autoSpaceDN w:val="0"/>
              <w:adjustRightInd w:val="0"/>
              <w:rPr>
                <w:rFonts w:cs="Arial"/>
                <w:b/>
                <w:bCs/>
                <w:sz w:val="16"/>
                <w:lang w:val="en-US" w:eastAsia="en-US"/>
              </w:rPr>
            </w:pPr>
          </w:p>
        </w:tc>
        <w:tc>
          <w:tcPr>
            <w:tcW w:w="1165" w:type="dxa"/>
            <w:tcBorders>
              <w:top w:val="single" w:sz="4" w:space="0" w:color="000000"/>
              <w:left w:val="single" w:sz="4" w:space="0" w:color="000000"/>
              <w:bottom w:val="single" w:sz="4" w:space="0" w:color="000000"/>
              <w:right w:val="single" w:sz="4" w:space="0" w:color="000000"/>
            </w:tcBorders>
          </w:tcPr>
          <w:p w:rsidR="00FB2B01" w:rsidRPr="00BA2722" w:rsidRDefault="00FB2B01" w:rsidP="005C750A">
            <w:pPr>
              <w:keepNext/>
              <w:keepLines/>
              <w:overflowPunct w:val="0"/>
              <w:autoSpaceDE w:val="0"/>
              <w:autoSpaceDN w:val="0"/>
              <w:adjustRightInd w:val="0"/>
              <w:rPr>
                <w:rFonts w:cs="Arial"/>
                <w:b/>
                <w:bCs/>
                <w:sz w:val="16"/>
                <w:lang w:val="en-US" w:eastAsia="en-US"/>
              </w:rPr>
            </w:pPr>
          </w:p>
        </w:tc>
      </w:tr>
    </w:tbl>
    <w:p w:rsidR="00FB2B01" w:rsidRPr="00BE5FB5" w:rsidRDefault="00FB2B01" w:rsidP="00ED4B5B">
      <w:pPr>
        <w:pStyle w:val="Corpsdetexte3"/>
        <w:rPr>
          <w:lang w:val="en-US"/>
        </w:rPr>
      </w:pPr>
      <w:r w:rsidRPr="00BE5FB5">
        <w:t>References</w:t>
      </w:r>
    </w:p>
    <w:p w:rsidR="00BE5FB5" w:rsidRDefault="00BE5FB5" w:rsidP="00ED4B5B">
      <w:pPr>
        <w:pStyle w:val="Corpsdetexte3"/>
      </w:pPr>
    </w:p>
    <w:p w:rsidR="00BE5FB5" w:rsidRDefault="00BE5FB5" w:rsidP="00ED4B5B">
      <w:pPr>
        <w:pStyle w:val="Lgende"/>
        <w:keepNext/>
        <w:jc w:val="center"/>
        <w:rPr>
          <w:lang w:val="en-GB"/>
        </w:rPr>
      </w:pPr>
    </w:p>
    <w:p w:rsidR="002470EE" w:rsidRPr="001B7918" w:rsidRDefault="00854DD9" w:rsidP="00ED4B5B">
      <w:pPr>
        <w:pStyle w:val="Lgende"/>
        <w:keepNext/>
        <w:jc w:val="center"/>
        <w:rPr>
          <w:lang w:val="en-US"/>
        </w:rPr>
      </w:pPr>
      <w:r w:rsidRPr="00854DD9">
        <w:rPr>
          <w:lang w:val="en-US"/>
        </w:rPr>
        <w:t xml:space="preserve"> </w:t>
      </w:r>
      <w:r w:rsidRPr="00C23BA5">
        <w:rPr>
          <w:lang w:val="en-US"/>
        </w:rPr>
        <w:t xml:space="preserve">Figure </w:t>
      </w:r>
      <w:r w:rsidRPr="00C23BA5">
        <w:fldChar w:fldCharType="begin"/>
      </w:r>
      <w:r w:rsidRPr="004479EA">
        <w:rPr>
          <w:lang w:val="en-US"/>
        </w:rPr>
        <w:instrText xml:space="preserve"> STYLEREF 1 \s </w:instrText>
      </w:r>
      <w:r w:rsidRPr="00C23BA5">
        <w:fldChar w:fldCharType="separate"/>
      </w:r>
      <w:r w:rsidR="00E62976">
        <w:rPr>
          <w:noProof/>
          <w:lang w:val="en-US"/>
        </w:rPr>
        <w:t>5</w:t>
      </w:r>
      <w:r w:rsidRPr="00C23BA5">
        <w:fldChar w:fldCharType="end"/>
      </w:r>
      <w:r w:rsidRPr="00C23BA5">
        <w:rPr>
          <w:lang w:val="en-US"/>
        </w:rPr>
        <w:noBreakHyphen/>
      </w:r>
      <w:r w:rsidRPr="00C23BA5">
        <w:fldChar w:fldCharType="begin"/>
      </w:r>
      <w:r w:rsidRPr="004479EA">
        <w:rPr>
          <w:lang w:val="en-US"/>
        </w:rPr>
        <w:instrText xml:space="preserve"> SEQ Figure \* ARABIC \s 1 </w:instrText>
      </w:r>
      <w:r w:rsidRPr="00C23BA5">
        <w:fldChar w:fldCharType="separate"/>
      </w:r>
      <w:r w:rsidR="00E62976">
        <w:rPr>
          <w:noProof/>
          <w:lang w:val="en-US"/>
        </w:rPr>
        <w:t>1</w:t>
      </w:r>
      <w:r w:rsidRPr="00C23BA5">
        <w:fldChar w:fldCharType="end"/>
      </w:r>
      <w:r w:rsidR="00BE5FB5">
        <w:rPr>
          <w:lang w:val="en-GB"/>
        </w:rPr>
        <w:t xml:space="preserve"> </w:t>
      </w:r>
      <w:r w:rsidR="002470EE">
        <w:rPr>
          <w:lang w:val="en-GB"/>
        </w:rPr>
        <w:t>EDF Analysis sheet for a single hazard</w:t>
      </w:r>
    </w:p>
    <w:p w:rsidR="00FB2B01" w:rsidRDefault="00FB2B01" w:rsidP="00ED4B5B">
      <w:pPr>
        <w:pStyle w:val="Corpsdetexte3"/>
      </w:pPr>
    </w:p>
    <w:p w:rsidR="00FB2B01" w:rsidRPr="002470EE" w:rsidRDefault="00FB2B01" w:rsidP="00ED4B5B">
      <w:pPr>
        <w:pStyle w:val="Corpsdetexte3"/>
      </w:pPr>
      <w:r w:rsidRPr="002470EE">
        <w:t xml:space="preserve">The main objectives are: </w:t>
      </w:r>
    </w:p>
    <w:p w:rsidR="00FB2B01" w:rsidRPr="002470EE" w:rsidRDefault="00FB2B01" w:rsidP="00E62976">
      <w:pPr>
        <w:pStyle w:val="Paragraphedeliste"/>
        <w:numPr>
          <w:ilvl w:val="0"/>
          <w:numId w:val="61"/>
        </w:numPr>
        <w:spacing w:line="360" w:lineRule="auto"/>
        <w:jc w:val="both"/>
        <w:rPr>
          <w:rFonts w:ascii="Trebuchet MS" w:hAnsi="Trebuchet MS"/>
          <w:sz w:val="18"/>
          <w:szCs w:val="18"/>
        </w:rPr>
      </w:pPr>
      <w:r w:rsidRPr="002470EE">
        <w:rPr>
          <w:rFonts w:ascii="Trebuchet MS" w:hAnsi="Trebuchet MS"/>
          <w:sz w:val="18"/>
          <w:szCs w:val="18"/>
        </w:rPr>
        <w:t>Identification of potential impacts on the installation; six families of impacts are</w:t>
      </w:r>
      <w:r w:rsidR="00F4626E">
        <w:rPr>
          <w:rFonts w:ascii="Trebuchet MS" w:hAnsi="Trebuchet MS"/>
          <w:sz w:val="18"/>
          <w:szCs w:val="18"/>
        </w:rPr>
        <w:t>:</w:t>
      </w:r>
    </w:p>
    <w:p w:rsidR="002470EE" w:rsidRPr="002470EE" w:rsidRDefault="002470EE" w:rsidP="002470EE">
      <w:pPr>
        <w:pStyle w:val="Paragraphedeliste"/>
        <w:spacing w:line="360" w:lineRule="auto"/>
        <w:rPr>
          <w:rFonts w:ascii="Trebuchet MS" w:hAnsi="Trebuchet MS"/>
          <w:sz w:val="18"/>
          <w:szCs w:val="18"/>
        </w:rPr>
      </w:pPr>
      <w:r w:rsidRPr="002470EE">
        <w:rPr>
          <w:rFonts w:ascii="Trebuchet MS" w:hAnsi="Trebuchet MS"/>
          <w:sz w:val="18"/>
          <w:szCs w:val="18"/>
        </w:rPr>
        <w:t>•</w:t>
      </w:r>
      <w:r w:rsidRPr="002470EE">
        <w:rPr>
          <w:rFonts w:ascii="Trebuchet MS" w:hAnsi="Trebuchet MS"/>
          <w:sz w:val="18"/>
          <w:szCs w:val="18"/>
        </w:rPr>
        <w:tab/>
        <w:t>Impacts on structures,</w:t>
      </w:r>
    </w:p>
    <w:p w:rsidR="002470EE" w:rsidRPr="002470EE" w:rsidRDefault="002470EE" w:rsidP="002470EE">
      <w:pPr>
        <w:pStyle w:val="Paragraphedeliste"/>
        <w:spacing w:line="360" w:lineRule="auto"/>
        <w:rPr>
          <w:rFonts w:ascii="Trebuchet MS" w:hAnsi="Trebuchet MS"/>
          <w:sz w:val="18"/>
          <w:szCs w:val="18"/>
        </w:rPr>
      </w:pPr>
      <w:r w:rsidRPr="002470EE">
        <w:rPr>
          <w:rFonts w:ascii="Trebuchet MS" w:hAnsi="Trebuchet MS"/>
          <w:sz w:val="18"/>
          <w:szCs w:val="18"/>
        </w:rPr>
        <w:t>•</w:t>
      </w:r>
      <w:r w:rsidRPr="002470EE">
        <w:rPr>
          <w:rFonts w:ascii="Trebuchet MS" w:hAnsi="Trebuchet MS"/>
          <w:sz w:val="18"/>
          <w:szCs w:val="18"/>
        </w:rPr>
        <w:tab/>
        <w:t>Impacts on HVAC which are support systems</w:t>
      </w:r>
      <w:r w:rsidR="00F4626E">
        <w:rPr>
          <w:rFonts w:ascii="Trebuchet MS" w:hAnsi="Trebuchet MS"/>
          <w:sz w:val="18"/>
          <w:szCs w:val="18"/>
        </w:rPr>
        <w:t>,</w:t>
      </w:r>
    </w:p>
    <w:p w:rsidR="002470EE" w:rsidRPr="002470EE" w:rsidRDefault="002470EE" w:rsidP="002470EE">
      <w:pPr>
        <w:pStyle w:val="Paragraphedeliste"/>
        <w:spacing w:line="360" w:lineRule="auto"/>
        <w:rPr>
          <w:rFonts w:ascii="Trebuchet MS" w:hAnsi="Trebuchet MS"/>
          <w:sz w:val="18"/>
          <w:szCs w:val="18"/>
        </w:rPr>
      </w:pPr>
      <w:r w:rsidRPr="002470EE">
        <w:rPr>
          <w:rFonts w:ascii="Trebuchet MS" w:hAnsi="Trebuchet MS"/>
          <w:sz w:val="18"/>
          <w:szCs w:val="18"/>
        </w:rPr>
        <w:t>•</w:t>
      </w:r>
      <w:r w:rsidRPr="002470EE">
        <w:rPr>
          <w:rFonts w:ascii="Trebuchet MS" w:hAnsi="Trebuchet MS"/>
          <w:sz w:val="18"/>
          <w:szCs w:val="18"/>
        </w:rPr>
        <w:tab/>
        <w:t>Impacts on cooling (via ultimate heat sink)</w:t>
      </w:r>
      <w:r w:rsidR="00F4626E">
        <w:rPr>
          <w:rFonts w:ascii="Trebuchet MS" w:hAnsi="Trebuchet MS"/>
          <w:sz w:val="18"/>
          <w:szCs w:val="18"/>
        </w:rPr>
        <w:t>,</w:t>
      </w:r>
    </w:p>
    <w:p w:rsidR="002470EE" w:rsidRPr="002470EE" w:rsidRDefault="002470EE" w:rsidP="002470EE">
      <w:pPr>
        <w:pStyle w:val="Paragraphedeliste"/>
        <w:spacing w:line="360" w:lineRule="auto"/>
        <w:rPr>
          <w:rFonts w:ascii="Trebuchet MS" w:hAnsi="Trebuchet MS"/>
          <w:sz w:val="18"/>
          <w:szCs w:val="18"/>
        </w:rPr>
      </w:pPr>
      <w:r w:rsidRPr="002470EE">
        <w:rPr>
          <w:rFonts w:ascii="Trebuchet MS" w:hAnsi="Trebuchet MS"/>
          <w:sz w:val="18"/>
          <w:szCs w:val="18"/>
        </w:rPr>
        <w:t>•</w:t>
      </w:r>
      <w:r w:rsidRPr="002470EE">
        <w:rPr>
          <w:rFonts w:ascii="Trebuchet MS" w:hAnsi="Trebuchet MS"/>
          <w:sz w:val="18"/>
          <w:szCs w:val="18"/>
        </w:rPr>
        <w:tab/>
        <w:t>Impacts on power sources</w:t>
      </w:r>
      <w:r w:rsidR="00F4626E">
        <w:rPr>
          <w:rFonts w:ascii="Trebuchet MS" w:hAnsi="Trebuchet MS"/>
          <w:sz w:val="18"/>
          <w:szCs w:val="18"/>
        </w:rPr>
        <w:t>,</w:t>
      </w:r>
    </w:p>
    <w:p w:rsidR="002470EE" w:rsidRPr="002470EE" w:rsidRDefault="002470EE" w:rsidP="002470EE">
      <w:pPr>
        <w:pStyle w:val="Paragraphedeliste"/>
        <w:spacing w:line="360" w:lineRule="auto"/>
        <w:rPr>
          <w:rFonts w:ascii="Trebuchet MS" w:hAnsi="Trebuchet MS"/>
          <w:sz w:val="18"/>
          <w:szCs w:val="18"/>
        </w:rPr>
      </w:pPr>
      <w:r w:rsidRPr="002470EE">
        <w:rPr>
          <w:rFonts w:ascii="Trebuchet MS" w:hAnsi="Trebuchet MS"/>
          <w:sz w:val="18"/>
          <w:szCs w:val="18"/>
        </w:rPr>
        <w:t>•</w:t>
      </w:r>
      <w:r w:rsidRPr="002470EE">
        <w:rPr>
          <w:rFonts w:ascii="Trebuchet MS" w:hAnsi="Trebuchet MS"/>
          <w:sz w:val="18"/>
          <w:szCs w:val="18"/>
        </w:rPr>
        <w:tab/>
        <w:t>Impact on I&amp;C</w:t>
      </w:r>
      <w:r w:rsidR="00F4626E">
        <w:rPr>
          <w:rFonts w:ascii="Trebuchet MS" w:hAnsi="Trebuchet MS"/>
          <w:sz w:val="18"/>
          <w:szCs w:val="18"/>
        </w:rPr>
        <w:t>,</w:t>
      </w:r>
    </w:p>
    <w:p w:rsidR="002470EE" w:rsidRPr="002470EE" w:rsidRDefault="002470EE" w:rsidP="002470EE">
      <w:pPr>
        <w:pStyle w:val="Paragraphedeliste"/>
        <w:spacing w:line="360" w:lineRule="auto"/>
        <w:jc w:val="both"/>
        <w:rPr>
          <w:rFonts w:ascii="Trebuchet MS" w:hAnsi="Trebuchet MS"/>
          <w:sz w:val="18"/>
          <w:szCs w:val="18"/>
        </w:rPr>
      </w:pPr>
      <w:r w:rsidRPr="002470EE">
        <w:rPr>
          <w:rFonts w:ascii="Trebuchet MS" w:hAnsi="Trebuchet MS"/>
          <w:sz w:val="18"/>
          <w:szCs w:val="18"/>
        </w:rPr>
        <w:t>•</w:t>
      </w:r>
      <w:r w:rsidRPr="002470EE">
        <w:rPr>
          <w:rFonts w:ascii="Trebuchet MS" w:hAnsi="Trebuchet MS"/>
          <w:sz w:val="18"/>
          <w:szCs w:val="18"/>
        </w:rPr>
        <w:tab/>
        <w:t>Others</w:t>
      </w:r>
      <w:r w:rsidR="00F4626E">
        <w:rPr>
          <w:rFonts w:ascii="Trebuchet MS" w:hAnsi="Trebuchet MS"/>
          <w:sz w:val="18"/>
          <w:szCs w:val="18"/>
        </w:rPr>
        <w:t>;</w:t>
      </w:r>
    </w:p>
    <w:p w:rsidR="00FB2B01" w:rsidRPr="002470EE" w:rsidRDefault="00FB2B01" w:rsidP="00E62976">
      <w:pPr>
        <w:pStyle w:val="Paragraphedeliste"/>
        <w:numPr>
          <w:ilvl w:val="0"/>
          <w:numId w:val="61"/>
        </w:numPr>
        <w:spacing w:line="360" w:lineRule="auto"/>
        <w:jc w:val="both"/>
        <w:rPr>
          <w:rFonts w:ascii="Trebuchet MS" w:hAnsi="Trebuchet MS" w:cs="Traditional Arabic"/>
          <w:sz w:val="18"/>
          <w:szCs w:val="18"/>
        </w:rPr>
      </w:pPr>
      <w:r w:rsidRPr="002470EE">
        <w:rPr>
          <w:rFonts w:ascii="Trebuchet MS" w:hAnsi="Trebuchet MS" w:cs="Traditional Arabic"/>
          <w:sz w:val="18"/>
          <w:szCs w:val="18"/>
        </w:rPr>
        <w:t>Identification of dispositions for protection of the facility against the considered hazard</w:t>
      </w:r>
      <w:r w:rsidR="00F4626E">
        <w:rPr>
          <w:rFonts w:ascii="Trebuchet MS" w:hAnsi="Trebuchet MS" w:cs="Traditional Arabic"/>
          <w:sz w:val="18"/>
          <w:szCs w:val="18"/>
        </w:rPr>
        <w:t>;</w:t>
      </w:r>
    </w:p>
    <w:p w:rsidR="00FB2B01" w:rsidRPr="002470EE" w:rsidRDefault="00FB2B01" w:rsidP="00E62976">
      <w:pPr>
        <w:pStyle w:val="Paragraphedeliste"/>
        <w:numPr>
          <w:ilvl w:val="0"/>
          <w:numId w:val="61"/>
        </w:numPr>
        <w:spacing w:line="360" w:lineRule="auto"/>
        <w:jc w:val="both"/>
        <w:rPr>
          <w:rFonts w:ascii="Trebuchet MS" w:hAnsi="Trebuchet MS" w:cs="Traditional Arabic"/>
          <w:sz w:val="18"/>
          <w:szCs w:val="18"/>
        </w:rPr>
      </w:pPr>
      <w:r w:rsidRPr="002470EE">
        <w:rPr>
          <w:rFonts w:ascii="Trebuchet MS" w:hAnsi="Trebuchet MS" w:cs="Traditional Arabic"/>
          <w:sz w:val="18"/>
          <w:szCs w:val="18"/>
        </w:rPr>
        <w:t>Margins evaluation (compared with the requirements of the design)</w:t>
      </w:r>
      <w:r w:rsidR="00F4626E">
        <w:rPr>
          <w:rFonts w:ascii="Trebuchet MS" w:hAnsi="Trebuchet MS" w:cs="Traditional Arabic"/>
          <w:sz w:val="18"/>
          <w:szCs w:val="18"/>
        </w:rPr>
        <w:t>;</w:t>
      </w:r>
    </w:p>
    <w:p w:rsidR="00FB2B01" w:rsidRPr="002470EE" w:rsidRDefault="00FB2B01" w:rsidP="00E62976">
      <w:pPr>
        <w:pStyle w:val="Paragraphedeliste"/>
        <w:numPr>
          <w:ilvl w:val="0"/>
          <w:numId w:val="61"/>
        </w:numPr>
        <w:spacing w:line="360" w:lineRule="auto"/>
        <w:jc w:val="both"/>
        <w:rPr>
          <w:rFonts w:ascii="Trebuchet MS" w:hAnsi="Trebuchet MS" w:cs="Traditional Arabic"/>
          <w:sz w:val="18"/>
          <w:szCs w:val="18"/>
        </w:rPr>
      </w:pPr>
      <w:r w:rsidRPr="002470EE">
        <w:rPr>
          <w:rFonts w:ascii="Trebuchet MS" w:hAnsi="Trebuchet MS" w:cs="Traditional Arabic"/>
          <w:sz w:val="18"/>
          <w:szCs w:val="18"/>
        </w:rPr>
        <w:t>Analysis of margins adequacy</w:t>
      </w:r>
      <w:r w:rsidR="00F4626E">
        <w:rPr>
          <w:rFonts w:ascii="Trebuchet MS" w:hAnsi="Trebuchet MS" w:cs="Traditional Arabic"/>
          <w:sz w:val="18"/>
          <w:szCs w:val="18"/>
        </w:rPr>
        <w:t>;</w:t>
      </w:r>
    </w:p>
    <w:p w:rsidR="00FB2B01" w:rsidRPr="002470EE" w:rsidRDefault="00FB2B01" w:rsidP="00E62976">
      <w:pPr>
        <w:pStyle w:val="Paragraphedeliste"/>
        <w:numPr>
          <w:ilvl w:val="0"/>
          <w:numId w:val="61"/>
        </w:numPr>
        <w:spacing w:line="360" w:lineRule="auto"/>
        <w:jc w:val="both"/>
        <w:rPr>
          <w:rFonts w:ascii="Trebuchet MS" w:hAnsi="Trebuchet MS" w:cs="Traditional Arabic"/>
          <w:sz w:val="18"/>
          <w:szCs w:val="18"/>
        </w:rPr>
      </w:pPr>
      <w:r w:rsidRPr="002470EE">
        <w:rPr>
          <w:rFonts w:ascii="Trebuchet MS" w:hAnsi="Trebuchet MS" w:cs="Traditional Arabic"/>
          <w:sz w:val="18"/>
          <w:szCs w:val="18"/>
        </w:rPr>
        <w:t>Filling out the various sections of this sheet allows to review the selection criteria while documenting the analysis. If at least one criterion Ci is verified, the hazard can be excluded from the list of candidate hazards for the preparation of a more advanced probabilistic risk assessment. And, in the frame of screening method application, the analysis can be limited to this criterion</w:t>
      </w:r>
      <w:r w:rsidR="00F4626E">
        <w:rPr>
          <w:rFonts w:ascii="Trebuchet MS" w:hAnsi="Trebuchet MS" w:cs="Traditional Arabic"/>
          <w:sz w:val="18"/>
          <w:szCs w:val="18"/>
        </w:rPr>
        <w:t>.</w:t>
      </w:r>
    </w:p>
    <w:p w:rsidR="00FB2B01" w:rsidRPr="002470EE" w:rsidRDefault="0091640B" w:rsidP="005F1EF2">
      <w:pPr>
        <w:keepNext/>
        <w:rPr>
          <w:b/>
          <w:i/>
          <w:lang w:val="en-US"/>
        </w:rPr>
      </w:pPr>
      <w:r>
        <w:rPr>
          <w:b/>
          <w:i/>
          <w:lang w:val="en-US"/>
        </w:rPr>
        <w:t xml:space="preserve">B- </w:t>
      </w:r>
      <w:r w:rsidR="00FB2B01" w:rsidRPr="002470EE">
        <w:rPr>
          <w:b/>
          <w:i/>
          <w:lang w:val="en-US"/>
        </w:rPr>
        <w:t>Analysis of combined hazards</w:t>
      </w:r>
    </w:p>
    <w:p w:rsidR="00FB2B01" w:rsidRDefault="00FB2B01" w:rsidP="002470EE">
      <w:pPr>
        <w:rPr>
          <w:lang w:val="en-US"/>
        </w:rPr>
      </w:pPr>
      <w:r>
        <w:rPr>
          <w:lang w:val="en-GB"/>
        </w:rPr>
        <w:t>The analysis of combinations is important for safety reasons.</w:t>
      </w:r>
      <w:r>
        <w:rPr>
          <w:lang w:val="en-US"/>
        </w:rPr>
        <w:t xml:space="preserve"> </w:t>
      </w:r>
      <w:r>
        <w:rPr>
          <w:lang w:val="en-GB"/>
        </w:rPr>
        <w:t xml:space="preserve">For example, a site may be designed for just a river flood or just a lapping but the combination of the </w:t>
      </w:r>
      <w:r w:rsidR="00F4626E">
        <w:rPr>
          <w:lang w:val="en-GB"/>
        </w:rPr>
        <w:t xml:space="preserve">two </w:t>
      </w:r>
      <w:r>
        <w:rPr>
          <w:lang w:val="en-GB"/>
        </w:rPr>
        <w:t>might result in flooding.</w:t>
      </w:r>
      <w:r>
        <w:rPr>
          <w:lang w:val="en-US"/>
        </w:rPr>
        <w:t xml:space="preserve"> </w:t>
      </w:r>
      <w:r w:rsidR="002470EE">
        <w:rPr>
          <w:lang w:val="en-GB"/>
        </w:rPr>
        <w:t>EDF</w:t>
      </w:r>
      <w:r>
        <w:rPr>
          <w:lang w:val="en-GB"/>
        </w:rPr>
        <w:t xml:space="preserve"> also seek to study combinations leading to a loss of cooling water or external electrical supplies.</w:t>
      </w:r>
      <w:r>
        <w:rPr>
          <w:lang w:val="en-US"/>
        </w:rPr>
        <w:t xml:space="preserve"> </w:t>
      </w:r>
    </w:p>
    <w:p w:rsidR="00FB2B01" w:rsidRDefault="00FB2B01" w:rsidP="002470EE">
      <w:pPr>
        <w:rPr>
          <w:lang w:val="en-US"/>
        </w:rPr>
      </w:pPr>
      <w:r>
        <w:rPr>
          <w:lang w:val="en-GB"/>
        </w:rPr>
        <w:t xml:space="preserve">To avoid making the combinations complex, </w:t>
      </w:r>
      <w:r w:rsidR="002470EE">
        <w:rPr>
          <w:lang w:val="en-GB"/>
        </w:rPr>
        <w:t>EDF</w:t>
      </w:r>
      <w:r>
        <w:rPr>
          <w:lang w:val="en-GB"/>
        </w:rPr>
        <w:t xml:space="preserve"> initially consider representative combinations of two hazards.</w:t>
      </w:r>
      <w:r>
        <w:rPr>
          <w:lang w:val="en-US"/>
        </w:rPr>
        <w:t xml:space="preserve"> </w:t>
      </w:r>
      <w:r>
        <w:rPr>
          <w:lang w:val="en-GB"/>
        </w:rPr>
        <w:t xml:space="preserve">Eventually, </w:t>
      </w:r>
      <w:r w:rsidR="002470EE">
        <w:rPr>
          <w:lang w:val="en-GB"/>
        </w:rPr>
        <w:t>EDF</w:t>
      </w:r>
      <w:r>
        <w:rPr>
          <w:lang w:val="en-GB"/>
        </w:rPr>
        <w:t xml:space="preserve"> can look at potential combinations of </w:t>
      </w:r>
      <w:r w:rsidR="00F4626E">
        <w:rPr>
          <w:lang w:val="en-GB"/>
        </w:rPr>
        <w:t xml:space="preserve">three </w:t>
      </w:r>
      <w:r>
        <w:rPr>
          <w:lang w:val="en-GB"/>
        </w:rPr>
        <w:t>hazards or more by combining the combinations chosen with the single hazards chosen at the end of the preceding selection phase.</w:t>
      </w:r>
      <w:r>
        <w:rPr>
          <w:lang w:val="en-US"/>
        </w:rPr>
        <w:t xml:space="preserve"> </w:t>
      </w:r>
      <w:r>
        <w:rPr>
          <w:lang w:val="en-GB"/>
        </w:rPr>
        <w:t>Their analysis can then only consist of occurrence frequency and/or risk contribution analysis.</w:t>
      </w:r>
    </w:p>
    <w:p w:rsidR="00BE5FB5" w:rsidRDefault="00BE5FB5" w:rsidP="00ED4B5B">
      <w:pPr>
        <w:pStyle w:val="Corpsdetexte3"/>
      </w:pPr>
    </w:p>
    <w:p w:rsidR="00FB2B01" w:rsidRDefault="00FB2B01" w:rsidP="00ED4B5B">
      <w:pPr>
        <w:pStyle w:val="Corpsdetexte3"/>
        <w:rPr>
          <w:lang w:val="en-US"/>
        </w:rPr>
      </w:pPr>
      <w:r>
        <w:t>The analysis of combinations of two threats is then performed in two steps:</w:t>
      </w:r>
    </w:p>
    <w:p w:rsidR="00FB2B01" w:rsidRDefault="00FB2B01" w:rsidP="00ED4B5B">
      <w:pPr>
        <w:pStyle w:val="Corpsdetexte3"/>
        <w:rPr>
          <w:lang w:val="en-US"/>
        </w:rPr>
      </w:pPr>
      <w:r>
        <w:t>1 - The identification of combinations of two hazards to be analysed;</w:t>
      </w:r>
    </w:p>
    <w:p w:rsidR="00FB2B01" w:rsidRDefault="00FB2B01" w:rsidP="00ED4B5B">
      <w:pPr>
        <w:pStyle w:val="Corpsdetexte3"/>
      </w:pPr>
      <w:r>
        <w:t>2 – The application of the selection criteria</w:t>
      </w:r>
      <w:r w:rsidR="00BE5FB5">
        <w:t>.</w:t>
      </w:r>
    </w:p>
    <w:p w:rsidR="004C7389" w:rsidRDefault="004C7389" w:rsidP="00ED4B5B">
      <w:pPr>
        <w:pStyle w:val="Corpsdetexte3"/>
      </w:pPr>
    </w:p>
    <w:p w:rsidR="00FB2B01" w:rsidRDefault="004C7389" w:rsidP="00BE5FB5">
      <w:pPr>
        <w:rPr>
          <w:b/>
          <w:i/>
          <w:lang w:val="en-US"/>
        </w:rPr>
      </w:pPr>
      <w:r>
        <w:rPr>
          <w:b/>
          <w:i/>
          <w:lang w:val="en-US"/>
        </w:rPr>
        <w:tab/>
      </w:r>
      <w:r w:rsidR="00FB2B01" w:rsidRPr="00BE5FB5">
        <w:rPr>
          <w:b/>
          <w:i/>
          <w:lang w:val="en-US"/>
        </w:rPr>
        <w:t>Identification of combinations of two hazards to be analysed</w:t>
      </w:r>
    </w:p>
    <w:p w:rsidR="00BE5FB5" w:rsidRPr="00BE5FB5" w:rsidRDefault="00BE5FB5" w:rsidP="00BE5FB5">
      <w:pPr>
        <w:rPr>
          <w:b/>
          <w:i/>
          <w:lang w:val="en-US"/>
        </w:rPr>
      </w:pPr>
    </w:p>
    <w:p w:rsidR="00FB2B01" w:rsidRPr="00BE5FB5" w:rsidRDefault="00FB2B01" w:rsidP="00BE5FB5">
      <w:pPr>
        <w:spacing w:line="360" w:lineRule="auto"/>
        <w:rPr>
          <w:lang w:val="en-GB"/>
        </w:rPr>
      </w:pPr>
      <w:r w:rsidRPr="00BE5FB5">
        <w:rPr>
          <w:lang w:val="en-GB"/>
        </w:rPr>
        <w:t>The idea here is to create a grid of possible combinations.</w:t>
      </w:r>
    </w:p>
    <w:p w:rsidR="00FB2B01" w:rsidRPr="00BE5FB5" w:rsidRDefault="00FB2B01" w:rsidP="00BE5FB5">
      <w:pPr>
        <w:spacing w:line="360" w:lineRule="auto"/>
        <w:rPr>
          <w:lang w:val="en-GB"/>
        </w:rPr>
      </w:pPr>
      <w:r w:rsidRPr="00BE5FB5">
        <w:rPr>
          <w:lang w:val="en-GB"/>
        </w:rPr>
        <w:t>To facilitate creating this grid and the analysis of the combinations, a table is created in advance. It describes, per individual hazard, the key element</w:t>
      </w:r>
      <w:r w:rsidR="0091640B">
        <w:rPr>
          <w:lang w:val="en-GB"/>
        </w:rPr>
        <w:t>s to be used for this analysis:</w:t>
      </w:r>
    </w:p>
    <w:p w:rsidR="00FB2B01" w:rsidRPr="00BE5FB5" w:rsidRDefault="00FB2B01" w:rsidP="00E62976">
      <w:pPr>
        <w:pStyle w:val="Paragraphedeliste"/>
        <w:numPr>
          <w:ilvl w:val="0"/>
          <w:numId w:val="62"/>
        </w:numPr>
        <w:spacing w:line="360" w:lineRule="auto"/>
        <w:rPr>
          <w:rFonts w:ascii="Trebuchet MS" w:hAnsi="Trebuchet MS"/>
          <w:sz w:val="18"/>
          <w:szCs w:val="18"/>
          <w:lang w:val="en-US"/>
        </w:rPr>
      </w:pPr>
      <w:r w:rsidRPr="00BE5FB5">
        <w:rPr>
          <w:rFonts w:ascii="Trebuchet MS" w:hAnsi="Trebuchet MS"/>
          <w:sz w:val="18"/>
          <w:szCs w:val="18"/>
        </w:rPr>
        <w:t>Seasonality (for possible elimination before creating the combination grid),</w:t>
      </w:r>
    </w:p>
    <w:p w:rsidR="00FB2B01" w:rsidRPr="00BE5FB5" w:rsidRDefault="00FB2B01" w:rsidP="00E62976">
      <w:pPr>
        <w:pStyle w:val="Paragraphedeliste"/>
        <w:numPr>
          <w:ilvl w:val="0"/>
          <w:numId w:val="62"/>
        </w:numPr>
        <w:spacing w:line="360" w:lineRule="auto"/>
        <w:rPr>
          <w:rFonts w:ascii="Trebuchet MS" w:hAnsi="Trebuchet MS"/>
          <w:sz w:val="18"/>
          <w:szCs w:val="18"/>
          <w:lang w:val="en-US"/>
        </w:rPr>
      </w:pPr>
      <w:r w:rsidRPr="00BE5FB5">
        <w:rPr>
          <w:rFonts w:ascii="Trebuchet MS" w:hAnsi="Trebuchet MS"/>
          <w:sz w:val="18"/>
          <w:szCs w:val="18"/>
        </w:rPr>
        <w:t>Impacts (for choice of the combination elimination criteria to be used),</w:t>
      </w:r>
    </w:p>
    <w:p w:rsidR="00FB2B01" w:rsidRPr="00BE5FB5" w:rsidRDefault="00FB2B01" w:rsidP="00E62976">
      <w:pPr>
        <w:pStyle w:val="Paragraphedeliste"/>
        <w:numPr>
          <w:ilvl w:val="0"/>
          <w:numId w:val="62"/>
        </w:numPr>
        <w:spacing w:line="360" w:lineRule="auto"/>
        <w:rPr>
          <w:rFonts w:ascii="Trebuchet MS" w:hAnsi="Trebuchet MS"/>
          <w:sz w:val="18"/>
          <w:szCs w:val="18"/>
          <w:lang w:val="en-US"/>
        </w:rPr>
      </w:pPr>
      <w:r w:rsidRPr="00BE5FB5">
        <w:rPr>
          <w:rFonts w:ascii="Trebuchet MS" w:hAnsi="Trebuchet MS"/>
          <w:sz w:val="18"/>
          <w:szCs w:val="18"/>
        </w:rPr>
        <w:t>Elimination criteria for the individual hazard (for choice of combination elimination criteria to be used).</w:t>
      </w:r>
    </w:p>
    <w:p w:rsidR="00FB2B01" w:rsidRPr="00BE5FB5" w:rsidRDefault="00BE5FB5" w:rsidP="00BE5FB5">
      <w:pPr>
        <w:spacing w:line="360" w:lineRule="auto"/>
        <w:rPr>
          <w:lang w:val="en-US"/>
        </w:rPr>
      </w:pPr>
      <w:r w:rsidRPr="00BE5FB5">
        <w:rPr>
          <w:lang w:val="en-US"/>
        </w:rPr>
        <w:t>EDF</w:t>
      </w:r>
      <w:r w:rsidR="00FB2B01" w:rsidRPr="00BE5FB5">
        <w:rPr>
          <w:lang w:val="en-US"/>
        </w:rPr>
        <w:t xml:space="preserve"> then make</w:t>
      </w:r>
      <w:r>
        <w:rPr>
          <w:lang w:val="en-US"/>
        </w:rPr>
        <w:t>s</w:t>
      </w:r>
      <w:r w:rsidR="00FB2B01" w:rsidRPr="00BE5FB5">
        <w:rPr>
          <w:lang w:val="en-US"/>
        </w:rPr>
        <w:t xml:space="preserve"> up the grid so as to not have to handle combinations that cannot occur.</w:t>
      </w:r>
      <w:r w:rsidR="00FB2B01">
        <w:rPr>
          <w:lang w:val="en-US"/>
        </w:rPr>
        <w:t xml:space="preserve"> </w:t>
      </w:r>
      <w:r w:rsidR="00FB2B01" w:rsidRPr="00BE5FB5">
        <w:rPr>
          <w:lang w:val="en-US"/>
        </w:rPr>
        <w:t>To this end:</w:t>
      </w:r>
    </w:p>
    <w:p w:rsidR="00FB2B01" w:rsidRPr="00BE5FB5" w:rsidRDefault="00BE5FB5" w:rsidP="00E62976">
      <w:pPr>
        <w:pStyle w:val="Paragraphedeliste"/>
        <w:numPr>
          <w:ilvl w:val="0"/>
          <w:numId w:val="63"/>
        </w:numPr>
        <w:spacing w:line="360" w:lineRule="auto"/>
        <w:rPr>
          <w:rFonts w:ascii="Trebuchet MS" w:hAnsi="Trebuchet MS"/>
          <w:sz w:val="18"/>
          <w:szCs w:val="18"/>
          <w:lang w:val="en-US"/>
        </w:rPr>
      </w:pPr>
      <w:r>
        <w:rPr>
          <w:rFonts w:ascii="Trebuchet MS" w:hAnsi="Trebuchet MS"/>
          <w:sz w:val="18"/>
          <w:szCs w:val="18"/>
        </w:rPr>
        <w:t>EDF</w:t>
      </w:r>
      <w:r w:rsidR="00FB2B01" w:rsidRPr="00BE5FB5">
        <w:rPr>
          <w:rFonts w:ascii="Trebuchet MS" w:hAnsi="Trebuchet MS"/>
          <w:sz w:val="18"/>
          <w:szCs w:val="18"/>
        </w:rPr>
        <w:t xml:space="preserve"> use the list of individual hazards from which </w:t>
      </w:r>
      <w:r>
        <w:rPr>
          <w:rFonts w:ascii="Trebuchet MS" w:hAnsi="Trebuchet MS"/>
          <w:sz w:val="18"/>
          <w:szCs w:val="18"/>
        </w:rPr>
        <w:t>it has</w:t>
      </w:r>
      <w:r w:rsidR="00FB2B01" w:rsidRPr="00BE5FB5">
        <w:rPr>
          <w:rFonts w:ascii="Trebuchet MS" w:hAnsi="Trebuchet MS"/>
          <w:sz w:val="18"/>
          <w:szCs w:val="18"/>
        </w:rPr>
        <w:t xml:space="preserve"> removed the hazards eliminated for the site by individual selection criteria C1 and C2.</w:t>
      </w:r>
      <w:r w:rsidR="00FB2B01" w:rsidRPr="00BE5FB5">
        <w:rPr>
          <w:rFonts w:ascii="Trebuchet MS" w:hAnsi="Trebuchet MS"/>
          <w:sz w:val="18"/>
          <w:szCs w:val="18"/>
          <w:lang w:val="en-US"/>
        </w:rPr>
        <w:t xml:space="preserve"> </w:t>
      </w:r>
      <w:r w:rsidR="00FB2B01" w:rsidRPr="00BE5FB5">
        <w:rPr>
          <w:rFonts w:ascii="Trebuchet MS" w:hAnsi="Trebuchet MS"/>
          <w:sz w:val="18"/>
          <w:szCs w:val="18"/>
        </w:rPr>
        <w:t>Thus, the selection criteria for hazard combinations C1 and C2 are implicitly applied while</w:t>
      </w:r>
      <w:r>
        <w:rPr>
          <w:rFonts w:ascii="Trebuchet MS" w:hAnsi="Trebuchet MS"/>
          <w:sz w:val="18"/>
          <w:szCs w:val="18"/>
        </w:rPr>
        <w:t xml:space="preserve"> preparing the combination grid,</w:t>
      </w:r>
    </w:p>
    <w:p w:rsidR="00FB2B01" w:rsidRPr="00BE5FB5" w:rsidRDefault="00BE5FB5" w:rsidP="00E62976">
      <w:pPr>
        <w:pStyle w:val="Paragraphedeliste"/>
        <w:numPr>
          <w:ilvl w:val="0"/>
          <w:numId w:val="63"/>
        </w:numPr>
        <w:spacing w:line="360" w:lineRule="auto"/>
        <w:rPr>
          <w:rFonts w:ascii="Trebuchet MS" w:hAnsi="Trebuchet MS"/>
          <w:sz w:val="18"/>
          <w:szCs w:val="18"/>
          <w:lang w:val="en-US"/>
        </w:rPr>
      </w:pPr>
      <w:r>
        <w:rPr>
          <w:rFonts w:ascii="Trebuchet MS" w:hAnsi="Trebuchet MS"/>
          <w:sz w:val="18"/>
          <w:szCs w:val="18"/>
        </w:rPr>
        <w:t>EDF</w:t>
      </w:r>
      <w:r w:rsidR="00FB2B01" w:rsidRPr="00BE5FB5">
        <w:rPr>
          <w:rFonts w:ascii="Trebuchet MS" w:hAnsi="Trebuchet MS"/>
          <w:sz w:val="18"/>
          <w:szCs w:val="18"/>
        </w:rPr>
        <w:t xml:space="preserve"> then eliminate</w:t>
      </w:r>
      <w:r>
        <w:rPr>
          <w:rFonts w:ascii="Trebuchet MS" w:hAnsi="Trebuchet MS"/>
          <w:sz w:val="18"/>
          <w:szCs w:val="18"/>
        </w:rPr>
        <w:t>s</w:t>
      </w:r>
      <w:r w:rsidR="00FB2B01" w:rsidRPr="00BE5FB5">
        <w:rPr>
          <w:rFonts w:ascii="Trebuchet MS" w:hAnsi="Trebuchet MS"/>
          <w:sz w:val="18"/>
          <w:szCs w:val="18"/>
        </w:rPr>
        <w:t xml:space="preserve"> the combinations that are mutually impossible taking into account:</w:t>
      </w:r>
    </w:p>
    <w:p w:rsidR="00FB2B01" w:rsidRPr="00BE5FB5" w:rsidRDefault="00FB2B01" w:rsidP="00E62976">
      <w:pPr>
        <w:pStyle w:val="Paragraphedeliste"/>
        <w:numPr>
          <w:ilvl w:val="1"/>
          <w:numId w:val="63"/>
        </w:numPr>
        <w:spacing w:line="360" w:lineRule="auto"/>
        <w:rPr>
          <w:rFonts w:ascii="Trebuchet MS" w:hAnsi="Trebuchet MS"/>
          <w:sz w:val="18"/>
          <w:szCs w:val="18"/>
          <w:lang w:val="en-US"/>
        </w:rPr>
      </w:pPr>
      <w:r w:rsidRPr="00BE5FB5">
        <w:rPr>
          <w:rFonts w:ascii="Trebuchet MS" w:hAnsi="Trebuchet MS"/>
          <w:sz w:val="18"/>
          <w:szCs w:val="18"/>
        </w:rPr>
        <w:t>their nature (for example:</w:t>
      </w:r>
      <w:r w:rsidRPr="00BE5FB5">
        <w:rPr>
          <w:rFonts w:ascii="Trebuchet MS" w:hAnsi="Trebuchet MS"/>
          <w:sz w:val="18"/>
          <w:szCs w:val="18"/>
          <w:lang w:val="en-US"/>
        </w:rPr>
        <w:t xml:space="preserve"> </w:t>
      </w:r>
      <w:r w:rsidRPr="00BE5FB5">
        <w:rPr>
          <w:rFonts w:ascii="Trebuchet MS" w:hAnsi="Trebuchet MS"/>
          <w:sz w:val="18"/>
          <w:szCs w:val="18"/>
        </w:rPr>
        <w:t>extreme cold and extreme heat),</w:t>
      </w:r>
    </w:p>
    <w:p w:rsidR="00FB2B01" w:rsidRPr="00BE5FB5" w:rsidRDefault="00FB2B01" w:rsidP="00E62976">
      <w:pPr>
        <w:pStyle w:val="Paragraphedeliste"/>
        <w:numPr>
          <w:ilvl w:val="1"/>
          <w:numId w:val="63"/>
        </w:numPr>
        <w:spacing w:line="360" w:lineRule="auto"/>
        <w:rPr>
          <w:rFonts w:ascii="Trebuchet MS" w:hAnsi="Trebuchet MS"/>
          <w:sz w:val="18"/>
          <w:szCs w:val="18"/>
          <w:lang w:val="en-US"/>
        </w:rPr>
      </w:pPr>
      <w:r w:rsidRPr="00BE5FB5">
        <w:rPr>
          <w:rFonts w:ascii="Trebuchet MS" w:hAnsi="Trebuchet MS"/>
          <w:sz w:val="18"/>
          <w:szCs w:val="18"/>
        </w:rPr>
        <w:t>the associated environmental conditions (for example:</w:t>
      </w:r>
      <w:r w:rsidRPr="00BE5FB5">
        <w:rPr>
          <w:rFonts w:ascii="Trebuchet MS" w:hAnsi="Trebuchet MS"/>
          <w:sz w:val="18"/>
          <w:szCs w:val="18"/>
          <w:lang w:val="en-US"/>
        </w:rPr>
        <w:t xml:space="preserve"> </w:t>
      </w:r>
      <w:r w:rsidRPr="00BE5FB5">
        <w:rPr>
          <w:rFonts w:ascii="Trebuchet MS" w:hAnsi="Trebuchet MS"/>
          <w:sz w:val="18"/>
          <w:szCs w:val="18"/>
        </w:rPr>
        <w:t>extreme cold and accumulating snow)</w:t>
      </w:r>
      <w:r w:rsidR="00BE5FB5">
        <w:rPr>
          <w:rFonts w:ascii="Trebuchet MS" w:hAnsi="Trebuchet MS"/>
          <w:sz w:val="18"/>
          <w:szCs w:val="18"/>
          <w:lang w:val="en-US"/>
        </w:rPr>
        <w:t>,</w:t>
      </w:r>
    </w:p>
    <w:p w:rsidR="00BE5FB5" w:rsidRPr="0091640B" w:rsidRDefault="00FB2B01" w:rsidP="00E62976">
      <w:pPr>
        <w:pStyle w:val="Paragraphedeliste"/>
        <w:numPr>
          <w:ilvl w:val="1"/>
          <w:numId w:val="63"/>
        </w:numPr>
        <w:spacing w:line="360" w:lineRule="auto"/>
        <w:rPr>
          <w:rFonts w:ascii="Trebuchet MS" w:hAnsi="Trebuchet MS"/>
          <w:sz w:val="18"/>
          <w:szCs w:val="18"/>
          <w:lang w:val="en-US"/>
        </w:rPr>
      </w:pPr>
      <w:r w:rsidRPr="00BE5FB5">
        <w:rPr>
          <w:rFonts w:ascii="Trebuchet MS" w:hAnsi="Trebuchet MS"/>
          <w:sz w:val="18"/>
          <w:szCs w:val="18"/>
        </w:rPr>
        <w:t>and their seasonality (for example:</w:t>
      </w:r>
      <w:r w:rsidRPr="00BE5FB5">
        <w:rPr>
          <w:rFonts w:ascii="Trebuchet MS" w:hAnsi="Trebuchet MS"/>
          <w:sz w:val="18"/>
          <w:szCs w:val="18"/>
          <w:lang w:val="en-US"/>
        </w:rPr>
        <w:t xml:space="preserve"> </w:t>
      </w:r>
      <w:r w:rsidRPr="00BE5FB5">
        <w:rPr>
          <w:rFonts w:ascii="Trebuchet MS" w:hAnsi="Trebuchet MS"/>
          <w:sz w:val="18"/>
          <w:szCs w:val="18"/>
        </w:rPr>
        <w:t>lightning mainly occurs in the spring and extreme cold in the winter).</w:t>
      </w:r>
    </w:p>
    <w:p w:rsidR="00FB2B01" w:rsidRDefault="0091640B" w:rsidP="00BE5FB5">
      <w:pPr>
        <w:rPr>
          <w:lang w:val="en-US"/>
        </w:rPr>
      </w:pPr>
      <w:r>
        <w:rPr>
          <w:lang w:val="en-US"/>
        </w:rPr>
        <w:t>EDF</w:t>
      </w:r>
      <w:r w:rsidR="00FB2B01" w:rsidRPr="00BE5FB5">
        <w:rPr>
          <w:lang w:val="en-US"/>
        </w:rPr>
        <w:t xml:space="preserve"> can, under certain conditions, also eliminate combinations involving an individual hazard withdrawn by criterion C6 “Frequency”.</w:t>
      </w:r>
      <w:r w:rsidR="00FB2B01">
        <w:rPr>
          <w:lang w:val="en-US"/>
        </w:rPr>
        <w:t xml:space="preserve"> </w:t>
      </w:r>
      <w:r w:rsidR="00FB2B01" w:rsidRPr="00113F1E">
        <w:rPr>
          <w:lang w:val="en-US"/>
        </w:rPr>
        <w:t>Actually, if this hazard has a frequency less that a given threshold, the combination will also have a frequency less than the same threshold.</w:t>
      </w:r>
      <w:r w:rsidR="00FB2B01">
        <w:rPr>
          <w:lang w:val="en-US"/>
        </w:rPr>
        <w:t xml:space="preserve"> </w:t>
      </w:r>
      <w:r w:rsidRPr="0091640B">
        <w:rPr>
          <w:lang w:val="en-US"/>
        </w:rPr>
        <w:t>EDF</w:t>
      </w:r>
      <w:r w:rsidR="00FB2B01" w:rsidRPr="0091640B">
        <w:rPr>
          <w:lang w:val="en-US"/>
        </w:rPr>
        <w:t xml:space="preserve"> must however ensure that a combination involving this hazard with a lower intensity - and therefore a higher frequency - cannot lead to a dangerous situation.</w:t>
      </w:r>
      <w:r w:rsidR="00FB2B01">
        <w:rPr>
          <w:lang w:val="en-US"/>
        </w:rPr>
        <w:t xml:space="preserve"> </w:t>
      </w:r>
    </w:p>
    <w:p w:rsidR="00FB2B01" w:rsidRPr="00113F1E" w:rsidRDefault="00FB2B01" w:rsidP="00BE5FB5">
      <w:pPr>
        <w:rPr>
          <w:lang w:val="en-US"/>
        </w:rPr>
      </w:pPr>
      <w:r w:rsidRPr="00113F1E">
        <w:rPr>
          <w:lang w:val="en-US"/>
        </w:rPr>
        <w:t>Each combination thus identified will then be analysed by application of criteria C3 to C7.</w:t>
      </w:r>
    </w:p>
    <w:p w:rsidR="00BE5FB5" w:rsidRDefault="00BE5FB5" w:rsidP="00BE5FB5">
      <w:pPr>
        <w:rPr>
          <w:lang w:val="en-US"/>
        </w:rPr>
      </w:pPr>
    </w:p>
    <w:p w:rsidR="00FB2B01" w:rsidRDefault="004C7389" w:rsidP="0091640B">
      <w:pPr>
        <w:rPr>
          <w:b/>
          <w:i/>
          <w:lang w:val="en-US"/>
        </w:rPr>
      </w:pPr>
      <w:r>
        <w:rPr>
          <w:b/>
          <w:i/>
          <w:lang w:val="en-US"/>
        </w:rPr>
        <w:tab/>
      </w:r>
      <w:r w:rsidR="00FB2B01" w:rsidRPr="0091640B">
        <w:rPr>
          <w:b/>
          <w:i/>
          <w:lang w:val="en-US"/>
        </w:rPr>
        <w:t xml:space="preserve">Application of criteria </w:t>
      </w:r>
    </w:p>
    <w:p w:rsidR="0091640B" w:rsidRPr="0091640B" w:rsidRDefault="0091640B" w:rsidP="0091640B">
      <w:pPr>
        <w:rPr>
          <w:b/>
          <w:i/>
          <w:lang w:val="en-US"/>
        </w:rPr>
      </w:pPr>
    </w:p>
    <w:p w:rsidR="00FB2B01" w:rsidRPr="004C7389" w:rsidRDefault="00FB2B01" w:rsidP="004C7389">
      <w:pPr>
        <w:spacing w:line="360" w:lineRule="auto"/>
        <w:rPr>
          <w:lang w:val="en-GB"/>
        </w:rPr>
      </w:pPr>
      <w:r w:rsidRPr="004C7389">
        <w:rPr>
          <w:lang w:val="en-GB"/>
        </w:rPr>
        <w:t xml:space="preserve">The application of selection criteria is practically the same as for individual hazards. </w:t>
      </w:r>
    </w:p>
    <w:p w:rsidR="00FB2B01" w:rsidRPr="004C7389" w:rsidRDefault="00FB2B01" w:rsidP="004C7389">
      <w:pPr>
        <w:spacing w:line="360" w:lineRule="auto"/>
        <w:rPr>
          <w:lang w:val="en-GB"/>
        </w:rPr>
      </w:pPr>
      <w:r w:rsidRPr="004C7389">
        <w:rPr>
          <w:lang w:val="en-GB"/>
        </w:rPr>
        <w:t xml:space="preserve">However, two special features should be noted. </w:t>
      </w:r>
    </w:p>
    <w:p w:rsidR="00FB2B01" w:rsidRPr="004C7389" w:rsidRDefault="00FB2B01" w:rsidP="004C7389">
      <w:pPr>
        <w:spacing w:line="360" w:lineRule="auto"/>
        <w:rPr>
          <w:szCs w:val="18"/>
          <w:lang w:val="en-GB"/>
        </w:rPr>
      </w:pPr>
      <w:r w:rsidRPr="004C7389">
        <w:rPr>
          <w:szCs w:val="18"/>
          <w:lang w:val="en-GB"/>
        </w:rPr>
        <w:t xml:space="preserve">The first concerns study of the severity of the combination. </w:t>
      </w:r>
      <w:r w:rsidR="004C7389" w:rsidRPr="004C7389">
        <w:rPr>
          <w:szCs w:val="18"/>
          <w:lang w:val="en-GB"/>
        </w:rPr>
        <w:t>EDF</w:t>
      </w:r>
      <w:r w:rsidRPr="004C7389">
        <w:rPr>
          <w:szCs w:val="18"/>
          <w:lang w:val="en-GB"/>
        </w:rPr>
        <w:t xml:space="preserve"> wish to differentiate between combinations of hazards having, individually, the same type of impact on the installation and combinations of hazards that do not individually affect the same systems or parts of the installation. </w:t>
      </w:r>
    </w:p>
    <w:p w:rsidR="00FB2B01" w:rsidRPr="004C7389" w:rsidRDefault="00FB2B01" w:rsidP="004C7389">
      <w:pPr>
        <w:spacing w:line="360" w:lineRule="auto"/>
        <w:rPr>
          <w:szCs w:val="18"/>
          <w:lang w:val="en-GB"/>
        </w:rPr>
      </w:pPr>
      <w:r w:rsidRPr="004C7389">
        <w:rPr>
          <w:szCs w:val="18"/>
          <w:lang w:val="en-GB"/>
        </w:rPr>
        <w:t xml:space="preserve">The “Severity” criterion for hazards that individually have the same impact is therefore applied as follows: </w:t>
      </w:r>
    </w:p>
    <w:p w:rsidR="00FB2B01" w:rsidRPr="004C7389" w:rsidRDefault="00FB2B01" w:rsidP="00E62976">
      <w:pPr>
        <w:pStyle w:val="Paragraphedeliste"/>
        <w:numPr>
          <w:ilvl w:val="0"/>
          <w:numId w:val="64"/>
        </w:numPr>
        <w:spacing w:line="360" w:lineRule="auto"/>
        <w:rPr>
          <w:rFonts w:ascii="Trebuchet MS" w:hAnsi="Trebuchet MS"/>
          <w:sz w:val="18"/>
          <w:szCs w:val="18"/>
          <w:lang w:val="en-US"/>
        </w:rPr>
      </w:pPr>
      <w:r w:rsidRPr="004C7389">
        <w:rPr>
          <w:rFonts w:ascii="Trebuchet MS" w:hAnsi="Trebuchet MS"/>
          <w:sz w:val="18"/>
          <w:szCs w:val="18"/>
        </w:rPr>
        <w:t>The combination can only generate potential damage less than or equal to that caused by one or more similar events for which the plant was designed or checked.</w:t>
      </w:r>
      <w:r w:rsidRPr="004C7389">
        <w:rPr>
          <w:rFonts w:ascii="Trebuchet MS" w:hAnsi="Trebuchet MS"/>
          <w:sz w:val="18"/>
          <w:szCs w:val="18"/>
          <w:lang w:val="en-US"/>
        </w:rPr>
        <w:t xml:space="preserve"> </w:t>
      </w:r>
    </w:p>
    <w:p w:rsidR="00FB2B01" w:rsidRPr="004C7389" w:rsidRDefault="00FB2B01" w:rsidP="00E62976">
      <w:pPr>
        <w:pStyle w:val="Paragraphedeliste"/>
        <w:numPr>
          <w:ilvl w:val="0"/>
          <w:numId w:val="64"/>
        </w:numPr>
        <w:spacing w:line="360" w:lineRule="auto"/>
        <w:rPr>
          <w:rFonts w:ascii="Trebuchet MS" w:hAnsi="Trebuchet MS"/>
          <w:sz w:val="18"/>
          <w:szCs w:val="18"/>
          <w:lang w:val="en-US"/>
        </w:rPr>
      </w:pPr>
      <w:r w:rsidRPr="004C7389">
        <w:rPr>
          <w:rFonts w:ascii="Trebuchet MS" w:hAnsi="Trebuchet MS"/>
          <w:sz w:val="18"/>
          <w:szCs w:val="18"/>
        </w:rPr>
        <w:t>The combination of the effects of these hazards is not greater than the most severe effect of the hazards that it consists of.</w:t>
      </w:r>
    </w:p>
    <w:p w:rsidR="00FB2B01" w:rsidRPr="004C7389" w:rsidRDefault="00FB2B01" w:rsidP="004C7389">
      <w:pPr>
        <w:rPr>
          <w:lang w:val="en-GB"/>
        </w:rPr>
      </w:pPr>
      <w:r w:rsidRPr="004C7389">
        <w:rPr>
          <w:lang w:val="en-GB"/>
        </w:rPr>
        <w:t xml:space="preserve">The second special feature concerns the evaluation of the frequency of the combination of hazards. This evaluation must take into account any possible dependence that may exist between the two phenomena. </w:t>
      </w:r>
    </w:p>
    <w:p w:rsidR="004C7389" w:rsidRDefault="004C7389" w:rsidP="004C7389">
      <w:pPr>
        <w:rPr>
          <w:b/>
          <w:i/>
          <w:lang w:val="en-US"/>
        </w:rPr>
      </w:pPr>
    </w:p>
    <w:p w:rsidR="00FB2B01" w:rsidRPr="004C7389" w:rsidRDefault="00FB2B01" w:rsidP="004C7389">
      <w:pPr>
        <w:rPr>
          <w:b/>
          <w:i/>
          <w:lang w:val="en-US"/>
        </w:rPr>
      </w:pPr>
      <w:r w:rsidRPr="004C7389">
        <w:rPr>
          <w:b/>
          <w:i/>
          <w:lang w:val="en-US"/>
        </w:rPr>
        <w:t xml:space="preserve">Conclusions </w:t>
      </w:r>
      <w:r w:rsidR="004C7389">
        <w:rPr>
          <w:b/>
          <w:i/>
          <w:lang w:val="en-US"/>
        </w:rPr>
        <w:t>on the methodology</w:t>
      </w:r>
    </w:p>
    <w:p w:rsidR="00FB2B01" w:rsidRPr="004C7389" w:rsidRDefault="00FB2B01" w:rsidP="004C7389">
      <w:pPr>
        <w:rPr>
          <w:lang w:val="en-GB"/>
        </w:rPr>
      </w:pPr>
      <w:r w:rsidRPr="004C7389">
        <w:rPr>
          <w:lang w:val="en-GB"/>
        </w:rPr>
        <w:t xml:space="preserve">The methodology presented above is intended to allow screening of individual hazards and combinations of hazards to identify those which are candidates for a more advanced probabilistic risk assessment. It helps to focus on most risk significant hazards. In the perspective of optimised resources allocation for safety studies, the far less risk significant hazards are excluded from more advanced probabilistic risk assessment. </w:t>
      </w:r>
    </w:p>
    <w:p w:rsidR="00FB2B01" w:rsidRPr="00113F1E" w:rsidRDefault="00FB2B01" w:rsidP="004C7389">
      <w:pPr>
        <w:rPr>
          <w:lang w:val="en-US"/>
        </w:rPr>
      </w:pPr>
      <w:r w:rsidRPr="004C7389">
        <w:rPr>
          <w:lang w:val="en-GB"/>
        </w:rPr>
        <w:t>The two strong points of the methodology are envisaging the consequences of hazards for hazards above the values for which the installation is protected against and processing combinations of hazards in an exhaustive manner</w:t>
      </w:r>
      <w:r w:rsidRPr="00113F1E">
        <w:rPr>
          <w:lang w:val="en-US"/>
        </w:rPr>
        <w:t>.</w:t>
      </w:r>
    </w:p>
    <w:p w:rsidR="00FB2B01" w:rsidRPr="001B7918" w:rsidRDefault="00FB2B01" w:rsidP="001B7918">
      <w:pPr>
        <w:spacing w:line="360" w:lineRule="auto"/>
        <w:rPr>
          <w:szCs w:val="18"/>
          <w:lang w:val="en-GB"/>
        </w:rPr>
      </w:pPr>
    </w:p>
    <w:p w:rsidR="00FB2B01" w:rsidRDefault="00113957" w:rsidP="009803F6">
      <w:pPr>
        <w:pStyle w:val="Titre4"/>
        <w:rPr>
          <w:lang w:val="en-GB"/>
        </w:rPr>
      </w:pPr>
      <w:r>
        <w:rPr>
          <w:lang w:val="en-GB"/>
        </w:rPr>
        <w:t>Perspectives</w:t>
      </w:r>
    </w:p>
    <w:p w:rsidR="00CF2DAE" w:rsidRDefault="00113957" w:rsidP="009803F6">
      <w:pPr>
        <w:rPr>
          <w:lang w:val="en-GB"/>
        </w:rPr>
      </w:pPr>
      <w:r>
        <w:rPr>
          <w:lang w:val="en-GB"/>
        </w:rPr>
        <w:t xml:space="preserve">The results of the application of this methodology will be </w:t>
      </w:r>
      <w:r w:rsidR="00CF2DAE">
        <w:rPr>
          <w:lang w:val="en-GB"/>
        </w:rPr>
        <w:t xml:space="preserve">reviewed and </w:t>
      </w:r>
      <w:r>
        <w:rPr>
          <w:lang w:val="en-GB"/>
        </w:rPr>
        <w:t xml:space="preserve">discussed during the next PSRs. The </w:t>
      </w:r>
      <w:r w:rsidR="00CF2DAE">
        <w:rPr>
          <w:lang w:val="en-GB"/>
        </w:rPr>
        <w:t>appropriateness</w:t>
      </w:r>
      <w:r>
        <w:rPr>
          <w:lang w:val="en-GB"/>
        </w:rPr>
        <w:t xml:space="preserve"> of the methodology will be </w:t>
      </w:r>
      <w:r w:rsidR="00CF2DAE">
        <w:rPr>
          <w:lang w:val="en-GB"/>
        </w:rPr>
        <w:t>examined</w:t>
      </w:r>
      <w:r>
        <w:rPr>
          <w:lang w:val="en-GB"/>
        </w:rPr>
        <w:t xml:space="preserve"> also. </w:t>
      </w:r>
    </w:p>
    <w:p w:rsidR="00D44FE7" w:rsidRPr="00D44FE7" w:rsidRDefault="00113957" w:rsidP="009803F6">
      <w:pPr>
        <w:rPr>
          <w:lang w:val="en-GB"/>
        </w:rPr>
      </w:pPr>
      <w:r>
        <w:rPr>
          <w:lang w:val="en-GB"/>
        </w:rPr>
        <w:t xml:space="preserve">First results have already been sent by EDF </w:t>
      </w:r>
      <w:r w:rsidR="00CF2DAE">
        <w:rPr>
          <w:lang w:val="en-GB"/>
        </w:rPr>
        <w:t xml:space="preserve">to the Safety Authority </w:t>
      </w:r>
      <w:r>
        <w:rPr>
          <w:lang w:val="en-GB"/>
        </w:rPr>
        <w:t>for the 900 MWe PWRs series.</w:t>
      </w:r>
    </w:p>
    <w:p w:rsidR="00737A59" w:rsidRPr="00E20701" w:rsidRDefault="00737A59" w:rsidP="00317481">
      <w:pPr>
        <w:pStyle w:val="Titre3"/>
        <w:rPr>
          <w:lang w:val="en-GB"/>
        </w:rPr>
      </w:pPr>
      <w:bookmarkStart w:id="416" w:name="_Toc450206651"/>
      <w:bookmarkStart w:id="417" w:name="_Toc450207685"/>
      <w:bookmarkStart w:id="418" w:name="_Toc446686376"/>
      <w:bookmarkStart w:id="419" w:name="_Ref445059502"/>
      <w:bookmarkStart w:id="420" w:name="_Toc473303557"/>
      <w:bookmarkEnd w:id="416"/>
      <w:bookmarkEnd w:id="417"/>
      <w:bookmarkEnd w:id="418"/>
      <w:r w:rsidRPr="00E20701">
        <w:rPr>
          <w:lang w:val="en-GB"/>
        </w:rPr>
        <w:t>Germany</w:t>
      </w:r>
      <w:bookmarkEnd w:id="420"/>
      <w:r w:rsidR="00266182" w:rsidRPr="00E20701">
        <w:rPr>
          <w:lang w:val="en-GB"/>
        </w:rPr>
        <w:t xml:space="preserve"> </w:t>
      </w:r>
      <w:bookmarkEnd w:id="419"/>
    </w:p>
    <w:p w:rsidR="00DB01EA" w:rsidRPr="00E20701" w:rsidRDefault="00B60A9F" w:rsidP="00C70893">
      <w:pPr>
        <w:rPr>
          <w:lang w:val="en-GB"/>
        </w:rPr>
      </w:pPr>
      <w:r w:rsidRPr="00E20701">
        <w:rPr>
          <w:lang w:val="en-GB"/>
        </w:rPr>
        <w:t>The German practice on initiating event selection is gover</w:t>
      </w:r>
      <w:r w:rsidR="007E7A24" w:rsidRPr="00E20701">
        <w:rPr>
          <w:lang w:val="en-GB"/>
        </w:rPr>
        <w:t>ned by the following regulatory guides and recommendations.</w:t>
      </w:r>
    </w:p>
    <w:p w:rsidR="00B60A9F" w:rsidRPr="00E20701" w:rsidRDefault="00B60A9F" w:rsidP="00E62976">
      <w:pPr>
        <w:numPr>
          <w:ilvl w:val="0"/>
          <w:numId w:val="32"/>
        </w:numPr>
        <w:rPr>
          <w:lang w:val="en-GB"/>
        </w:rPr>
      </w:pPr>
      <w:r w:rsidRPr="00E20701">
        <w:rPr>
          <w:lang w:val="en-GB"/>
        </w:rPr>
        <w:t>Safety requirements for nuclear power plants</w:t>
      </w:r>
      <w:r w:rsidR="0026423A" w:rsidRPr="00E20701">
        <w:rPr>
          <w:lang w:val="en-GB"/>
        </w:rPr>
        <w:t xml:space="preserve">, promulgated 2012 </w:t>
      </w:r>
      <w:r w:rsidR="00A06305">
        <w:rPr>
          <w:lang w:val="en-GB"/>
        </w:rPr>
        <w:fldChar w:fldCharType="begin"/>
      </w:r>
      <w:r w:rsidR="00A06305">
        <w:rPr>
          <w:lang w:val="en-GB"/>
        </w:rPr>
        <w:instrText xml:space="preserve"> REF _Ref418689856 \r \h </w:instrText>
      </w:r>
      <w:r w:rsidR="00A06305">
        <w:rPr>
          <w:lang w:val="en-GB"/>
        </w:rPr>
      </w:r>
      <w:r w:rsidR="00A06305">
        <w:rPr>
          <w:lang w:val="en-GB"/>
        </w:rPr>
        <w:fldChar w:fldCharType="separate"/>
      </w:r>
      <w:r w:rsidR="00E62976">
        <w:rPr>
          <w:lang w:val="en-GB"/>
        </w:rPr>
        <w:t>[76]</w:t>
      </w:r>
      <w:r w:rsidR="00A06305">
        <w:rPr>
          <w:lang w:val="en-GB"/>
        </w:rPr>
        <w:fldChar w:fldCharType="end"/>
      </w:r>
      <w:r w:rsidR="0026423A" w:rsidRPr="00E20701">
        <w:rPr>
          <w:lang w:val="en-GB"/>
        </w:rPr>
        <w:t xml:space="preserve"> </w:t>
      </w:r>
    </w:p>
    <w:p w:rsidR="0026423A" w:rsidRPr="00E20701" w:rsidRDefault="0026423A" w:rsidP="00E62976">
      <w:pPr>
        <w:numPr>
          <w:ilvl w:val="0"/>
          <w:numId w:val="32"/>
        </w:numPr>
        <w:rPr>
          <w:lang w:val="en-GB"/>
        </w:rPr>
      </w:pPr>
      <w:r w:rsidRPr="00E20701">
        <w:rPr>
          <w:lang w:val="en-GB"/>
        </w:rPr>
        <w:t xml:space="preserve">Interpretations to the safety requirements for nuclear power plants, promulgated 2012 </w:t>
      </w:r>
      <w:r w:rsidR="00A06305">
        <w:rPr>
          <w:lang w:val="en-GB"/>
        </w:rPr>
        <w:fldChar w:fldCharType="begin"/>
      </w:r>
      <w:r w:rsidR="00A06305">
        <w:rPr>
          <w:lang w:val="en-GB"/>
        </w:rPr>
        <w:instrText xml:space="preserve"> REF _Ref418689857 \r \h </w:instrText>
      </w:r>
      <w:r w:rsidR="00A06305">
        <w:rPr>
          <w:lang w:val="en-GB"/>
        </w:rPr>
      </w:r>
      <w:r w:rsidR="00A06305">
        <w:rPr>
          <w:lang w:val="en-GB"/>
        </w:rPr>
        <w:fldChar w:fldCharType="separate"/>
      </w:r>
      <w:r w:rsidR="00E62976">
        <w:rPr>
          <w:lang w:val="en-GB"/>
        </w:rPr>
        <w:t>[77]</w:t>
      </w:r>
      <w:r w:rsidR="00A06305">
        <w:rPr>
          <w:lang w:val="en-GB"/>
        </w:rPr>
        <w:fldChar w:fldCharType="end"/>
      </w:r>
      <w:r w:rsidR="00181EE2" w:rsidRPr="00FA7763" w:rsidDel="00181EE2">
        <w:rPr>
          <w:lang w:val="en-GB"/>
        </w:rPr>
        <w:t xml:space="preserve"> </w:t>
      </w:r>
    </w:p>
    <w:p w:rsidR="00B60A9F" w:rsidRPr="00E20701" w:rsidRDefault="0026423A" w:rsidP="00E62976">
      <w:pPr>
        <w:numPr>
          <w:ilvl w:val="0"/>
          <w:numId w:val="32"/>
        </w:numPr>
        <w:rPr>
          <w:lang w:val="en-GB"/>
        </w:rPr>
      </w:pPr>
      <w:r w:rsidRPr="00E20701">
        <w:rPr>
          <w:lang w:val="en-GB"/>
        </w:rPr>
        <w:t xml:space="preserve">Probabilistic Safety Analysis Guide, promulgated 2005 </w:t>
      </w:r>
      <w:r w:rsidR="00A06305">
        <w:rPr>
          <w:lang w:val="en-GB"/>
        </w:rPr>
        <w:fldChar w:fldCharType="begin"/>
      </w:r>
      <w:r w:rsidR="00A06305">
        <w:rPr>
          <w:lang w:val="en-GB"/>
        </w:rPr>
        <w:instrText xml:space="preserve"> REF _Ref418600965 \r \h </w:instrText>
      </w:r>
      <w:r w:rsidR="00A06305">
        <w:rPr>
          <w:lang w:val="en-GB"/>
        </w:rPr>
      </w:r>
      <w:r w:rsidR="00A06305">
        <w:rPr>
          <w:lang w:val="en-GB"/>
        </w:rPr>
        <w:fldChar w:fldCharType="separate"/>
      </w:r>
      <w:r w:rsidR="00E62976">
        <w:rPr>
          <w:lang w:val="en-GB"/>
        </w:rPr>
        <w:t>[78]</w:t>
      </w:r>
      <w:r w:rsidR="00A06305">
        <w:rPr>
          <w:lang w:val="en-GB"/>
        </w:rPr>
        <w:fldChar w:fldCharType="end"/>
      </w:r>
      <w:r w:rsidR="00B60A9F" w:rsidRPr="00E20701">
        <w:rPr>
          <w:lang w:val="en-GB"/>
        </w:rPr>
        <w:t>.</w:t>
      </w:r>
    </w:p>
    <w:p w:rsidR="0026423A" w:rsidRPr="00E20701" w:rsidRDefault="0026423A" w:rsidP="00E62976">
      <w:pPr>
        <w:numPr>
          <w:ilvl w:val="0"/>
          <w:numId w:val="32"/>
        </w:numPr>
        <w:rPr>
          <w:lang w:val="en-GB"/>
        </w:rPr>
      </w:pPr>
      <w:r w:rsidRPr="00E20701">
        <w:rPr>
          <w:lang w:val="en-GB"/>
        </w:rPr>
        <w:t xml:space="preserve">PSA Methods supplemental to the PSA guide, promulgated 2005 </w:t>
      </w:r>
      <w:r w:rsidR="00A06305">
        <w:rPr>
          <w:lang w:val="en-GB"/>
        </w:rPr>
        <w:fldChar w:fldCharType="begin"/>
      </w:r>
      <w:r w:rsidR="00A06305">
        <w:rPr>
          <w:lang w:val="en-GB"/>
        </w:rPr>
        <w:instrText xml:space="preserve"> REF _Ref418689860 \r \h </w:instrText>
      </w:r>
      <w:r w:rsidR="00A06305">
        <w:rPr>
          <w:lang w:val="en-GB"/>
        </w:rPr>
      </w:r>
      <w:r w:rsidR="00A06305">
        <w:rPr>
          <w:lang w:val="en-GB"/>
        </w:rPr>
        <w:fldChar w:fldCharType="separate"/>
      </w:r>
      <w:r w:rsidR="00E62976">
        <w:rPr>
          <w:lang w:val="en-GB"/>
        </w:rPr>
        <w:t>[79]</w:t>
      </w:r>
      <w:r w:rsidR="00A06305">
        <w:rPr>
          <w:lang w:val="en-GB"/>
        </w:rPr>
        <w:fldChar w:fldCharType="end"/>
      </w:r>
      <w:r w:rsidR="00972E6E" w:rsidRPr="00FA7763" w:rsidDel="00972E6E">
        <w:rPr>
          <w:lang w:val="en-GB"/>
        </w:rPr>
        <w:t xml:space="preserve"> </w:t>
      </w:r>
    </w:p>
    <w:p w:rsidR="0026423A" w:rsidRPr="00E20701" w:rsidRDefault="00C3044B" w:rsidP="00972E6E">
      <w:pPr>
        <w:rPr>
          <w:lang w:val="en-GB"/>
        </w:rPr>
      </w:pPr>
      <w:r w:rsidRPr="00E20701">
        <w:rPr>
          <w:lang w:val="en-GB"/>
        </w:rPr>
        <w:t>Additional information is provided in a draft supplemental</w:t>
      </w:r>
      <w:r w:rsidR="007E7A24" w:rsidRPr="00E20701">
        <w:rPr>
          <w:lang w:val="en-GB"/>
        </w:rPr>
        <w:t xml:space="preserve"> </w:t>
      </w:r>
      <w:r w:rsidR="00A06305">
        <w:rPr>
          <w:lang w:val="en-GB"/>
        </w:rPr>
        <w:fldChar w:fldCharType="begin"/>
      </w:r>
      <w:r w:rsidR="00A06305">
        <w:rPr>
          <w:lang w:val="en-GB"/>
        </w:rPr>
        <w:instrText xml:space="preserve"> REF _Ref418691091 \r \h </w:instrText>
      </w:r>
      <w:r w:rsidR="00A06305">
        <w:rPr>
          <w:lang w:val="en-GB"/>
        </w:rPr>
      </w:r>
      <w:r w:rsidR="00A06305">
        <w:rPr>
          <w:lang w:val="en-GB"/>
        </w:rPr>
        <w:fldChar w:fldCharType="separate"/>
      </w:r>
      <w:r w:rsidR="00E62976">
        <w:rPr>
          <w:lang w:val="en-GB"/>
        </w:rPr>
        <w:t>[80]</w:t>
      </w:r>
      <w:r w:rsidR="00A06305">
        <w:rPr>
          <w:lang w:val="en-GB"/>
        </w:rPr>
        <w:fldChar w:fldCharType="end"/>
      </w:r>
      <w:r w:rsidRPr="00E20701">
        <w:rPr>
          <w:lang w:val="en-GB"/>
        </w:rPr>
        <w:t xml:space="preserve"> to the </w:t>
      </w:r>
      <w:r w:rsidR="00A06305">
        <w:rPr>
          <w:lang w:val="en-GB"/>
        </w:rPr>
        <w:t xml:space="preserve">previous </w:t>
      </w:r>
      <w:r w:rsidRPr="00E20701">
        <w:rPr>
          <w:lang w:val="en-GB"/>
        </w:rPr>
        <w:t>PSA methods publication</w:t>
      </w:r>
      <w:r w:rsidR="00A06305">
        <w:rPr>
          <w:lang w:val="en-GB"/>
        </w:rPr>
        <w:t>s</w:t>
      </w:r>
      <w:r w:rsidRPr="00E20701">
        <w:rPr>
          <w:lang w:val="en-GB"/>
        </w:rPr>
        <w:t>.</w:t>
      </w:r>
    </w:p>
    <w:p w:rsidR="0002000D" w:rsidRPr="00E20701" w:rsidRDefault="0002000D" w:rsidP="00C70893">
      <w:pPr>
        <w:rPr>
          <w:lang w:val="en-GB"/>
        </w:rPr>
      </w:pPr>
      <w:r w:rsidRPr="00E20701">
        <w:rPr>
          <w:lang w:val="en-GB"/>
        </w:rPr>
        <w:t>Regarding the identification of (potential) initiating events for safety demonstrations (mainly deterministic demonstrations)</w:t>
      </w:r>
      <w:r w:rsidR="00D03862" w:rsidRPr="00E20701">
        <w:rPr>
          <w:lang w:val="en-GB"/>
        </w:rPr>
        <w:t>, the following high-level requirements apply</w:t>
      </w:r>
      <w:r w:rsidR="00A06305">
        <w:rPr>
          <w:lang w:val="en-GB"/>
        </w:rPr>
        <w:t>:</w:t>
      </w:r>
    </w:p>
    <w:p w:rsidR="00D03862" w:rsidRPr="00E20701" w:rsidRDefault="00D03862" w:rsidP="00E62976">
      <w:pPr>
        <w:numPr>
          <w:ilvl w:val="0"/>
          <w:numId w:val="34"/>
        </w:numPr>
        <w:rPr>
          <w:lang w:val="en-GB"/>
        </w:rPr>
      </w:pPr>
      <w:r w:rsidRPr="00E20701">
        <w:rPr>
          <w:lang w:val="en-GB"/>
        </w:rPr>
        <w:t>Anticipated operational occurrences (on DiD Level 2) are events, which are to be expected during the lifetime of the plant,</w:t>
      </w:r>
    </w:p>
    <w:p w:rsidR="00D03862" w:rsidRPr="00E20701" w:rsidRDefault="00D03862" w:rsidP="00E62976">
      <w:pPr>
        <w:numPr>
          <w:ilvl w:val="0"/>
          <w:numId w:val="34"/>
        </w:numPr>
        <w:rPr>
          <w:lang w:val="en-GB"/>
        </w:rPr>
      </w:pPr>
      <w:r w:rsidRPr="00E20701">
        <w:rPr>
          <w:lang w:val="en-GB"/>
        </w:rPr>
        <w:t>An enveloping spectrum of design basis events (on DiD Level 3) is determined, which are not expected during the lifetime of the plant, but are to be assumed.</w:t>
      </w:r>
    </w:p>
    <w:p w:rsidR="008D792C" w:rsidRPr="00E20701" w:rsidRDefault="008D792C" w:rsidP="00E62976">
      <w:pPr>
        <w:numPr>
          <w:ilvl w:val="0"/>
          <w:numId w:val="34"/>
        </w:numPr>
        <w:rPr>
          <w:lang w:val="en-GB"/>
        </w:rPr>
      </w:pPr>
      <w:r w:rsidRPr="00E20701">
        <w:rPr>
          <w:lang w:val="en-GB"/>
        </w:rPr>
        <w:t>Hazard events shall consider the most onerous effects for each hazard, and a potential long duration of natural hazard events. Additionally, the combinations of hazards with other hazards or internal events shall be considered, if combined events are correlated or if the severity of the combination and its frequency of occurrence merit a consideration.</w:t>
      </w:r>
    </w:p>
    <w:p w:rsidR="00291E3F" w:rsidRPr="00E20701" w:rsidRDefault="00291E3F" w:rsidP="00E62976">
      <w:pPr>
        <w:numPr>
          <w:ilvl w:val="0"/>
          <w:numId w:val="34"/>
        </w:numPr>
        <w:rPr>
          <w:lang w:val="en-GB"/>
        </w:rPr>
      </w:pPr>
      <w:r w:rsidRPr="00E20701">
        <w:rPr>
          <w:lang w:val="en-GB"/>
        </w:rPr>
        <w:t xml:space="preserve">For the planning of severe accident management (on DiD Level 4), events with multiple failure scenarios shall be taken into account. </w:t>
      </w:r>
      <w:r w:rsidR="00552AD6" w:rsidRPr="00E20701">
        <w:rPr>
          <w:lang w:val="en-GB"/>
        </w:rPr>
        <w:t xml:space="preserve">Results from PSA Level 1 and Level 2 regarding likely scenarios shall be considered. Analysed event scenarios should include transients, LOCAs in the containment, interfacing LOCAs, </w:t>
      </w:r>
      <w:r w:rsidR="0072744E" w:rsidRPr="00E20701">
        <w:rPr>
          <w:lang w:val="en-GB"/>
        </w:rPr>
        <w:t xml:space="preserve">and </w:t>
      </w:r>
      <w:r w:rsidR="00552AD6" w:rsidRPr="00E20701">
        <w:rPr>
          <w:lang w:val="en-GB"/>
        </w:rPr>
        <w:t>hazard impact</w:t>
      </w:r>
      <w:r w:rsidR="0072744E" w:rsidRPr="00E20701">
        <w:rPr>
          <w:lang w:val="en-GB"/>
        </w:rPr>
        <w:t xml:space="preserve"> events.</w:t>
      </w:r>
    </w:p>
    <w:p w:rsidR="0072744E" w:rsidRPr="00E20701" w:rsidRDefault="0072744E" w:rsidP="00E62976">
      <w:pPr>
        <w:numPr>
          <w:ilvl w:val="0"/>
          <w:numId w:val="34"/>
        </w:numPr>
        <w:rPr>
          <w:lang w:val="en-GB"/>
        </w:rPr>
      </w:pPr>
      <w:r w:rsidRPr="00E20701">
        <w:rPr>
          <w:lang w:val="en-GB"/>
        </w:rPr>
        <w:t>A comprehensive and enveloping spectrum of PIE specific to the plant shall be determined.</w:t>
      </w:r>
    </w:p>
    <w:p w:rsidR="0072744E" w:rsidRPr="00E20701" w:rsidRDefault="006D3DE2" w:rsidP="00C70893">
      <w:pPr>
        <w:rPr>
          <w:lang w:val="en-GB"/>
        </w:rPr>
      </w:pPr>
      <w:r w:rsidRPr="00E20701">
        <w:rPr>
          <w:lang w:val="en-GB"/>
        </w:rPr>
        <w:t>The safety requirements provide additional guidance on the scope of events to be considered on DiD Level 2, 3, and 4 in two annexes.</w:t>
      </w:r>
    </w:p>
    <w:p w:rsidR="0072744E" w:rsidRPr="00E20701" w:rsidRDefault="006D3DE2" w:rsidP="00C70893">
      <w:pPr>
        <w:rPr>
          <w:lang w:val="en-GB"/>
        </w:rPr>
      </w:pPr>
      <w:r w:rsidRPr="00E20701">
        <w:rPr>
          <w:lang w:val="en-GB"/>
        </w:rPr>
        <w:t xml:space="preserve">In annex 2, the safety requirements provide lists of </w:t>
      </w:r>
      <w:r w:rsidR="0072744E" w:rsidRPr="00E20701">
        <w:rPr>
          <w:lang w:val="en-GB"/>
        </w:rPr>
        <w:t xml:space="preserve">internal events </w:t>
      </w:r>
      <w:r w:rsidRPr="00E20701">
        <w:rPr>
          <w:lang w:val="en-GB"/>
        </w:rPr>
        <w:t xml:space="preserve">PIE for PWR and BWR reactor designs by level of DiD. For each PIE, the affected technical safety goals, the applicable operating modes, and additional remarks and boundary conditions are given. The lists are based on a master logic </w:t>
      </w:r>
      <w:r w:rsidR="00866CA9" w:rsidRPr="00E20701">
        <w:rPr>
          <w:lang w:val="en-GB"/>
        </w:rPr>
        <w:t>diagram approach</w:t>
      </w:r>
      <w:r w:rsidRPr="00E20701">
        <w:rPr>
          <w:lang w:val="en-GB"/>
        </w:rPr>
        <w:t xml:space="preserve"> in line with SSG-2</w:t>
      </w:r>
      <w:r w:rsidR="00866CA9" w:rsidRPr="00E20701">
        <w:rPr>
          <w:lang w:val="en-GB"/>
        </w:rPr>
        <w:t xml:space="preserve"> </w:t>
      </w:r>
      <w:r w:rsidR="00125AF4" w:rsidRPr="00FA7763">
        <w:rPr>
          <w:lang w:val="en-GB"/>
        </w:rPr>
        <w:fldChar w:fldCharType="begin"/>
      </w:r>
      <w:r w:rsidR="00866CA9" w:rsidRPr="00E20701">
        <w:rPr>
          <w:lang w:val="en-GB"/>
        </w:rPr>
        <w:instrText xml:space="preserve"> REF _Ref384387949 \r \h </w:instrText>
      </w:r>
      <w:r w:rsidR="00125AF4" w:rsidRPr="00FA7763">
        <w:rPr>
          <w:lang w:val="en-GB"/>
        </w:rPr>
      </w:r>
      <w:r w:rsidR="00125AF4" w:rsidRPr="00FA7763">
        <w:rPr>
          <w:lang w:val="en-GB"/>
        </w:rPr>
        <w:fldChar w:fldCharType="separate"/>
      </w:r>
      <w:r w:rsidR="00E62976">
        <w:rPr>
          <w:lang w:val="en-GB"/>
        </w:rPr>
        <w:t>[3]</w:t>
      </w:r>
      <w:r w:rsidR="00125AF4" w:rsidRPr="00FA7763">
        <w:rPr>
          <w:lang w:val="en-GB"/>
        </w:rPr>
        <w:fldChar w:fldCharType="end"/>
      </w:r>
      <w:r w:rsidR="00866CA9" w:rsidRPr="00E20701">
        <w:rPr>
          <w:lang w:val="en-GB"/>
        </w:rPr>
        <w:t xml:space="preserve"> and SSG-3 </w:t>
      </w:r>
      <w:r w:rsidR="00125AF4" w:rsidRPr="00FA7763">
        <w:rPr>
          <w:lang w:val="en-GB"/>
        </w:rPr>
        <w:fldChar w:fldCharType="begin"/>
      </w:r>
      <w:r w:rsidR="00866CA9" w:rsidRPr="00E20701">
        <w:rPr>
          <w:lang w:val="en-GB"/>
        </w:rPr>
        <w:instrText xml:space="preserve"> REF _Ref384386913 \r \h </w:instrText>
      </w:r>
      <w:r w:rsidR="00125AF4" w:rsidRPr="00FA7763">
        <w:rPr>
          <w:lang w:val="en-GB"/>
        </w:rPr>
      </w:r>
      <w:r w:rsidR="00125AF4" w:rsidRPr="00FA7763">
        <w:rPr>
          <w:lang w:val="en-GB"/>
        </w:rPr>
        <w:fldChar w:fldCharType="separate"/>
      </w:r>
      <w:r w:rsidR="00E62976">
        <w:rPr>
          <w:lang w:val="en-GB"/>
        </w:rPr>
        <w:t>[4]</w:t>
      </w:r>
      <w:r w:rsidR="00125AF4" w:rsidRPr="00FA7763">
        <w:rPr>
          <w:lang w:val="en-GB"/>
        </w:rPr>
        <w:fldChar w:fldCharType="end"/>
      </w:r>
      <w:r w:rsidRPr="00E20701">
        <w:rPr>
          <w:lang w:val="en-GB"/>
        </w:rPr>
        <w:t xml:space="preserve">, </w:t>
      </w:r>
      <w:r w:rsidR="00866CA9" w:rsidRPr="00E20701">
        <w:rPr>
          <w:lang w:val="en-GB"/>
        </w:rPr>
        <w:t>supplemented by operating experience with these reactor types.</w:t>
      </w:r>
      <w:r w:rsidR="008D792C" w:rsidRPr="00E20701">
        <w:rPr>
          <w:lang w:val="en-GB"/>
        </w:rPr>
        <w:t xml:space="preserve"> </w:t>
      </w:r>
      <w:r w:rsidR="00866CA9" w:rsidRPr="00E20701">
        <w:rPr>
          <w:lang w:val="en-GB"/>
        </w:rPr>
        <w:t xml:space="preserve">The lists in annex 2 include PIE specific to the spent fuel pool </w:t>
      </w:r>
      <w:r w:rsidR="00A06305">
        <w:rPr>
          <w:lang w:val="en-GB"/>
        </w:rPr>
        <w:fldChar w:fldCharType="begin"/>
      </w:r>
      <w:r w:rsidR="00A06305">
        <w:rPr>
          <w:lang w:val="en-GB"/>
        </w:rPr>
        <w:instrText xml:space="preserve"> REF _Ref418689856 \r \h </w:instrText>
      </w:r>
      <w:r w:rsidR="00A06305">
        <w:rPr>
          <w:lang w:val="en-GB"/>
        </w:rPr>
      </w:r>
      <w:r w:rsidR="00A06305">
        <w:rPr>
          <w:lang w:val="en-GB"/>
        </w:rPr>
        <w:fldChar w:fldCharType="separate"/>
      </w:r>
      <w:r w:rsidR="00E62976">
        <w:rPr>
          <w:lang w:val="en-GB"/>
        </w:rPr>
        <w:t>[76]</w:t>
      </w:r>
      <w:r w:rsidR="00A06305">
        <w:rPr>
          <w:lang w:val="en-GB"/>
        </w:rPr>
        <w:fldChar w:fldCharType="end"/>
      </w:r>
      <w:r w:rsidR="00866CA9" w:rsidRPr="00E20701">
        <w:rPr>
          <w:lang w:val="en-GB"/>
        </w:rPr>
        <w:t xml:space="preserve">. Moreover, reference </w:t>
      </w:r>
      <w:r w:rsidR="00A06305">
        <w:rPr>
          <w:lang w:val="en-GB"/>
        </w:rPr>
        <w:fldChar w:fldCharType="begin"/>
      </w:r>
      <w:r w:rsidR="00A06305">
        <w:rPr>
          <w:lang w:val="en-GB"/>
        </w:rPr>
        <w:instrText xml:space="preserve"> REF _Ref418689856 \r \h </w:instrText>
      </w:r>
      <w:r w:rsidR="00A06305">
        <w:rPr>
          <w:lang w:val="en-GB"/>
        </w:rPr>
      </w:r>
      <w:r w:rsidR="00A06305">
        <w:rPr>
          <w:lang w:val="en-GB"/>
        </w:rPr>
        <w:fldChar w:fldCharType="separate"/>
      </w:r>
      <w:r w:rsidR="00E62976">
        <w:rPr>
          <w:lang w:val="en-GB"/>
        </w:rPr>
        <w:t>[76]</w:t>
      </w:r>
      <w:r w:rsidR="00A06305">
        <w:rPr>
          <w:lang w:val="en-GB"/>
        </w:rPr>
        <w:fldChar w:fldCharType="end"/>
      </w:r>
      <w:r w:rsidR="00866CA9" w:rsidRPr="00E20701">
        <w:rPr>
          <w:lang w:val="en-GB"/>
        </w:rPr>
        <w:t xml:space="preserve"> also defines acceptance criteria for the technical safety goals (control of reactivity, cooling of fuel, and confinement of radioactivity) for the DiD levels 2, 3, and 4. </w:t>
      </w:r>
      <w:r w:rsidR="008D3531" w:rsidRPr="00E20701">
        <w:rPr>
          <w:lang w:val="en-GB"/>
        </w:rPr>
        <w:t xml:space="preserve">For several events, additional requirements and commentary is provided in </w:t>
      </w:r>
      <w:r w:rsidR="00A06305">
        <w:rPr>
          <w:lang w:val="en-GB"/>
        </w:rPr>
        <w:fldChar w:fldCharType="begin"/>
      </w:r>
      <w:r w:rsidR="00A06305">
        <w:rPr>
          <w:lang w:val="en-GB"/>
        </w:rPr>
        <w:instrText xml:space="preserve"> REF _Ref418689857 \r \h </w:instrText>
      </w:r>
      <w:r w:rsidR="00A06305">
        <w:rPr>
          <w:lang w:val="en-GB"/>
        </w:rPr>
      </w:r>
      <w:r w:rsidR="00A06305">
        <w:rPr>
          <w:lang w:val="en-GB"/>
        </w:rPr>
        <w:fldChar w:fldCharType="separate"/>
      </w:r>
      <w:r w:rsidR="00E62976">
        <w:rPr>
          <w:lang w:val="en-GB"/>
        </w:rPr>
        <w:t>[77]</w:t>
      </w:r>
      <w:r w:rsidR="00A06305">
        <w:rPr>
          <w:lang w:val="en-GB"/>
        </w:rPr>
        <w:fldChar w:fldCharType="end"/>
      </w:r>
      <w:r w:rsidR="008D3531" w:rsidRPr="00E20701">
        <w:rPr>
          <w:lang w:val="en-GB"/>
        </w:rPr>
        <w:t>.</w:t>
      </w:r>
    </w:p>
    <w:p w:rsidR="005E2764" w:rsidRPr="00E20701" w:rsidRDefault="0072744E" w:rsidP="00C70893">
      <w:pPr>
        <w:rPr>
          <w:lang w:val="en-GB"/>
        </w:rPr>
      </w:pPr>
      <w:r w:rsidRPr="00E20701">
        <w:rPr>
          <w:lang w:val="en-GB"/>
        </w:rPr>
        <w:t>In addition, further requirements on the scope of hazard impact investigations</w:t>
      </w:r>
      <w:r w:rsidR="00A06305">
        <w:rPr>
          <w:lang w:val="en-GB"/>
        </w:rPr>
        <w:t xml:space="preserve"> are provided</w:t>
      </w:r>
      <w:r w:rsidRPr="00E20701">
        <w:rPr>
          <w:lang w:val="en-GB"/>
        </w:rPr>
        <w:t xml:space="preserve">. </w:t>
      </w:r>
      <w:r w:rsidR="005E2764" w:rsidRPr="00E20701">
        <w:rPr>
          <w:lang w:val="en-GB"/>
        </w:rPr>
        <w:t xml:space="preserve">First, for all hazard impacts, potential </w:t>
      </w:r>
      <w:r w:rsidR="001928BF">
        <w:rPr>
          <w:lang w:val="en-GB"/>
        </w:rPr>
        <w:t>consequential</w:t>
      </w:r>
      <w:r w:rsidR="005E2764" w:rsidRPr="00E20701">
        <w:rPr>
          <w:lang w:val="en-GB"/>
        </w:rPr>
        <w:t xml:space="preserve"> effects related to</w:t>
      </w:r>
    </w:p>
    <w:p w:rsidR="005E2764" w:rsidRPr="00E20701" w:rsidRDefault="00AB197E" w:rsidP="00E62976">
      <w:pPr>
        <w:numPr>
          <w:ilvl w:val="0"/>
          <w:numId w:val="34"/>
        </w:numPr>
        <w:rPr>
          <w:lang w:val="en-GB"/>
        </w:rPr>
      </w:pPr>
      <w:r w:rsidRPr="00E20701">
        <w:rPr>
          <w:lang w:val="en-GB"/>
        </w:rPr>
        <w:t>i</w:t>
      </w:r>
      <w:r w:rsidR="005E2764" w:rsidRPr="00E20701">
        <w:rPr>
          <w:lang w:val="en-GB"/>
        </w:rPr>
        <w:t>nternal flooding,</w:t>
      </w:r>
    </w:p>
    <w:p w:rsidR="005E2764" w:rsidRPr="00E20701" w:rsidRDefault="00AB197E" w:rsidP="00E62976">
      <w:pPr>
        <w:numPr>
          <w:ilvl w:val="0"/>
          <w:numId w:val="34"/>
        </w:numPr>
        <w:rPr>
          <w:lang w:val="en-GB"/>
        </w:rPr>
      </w:pPr>
      <w:r w:rsidRPr="00E20701">
        <w:rPr>
          <w:lang w:val="en-GB"/>
        </w:rPr>
        <w:t>i</w:t>
      </w:r>
      <w:r w:rsidR="005E2764" w:rsidRPr="00E20701">
        <w:rPr>
          <w:lang w:val="en-GB"/>
        </w:rPr>
        <w:t>nternal fire and explosion,</w:t>
      </w:r>
    </w:p>
    <w:p w:rsidR="005E2764" w:rsidRPr="00E20701" w:rsidRDefault="00AB197E" w:rsidP="00E62976">
      <w:pPr>
        <w:numPr>
          <w:ilvl w:val="0"/>
          <w:numId w:val="34"/>
        </w:numPr>
        <w:rPr>
          <w:lang w:val="en-GB"/>
        </w:rPr>
      </w:pPr>
      <w:r w:rsidRPr="00E20701">
        <w:rPr>
          <w:lang w:val="en-GB"/>
        </w:rPr>
        <w:t>i</w:t>
      </w:r>
      <w:r w:rsidR="005E2764" w:rsidRPr="00E20701">
        <w:rPr>
          <w:lang w:val="en-GB"/>
        </w:rPr>
        <w:t>ncreased radiation level,</w:t>
      </w:r>
    </w:p>
    <w:p w:rsidR="005E2764" w:rsidRPr="00E20701" w:rsidRDefault="00AB197E" w:rsidP="00E62976">
      <w:pPr>
        <w:numPr>
          <w:ilvl w:val="0"/>
          <w:numId w:val="34"/>
        </w:numPr>
        <w:rPr>
          <w:lang w:val="en-GB"/>
        </w:rPr>
      </w:pPr>
      <w:r w:rsidRPr="00E20701">
        <w:rPr>
          <w:lang w:val="en-GB"/>
        </w:rPr>
        <w:t>r</w:t>
      </w:r>
      <w:r w:rsidR="005E2764" w:rsidRPr="00E20701">
        <w:rPr>
          <w:lang w:val="en-GB"/>
        </w:rPr>
        <w:t>eactions by chemicals,</w:t>
      </w:r>
    </w:p>
    <w:p w:rsidR="005E2764" w:rsidRPr="00E20701" w:rsidRDefault="00AB197E" w:rsidP="00E62976">
      <w:pPr>
        <w:numPr>
          <w:ilvl w:val="0"/>
          <w:numId w:val="34"/>
        </w:numPr>
        <w:rPr>
          <w:lang w:val="en-GB"/>
        </w:rPr>
      </w:pPr>
      <w:r w:rsidRPr="00E20701">
        <w:rPr>
          <w:lang w:val="en-GB"/>
        </w:rPr>
        <w:t>m</w:t>
      </w:r>
      <w:r w:rsidR="005E2764" w:rsidRPr="00E20701">
        <w:rPr>
          <w:lang w:val="en-GB"/>
        </w:rPr>
        <w:t>alfunctions in the power supply, I&amp;C or process-related components,</w:t>
      </w:r>
    </w:p>
    <w:p w:rsidR="005E2764" w:rsidRPr="00E20701" w:rsidRDefault="00AB197E" w:rsidP="00E62976">
      <w:pPr>
        <w:numPr>
          <w:ilvl w:val="0"/>
          <w:numId w:val="34"/>
        </w:numPr>
        <w:rPr>
          <w:lang w:val="en-GB"/>
        </w:rPr>
      </w:pPr>
      <w:r w:rsidRPr="00E20701">
        <w:rPr>
          <w:lang w:val="en-GB"/>
        </w:rPr>
        <w:t>p</w:t>
      </w:r>
      <w:r w:rsidR="005E2764" w:rsidRPr="00E20701">
        <w:rPr>
          <w:lang w:val="en-GB"/>
        </w:rPr>
        <w:t>ressure increase or changes to pressure differences,</w:t>
      </w:r>
    </w:p>
    <w:p w:rsidR="005E2764" w:rsidRPr="00E20701" w:rsidRDefault="00AB197E" w:rsidP="00E62976">
      <w:pPr>
        <w:numPr>
          <w:ilvl w:val="0"/>
          <w:numId w:val="34"/>
        </w:numPr>
        <w:rPr>
          <w:lang w:val="en-GB"/>
        </w:rPr>
      </w:pPr>
      <w:r w:rsidRPr="00E20701">
        <w:rPr>
          <w:lang w:val="en-GB"/>
        </w:rPr>
        <w:t>t</w:t>
      </w:r>
      <w:r w:rsidR="005E2764" w:rsidRPr="00E20701">
        <w:rPr>
          <w:lang w:val="en-GB"/>
        </w:rPr>
        <w:t>emperature or moisture increase,</w:t>
      </w:r>
    </w:p>
    <w:p w:rsidR="005E2764" w:rsidRPr="00E20701" w:rsidRDefault="00AB197E" w:rsidP="00E62976">
      <w:pPr>
        <w:numPr>
          <w:ilvl w:val="0"/>
          <w:numId w:val="34"/>
        </w:numPr>
        <w:rPr>
          <w:lang w:val="en-GB"/>
        </w:rPr>
      </w:pPr>
      <w:r w:rsidRPr="00E20701">
        <w:rPr>
          <w:lang w:val="en-GB"/>
        </w:rPr>
        <w:t>m</w:t>
      </w:r>
      <w:r w:rsidR="005E2764" w:rsidRPr="00E20701">
        <w:rPr>
          <w:lang w:val="en-GB"/>
        </w:rPr>
        <w:t>issiles or debris impact, including dropping loads,</w:t>
      </w:r>
    </w:p>
    <w:p w:rsidR="005E2764" w:rsidRPr="00E20701" w:rsidRDefault="00AB197E" w:rsidP="00E62976">
      <w:pPr>
        <w:numPr>
          <w:ilvl w:val="0"/>
          <w:numId w:val="34"/>
        </w:numPr>
        <w:rPr>
          <w:lang w:val="en-GB"/>
        </w:rPr>
      </w:pPr>
      <w:r w:rsidRPr="00E20701">
        <w:rPr>
          <w:lang w:val="en-GB"/>
        </w:rPr>
        <w:t>j</w:t>
      </w:r>
      <w:r w:rsidR="005E2764" w:rsidRPr="00E20701">
        <w:rPr>
          <w:lang w:val="en-GB"/>
        </w:rPr>
        <w:t>et or reaction forces</w:t>
      </w:r>
    </w:p>
    <w:p w:rsidR="008D3531" w:rsidRPr="00E20701" w:rsidRDefault="005E2764" w:rsidP="00C70893">
      <w:pPr>
        <w:rPr>
          <w:lang w:val="en-GB"/>
        </w:rPr>
      </w:pPr>
      <w:r w:rsidRPr="00E20701">
        <w:rPr>
          <w:lang w:val="en-GB"/>
        </w:rPr>
        <w:t>need to be considered.</w:t>
      </w:r>
    </w:p>
    <w:p w:rsidR="008F3A7F" w:rsidRPr="00E20701" w:rsidRDefault="005E2764" w:rsidP="00C70893">
      <w:pPr>
        <w:rPr>
          <w:lang w:val="en-GB"/>
        </w:rPr>
      </w:pPr>
      <w:r w:rsidRPr="00E20701">
        <w:rPr>
          <w:lang w:val="en-GB"/>
        </w:rPr>
        <w:t xml:space="preserve">Regarding internal hazards, the </w:t>
      </w:r>
      <w:r w:rsidR="008F3A7F" w:rsidRPr="00E20701">
        <w:rPr>
          <w:lang w:val="en-GB"/>
        </w:rPr>
        <w:t xml:space="preserve">following </w:t>
      </w:r>
      <w:r w:rsidRPr="00E20701">
        <w:rPr>
          <w:lang w:val="en-GB"/>
        </w:rPr>
        <w:t xml:space="preserve">groups of </w:t>
      </w:r>
      <w:r w:rsidR="008F3A7F" w:rsidRPr="00E20701">
        <w:rPr>
          <w:lang w:val="en-GB"/>
        </w:rPr>
        <w:t>hazard events have to be investigated</w:t>
      </w:r>
      <w:r w:rsidR="00161A35">
        <w:rPr>
          <w:lang w:val="en-GB"/>
        </w:rPr>
        <w:t>:</w:t>
      </w:r>
    </w:p>
    <w:p w:rsidR="008F3A7F" w:rsidRPr="00E20701" w:rsidRDefault="005E2764" w:rsidP="00E62976">
      <w:pPr>
        <w:numPr>
          <w:ilvl w:val="0"/>
          <w:numId w:val="34"/>
        </w:numPr>
        <w:rPr>
          <w:lang w:val="en-GB"/>
        </w:rPr>
      </w:pPr>
      <w:r w:rsidRPr="00E20701">
        <w:rPr>
          <w:lang w:val="en-GB"/>
        </w:rPr>
        <w:t xml:space="preserve">internal fire, </w:t>
      </w:r>
    </w:p>
    <w:p w:rsidR="008F3A7F" w:rsidRPr="00E20701" w:rsidRDefault="005E2764" w:rsidP="00E62976">
      <w:pPr>
        <w:numPr>
          <w:ilvl w:val="0"/>
          <w:numId w:val="34"/>
        </w:numPr>
        <w:rPr>
          <w:lang w:val="en-GB"/>
        </w:rPr>
      </w:pPr>
      <w:r w:rsidRPr="00E20701">
        <w:rPr>
          <w:lang w:val="en-GB"/>
        </w:rPr>
        <w:t xml:space="preserve">internal flooding, </w:t>
      </w:r>
    </w:p>
    <w:p w:rsidR="008F3A7F" w:rsidRPr="00E20701" w:rsidRDefault="005E2764" w:rsidP="00E62976">
      <w:pPr>
        <w:numPr>
          <w:ilvl w:val="0"/>
          <w:numId w:val="34"/>
        </w:numPr>
        <w:rPr>
          <w:lang w:val="en-GB"/>
        </w:rPr>
      </w:pPr>
      <w:r w:rsidRPr="00E20701">
        <w:rPr>
          <w:lang w:val="en-GB"/>
        </w:rPr>
        <w:t>component failures (missiles and debris impact, jet and reaction forces),</w:t>
      </w:r>
    </w:p>
    <w:p w:rsidR="008F3A7F" w:rsidRPr="00E20701" w:rsidRDefault="005E2764" w:rsidP="00E62976">
      <w:pPr>
        <w:numPr>
          <w:ilvl w:val="0"/>
          <w:numId w:val="34"/>
        </w:numPr>
        <w:rPr>
          <w:lang w:val="en-GB"/>
        </w:rPr>
      </w:pPr>
      <w:r w:rsidRPr="00E20701">
        <w:rPr>
          <w:lang w:val="en-GB"/>
        </w:rPr>
        <w:t>breaks in high</w:t>
      </w:r>
      <w:r w:rsidR="008F3A7F" w:rsidRPr="00E20701">
        <w:rPr>
          <w:lang w:val="en-GB"/>
        </w:rPr>
        <w:t>-energy piping,</w:t>
      </w:r>
    </w:p>
    <w:p w:rsidR="008F3A7F" w:rsidRPr="00E20701" w:rsidRDefault="008F3A7F" w:rsidP="00E62976">
      <w:pPr>
        <w:numPr>
          <w:ilvl w:val="0"/>
          <w:numId w:val="34"/>
        </w:numPr>
        <w:rPr>
          <w:lang w:val="en-GB"/>
        </w:rPr>
      </w:pPr>
      <w:r w:rsidRPr="00E20701">
        <w:rPr>
          <w:lang w:val="en-GB"/>
        </w:rPr>
        <w:t>dropped loads,</w:t>
      </w:r>
    </w:p>
    <w:p w:rsidR="008F3A7F" w:rsidRPr="00E20701" w:rsidRDefault="008F3A7F" w:rsidP="00E62976">
      <w:pPr>
        <w:numPr>
          <w:ilvl w:val="0"/>
          <w:numId w:val="34"/>
        </w:numPr>
        <w:rPr>
          <w:lang w:val="en-GB"/>
        </w:rPr>
      </w:pPr>
      <w:r w:rsidRPr="00E20701">
        <w:rPr>
          <w:lang w:val="en-GB"/>
        </w:rPr>
        <w:t>electromagnetic interference,</w:t>
      </w:r>
    </w:p>
    <w:p w:rsidR="008F3A7F" w:rsidRPr="00E20701" w:rsidRDefault="008F3A7F" w:rsidP="00E62976">
      <w:pPr>
        <w:numPr>
          <w:ilvl w:val="0"/>
          <w:numId w:val="34"/>
        </w:numPr>
        <w:rPr>
          <w:lang w:val="en-GB"/>
        </w:rPr>
      </w:pPr>
      <w:r w:rsidRPr="00E20701">
        <w:rPr>
          <w:lang w:val="en-GB"/>
        </w:rPr>
        <w:t>collision of vehicles with SSC,</w:t>
      </w:r>
    </w:p>
    <w:p w:rsidR="00D03862" w:rsidRPr="00E20701" w:rsidRDefault="008F3A7F" w:rsidP="00E62976">
      <w:pPr>
        <w:numPr>
          <w:ilvl w:val="0"/>
          <w:numId w:val="34"/>
        </w:numPr>
        <w:rPr>
          <w:lang w:val="en-GB"/>
        </w:rPr>
      </w:pPr>
      <w:r w:rsidRPr="00E20701">
        <w:rPr>
          <w:lang w:val="en-GB"/>
        </w:rPr>
        <w:t>internal explosions.</w:t>
      </w:r>
    </w:p>
    <w:p w:rsidR="00D03862" w:rsidRPr="00E20701" w:rsidRDefault="008F3A7F" w:rsidP="00C70893">
      <w:pPr>
        <w:rPr>
          <w:lang w:val="en-GB"/>
        </w:rPr>
      </w:pPr>
      <w:r w:rsidRPr="00E20701">
        <w:rPr>
          <w:lang w:val="en-GB"/>
        </w:rPr>
        <w:t xml:space="preserve">For multi-unit sites, it has to be demonstrated that internal hazard events in one unit do not impact on the safety of an adjacent unit. However, no specific requirements for identifying initiating events (PIE) for these </w:t>
      </w:r>
      <w:r w:rsidR="008D3531" w:rsidRPr="00E20701">
        <w:rPr>
          <w:lang w:val="en-GB"/>
        </w:rPr>
        <w:t xml:space="preserve">hazard </w:t>
      </w:r>
      <w:r w:rsidRPr="00E20701">
        <w:rPr>
          <w:lang w:val="en-GB"/>
        </w:rPr>
        <w:t>events or for determining their frequency of occurrence are stated.</w:t>
      </w:r>
    </w:p>
    <w:p w:rsidR="00D03862" w:rsidRPr="00C70893" w:rsidRDefault="008D3531" w:rsidP="00C70893">
      <w:pPr>
        <w:rPr>
          <w:lang w:val="en-GB"/>
        </w:rPr>
      </w:pPr>
      <w:r w:rsidRPr="00C70893">
        <w:rPr>
          <w:lang w:val="en-GB"/>
        </w:rPr>
        <w:t>Regarding external hazards, annex 3 of</w:t>
      </w:r>
      <w:r w:rsidRPr="00E20701">
        <w:rPr>
          <w:lang w:val="en-GB"/>
        </w:rPr>
        <w:t xml:space="preserve"> </w:t>
      </w:r>
      <w:r w:rsidR="00A06305">
        <w:rPr>
          <w:lang w:val="en-GB"/>
        </w:rPr>
        <w:fldChar w:fldCharType="begin"/>
      </w:r>
      <w:r w:rsidR="00A06305">
        <w:rPr>
          <w:lang w:val="en-GB"/>
        </w:rPr>
        <w:instrText xml:space="preserve"> REF _Ref418689856 \r \h </w:instrText>
      </w:r>
      <w:r w:rsidR="00A06305">
        <w:rPr>
          <w:lang w:val="en-GB"/>
        </w:rPr>
      </w:r>
      <w:r w:rsidR="00A06305">
        <w:rPr>
          <w:lang w:val="en-GB"/>
        </w:rPr>
        <w:fldChar w:fldCharType="separate"/>
      </w:r>
      <w:r w:rsidR="00E62976">
        <w:rPr>
          <w:lang w:val="en-GB"/>
        </w:rPr>
        <w:t>[76]</w:t>
      </w:r>
      <w:r w:rsidR="00A06305">
        <w:rPr>
          <w:lang w:val="en-GB"/>
        </w:rPr>
        <w:fldChar w:fldCharType="end"/>
      </w:r>
      <w:r w:rsidRPr="00E20701">
        <w:rPr>
          <w:lang w:val="en-GB"/>
        </w:rPr>
        <w:t xml:space="preserve"> </w:t>
      </w:r>
      <w:r w:rsidRPr="00C70893">
        <w:rPr>
          <w:lang w:val="en-GB"/>
        </w:rPr>
        <w:t xml:space="preserve">requests a comprehensive and complete identification and evaluation of potential external hazard events. Enveloping events (and event scenarios) shall be defined. </w:t>
      </w:r>
      <w:r w:rsidR="00547BDD" w:rsidRPr="00C70893">
        <w:rPr>
          <w:lang w:val="en-GB"/>
        </w:rPr>
        <w:t>For the following groups of hazards, further specifications on investigations and analyses are given.</w:t>
      </w:r>
    </w:p>
    <w:p w:rsidR="00547BDD" w:rsidRPr="001928BF" w:rsidRDefault="001928BF" w:rsidP="00E62976">
      <w:pPr>
        <w:numPr>
          <w:ilvl w:val="0"/>
          <w:numId w:val="34"/>
        </w:numPr>
        <w:rPr>
          <w:lang w:val="en-GB"/>
        </w:rPr>
      </w:pPr>
      <w:r>
        <w:rPr>
          <w:lang w:val="en-GB"/>
        </w:rPr>
        <w:t>Earthquake</w:t>
      </w:r>
      <w:r w:rsidR="00547BDD" w:rsidRPr="001928BF">
        <w:rPr>
          <w:lang w:val="en-GB"/>
        </w:rPr>
        <w:t>: The design basis needs to be at least of intensity VI according to EMS/MSK. KTA 2201-1 gives recommendations for determining the design basis earthquake (DBE) using probabilistic seismic hazard analysis. The DBE shall be determined at a frequency of exceedance of 10</w:t>
      </w:r>
      <w:r w:rsidR="00547BDD" w:rsidRPr="001928BF">
        <w:rPr>
          <w:vertAlign w:val="superscript"/>
          <w:lang w:val="en-GB"/>
        </w:rPr>
        <w:t>-5</w:t>
      </w:r>
      <w:r w:rsidR="008D75DB">
        <w:rPr>
          <w:lang w:val="en-GB"/>
        </w:rPr>
        <w:t>/a</w:t>
      </w:r>
      <w:r w:rsidR="00547BDD" w:rsidRPr="001928BF">
        <w:rPr>
          <w:lang w:val="en-GB"/>
        </w:rPr>
        <w:t>, based on seismics hazard curves in the range of 10</w:t>
      </w:r>
      <w:r w:rsidR="00547BDD" w:rsidRPr="001928BF">
        <w:rPr>
          <w:vertAlign w:val="superscript"/>
          <w:lang w:val="en-GB"/>
        </w:rPr>
        <w:t>-2</w:t>
      </w:r>
      <w:r w:rsidR="00547BDD" w:rsidRPr="001928BF">
        <w:rPr>
          <w:lang w:val="en-GB"/>
        </w:rPr>
        <w:t xml:space="preserve"> to 10</w:t>
      </w:r>
      <w:r w:rsidR="00547BDD" w:rsidRPr="001928BF">
        <w:rPr>
          <w:vertAlign w:val="superscript"/>
          <w:lang w:val="en-GB"/>
        </w:rPr>
        <w:t>-6</w:t>
      </w:r>
      <w:r w:rsidR="008D75DB">
        <w:rPr>
          <w:lang w:val="en-GB"/>
        </w:rPr>
        <w:t>/a</w:t>
      </w:r>
      <w:r w:rsidR="00547BDD" w:rsidRPr="001928BF">
        <w:rPr>
          <w:lang w:val="en-GB"/>
        </w:rPr>
        <w:t>.</w:t>
      </w:r>
    </w:p>
    <w:p w:rsidR="00547BDD" w:rsidRPr="00E20701" w:rsidRDefault="00547BDD" w:rsidP="00E62976">
      <w:pPr>
        <w:numPr>
          <w:ilvl w:val="0"/>
          <w:numId w:val="34"/>
        </w:numPr>
        <w:rPr>
          <w:lang w:val="en-GB"/>
        </w:rPr>
      </w:pPr>
      <w:r w:rsidRPr="00E20701">
        <w:rPr>
          <w:lang w:val="en-GB"/>
        </w:rPr>
        <w:t xml:space="preserve">External flooding: </w:t>
      </w:r>
      <w:r w:rsidR="00D412E7" w:rsidRPr="00E20701">
        <w:rPr>
          <w:lang w:val="en-GB"/>
        </w:rPr>
        <w:t xml:space="preserve">For external flooding events, simultaneous torrential rain impact to the plant site has to be taken into account. Moreover, the duration of flooding events has to be evaluated. </w:t>
      </w:r>
      <w:r w:rsidRPr="00E20701">
        <w:rPr>
          <w:lang w:val="en-GB"/>
        </w:rPr>
        <w:t xml:space="preserve">KTA </w:t>
      </w:r>
      <w:r w:rsidR="00D412E7" w:rsidRPr="00E20701">
        <w:rPr>
          <w:lang w:val="en-GB"/>
        </w:rPr>
        <w:t>2207 gives additional recommendations for determining the design basis</w:t>
      </w:r>
      <w:r w:rsidRPr="00E20701">
        <w:rPr>
          <w:lang w:val="en-GB"/>
        </w:rPr>
        <w:t xml:space="preserve"> </w:t>
      </w:r>
      <w:r w:rsidR="00D412E7" w:rsidRPr="00E20701">
        <w:rPr>
          <w:lang w:val="en-GB"/>
        </w:rPr>
        <w:t>flood (i.e. water level)</w:t>
      </w:r>
      <w:r w:rsidR="00BB0F30" w:rsidRPr="00E20701">
        <w:rPr>
          <w:lang w:val="en-GB"/>
        </w:rPr>
        <w:t xml:space="preserve"> using a probabilistic approach. The design basis flood water level at a frequency of exceedance of 10</w:t>
      </w:r>
      <w:r w:rsidR="00BB0F30" w:rsidRPr="00C70893">
        <w:rPr>
          <w:vertAlign w:val="superscript"/>
          <w:lang w:val="en-GB"/>
        </w:rPr>
        <w:t>-4</w:t>
      </w:r>
      <w:r w:rsidR="008D75DB">
        <w:rPr>
          <w:lang w:val="en-GB"/>
        </w:rPr>
        <w:t xml:space="preserve">/a </w:t>
      </w:r>
      <w:r w:rsidR="00BB0F30" w:rsidRPr="00E20701">
        <w:rPr>
          <w:lang w:val="en-GB"/>
        </w:rPr>
        <w:t>is extrapolated from the value at 10</w:t>
      </w:r>
      <w:r w:rsidR="00BB0F30" w:rsidRPr="00C70893">
        <w:rPr>
          <w:vertAlign w:val="superscript"/>
          <w:lang w:val="en-GB"/>
        </w:rPr>
        <w:t>-2</w:t>
      </w:r>
      <w:r w:rsidR="008D75DB">
        <w:rPr>
          <w:lang w:val="en-GB"/>
        </w:rPr>
        <w:t>/a</w:t>
      </w:r>
      <w:r w:rsidR="00BB0F30" w:rsidRPr="00E20701">
        <w:rPr>
          <w:lang w:val="en-GB"/>
        </w:rPr>
        <w:t xml:space="preserve">. </w:t>
      </w:r>
      <w:r w:rsidRPr="00E20701">
        <w:rPr>
          <w:lang w:val="en-GB"/>
        </w:rPr>
        <w:t xml:space="preserve"> </w:t>
      </w:r>
    </w:p>
    <w:p w:rsidR="002E1E89" w:rsidRPr="00E20701" w:rsidRDefault="002E1E89" w:rsidP="00E62976">
      <w:pPr>
        <w:numPr>
          <w:ilvl w:val="0"/>
          <w:numId w:val="34"/>
        </w:numPr>
        <w:rPr>
          <w:lang w:val="en-GB"/>
        </w:rPr>
      </w:pPr>
      <w:r w:rsidRPr="00E20701">
        <w:rPr>
          <w:lang w:val="en-GB"/>
        </w:rPr>
        <w:t xml:space="preserve">Extreme meteorological events: The evaluation of the effects of </w:t>
      </w:r>
    </w:p>
    <w:p w:rsidR="002E1E89" w:rsidRPr="00E20701" w:rsidRDefault="002E1E89" w:rsidP="00E62976">
      <w:pPr>
        <w:numPr>
          <w:ilvl w:val="1"/>
          <w:numId w:val="34"/>
        </w:numPr>
        <w:rPr>
          <w:lang w:val="en-GB"/>
        </w:rPr>
      </w:pPr>
      <w:r w:rsidRPr="00E20701">
        <w:rPr>
          <w:lang w:val="en-GB"/>
        </w:rPr>
        <w:t>high or low temperature of air or of cooling water,</w:t>
      </w:r>
    </w:p>
    <w:p w:rsidR="002E1E89" w:rsidRPr="00E20701" w:rsidRDefault="002E1E89" w:rsidP="00E62976">
      <w:pPr>
        <w:numPr>
          <w:ilvl w:val="1"/>
          <w:numId w:val="34"/>
        </w:numPr>
        <w:rPr>
          <w:lang w:val="en-GB"/>
        </w:rPr>
      </w:pPr>
      <w:r w:rsidRPr="00E20701">
        <w:rPr>
          <w:lang w:val="en-GB"/>
        </w:rPr>
        <w:t>persistent drought and effects on cooling water supply,</w:t>
      </w:r>
    </w:p>
    <w:p w:rsidR="002E1E89" w:rsidRPr="00E20701" w:rsidRDefault="002E1E89" w:rsidP="00E62976">
      <w:pPr>
        <w:numPr>
          <w:ilvl w:val="1"/>
          <w:numId w:val="34"/>
        </w:numPr>
        <w:rPr>
          <w:lang w:val="en-GB"/>
        </w:rPr>
      </w:pPr>
      <w:r w:rsidRPr="00E20701">
        <w:rPr>
          <w:lang w:val="en-GB"/>
        </w:rPr>
        <w:t>high winds including tornado,</w:t>
      </w:r>
    </w:p>
    <w:p w:rsidR="002E1E89" w:rsidRPr="00E20701" w:rsidRDefault="002E1E89" w:rsidP="00E62976">
      <w:pPr>
        <w:numPr>
          <w:ilvl w:val="1"/>
          <w:numId w:val="34"/>
        </w:numPr>
        <w:rPr>
          <w:lang w:val="en-GB"/>
        </w:rPr>
      </w:pPr>
      <w:r w:rsidRPr="00E20701">
        <w:rPr>
          <w:lang w:val="en-GB"/>
        </w:rPr>
        <w:t>high or low humidity,</w:t>
      </w:r>
    </w:p>
    <w:p w:rsidR="002E1E89" w:rsidRPr="00E20701" w:rsidRDefault="002E1E89" w:rsidP="00E62976">
      <w:pPr>
        <w:numPr>
          <w:ilvl w:val="1"/>
          <w:numId w:val="34"/>
        </w:numPr>
        <w:rPr>
          <w:lang w:val="en-GB"/>
        </w:rPr>
      </w:pPr>
      <w:r w:rsidRPr="00E20701">
        <w:rPr>
          <w:lang w:val="en-GB"/>
        </w:rPr>
        <w:t>snow,</w:t>
      </w:r>
    </w:p>
    <w:p w:rsidR="002E1E89" w:rsidRPr="00E20701" w:rsidRDefault="002E1E89" w:rsidP="00E62976">
      <w:pPr>
        <w:numPr>
          <w:ilvl w:val="1"/>
          <w:numId w:val="34"/>
        </w:numPr>
        <w:rPr>
          <w:lang w:val="en-GB"/>
        </w:rPr>
      </w:pPr>
      <w:r w:rsidRPr="00E20701">
        <w:rPr>
          <w:lang w:val="en-GB"/>
        </w:rPr>
        <w:t>icing, freezing, etc.,</w:t>
      </w:r>
    </w:p>
    <w:p w:rsidR="002E1E89" w:rsidRPr="00E20701" w:rsidRDefault="002E1E89" w:rsidP="00E62976">
      <w:pPr>
        <w:numPr>
          <w:ilvl w:val="1"/>
          <w:numId w:val="34"/>
        </w:numPr>
        <w:rPr>
          <w:lang w:val="en-GB"/>
        </w:rPr>
      </w:pPr>
      <w:r w:rsidRPr="00E20701">
        <w:rPr>
          <w:lang w:val="en-GB"/>
        </w:rPr>
        <w:t>torrential rain, hail,</w:t>
      </w:r>
    </w:p>
    <w:p w:rsidR="002E1E89" w:rsidRPr="00E20701" w:rsidRDefault="002E1E89" w:rsidP="00E62976">
      <w:pPr>
        <w:numPr>
          <w:ilvl w:val="1"/>
          <w:numId w:val="34"/>
        </w:numPr>
        <w:rPr>
          <w:lang w:val="en-GB"/>
        </w:rPr>
      </w:pPr>
      <w:r w:rsidRPr="00E20701">
        <w:rPr>
          <w:lang w:val="en-GB"/>
        </w:rPr>
        <w:t>lightning</w:t>
      </w:r>
      <w:r w:rsidR="00826CAD">
        <w:rPr>
          <w:lang w:val="en-GB"/>
        </w:rPr>
        <w:t>,</w:t>
      </w:r>
    </w:p>
    <w:p w:rsidR="002E1E89" w:rsidRPr="00E20701" w:rsidRDefault="002E1E89" w:rsidP="00E62976">
      <w:pPr>
        <w:numPr>
          <w:ilvl w:val="1"/>
          <w:numId w:val="34"/>
        </w:numPr>
        <w:rPr>
          <w:lang w:val="en-GB"/>
        </w:rPr>
      </w:pPr>
      <w:r w:rsidRPr="00E20701">
        <w:rPr>
          <w:lang w:val="en-GB"/>
        </w:rPr>
        <w:t>related effects like salt deposits at oceanic sites, dust and sand, missiles, etc.</w:t>
      </w:r>
    </w:p>
    <w:p w:rsidR="00547BDD" w:rsidRPr="00E20701" w:rsidRDefault="002E1E89" w:rsidP="00C70893">
      <w:pPr>
        <w:ind w:left="780"/>
        <w:rPr>
          <w:lang w:val="en-GB"/>
        </w:rPr>
      </w:pPr>
      <w:r w:rsidRPr="00E20701">
        <w:rPr>
          <w:lang w:val="en-GB"/>
        </w:rPr>
        <w:t xml:space="preserve">is required. However, no specific requirements or recommendations are given on defining design basis events for the respective categories, or on computing frequencies of </w:t>
      </w:r>
      <w:r w:rsidR="00084365" w:rsidRPr="00E20701">
        <w:rPr>
          <w:lang w:val="en-GB"/>
        </w:rPr>
        <w:t>exceedance</w:t>
      </w:r>
      <w:r w:rsidRPr="00E20701">
        <w:rPr>
          <w:lang w:val="en-GB"/>
        </w:rPr>
        <w:t xml:space="preserve">. </w:t>
      </w:r>
      <w:r w:rsidR="00263F2D" w:rsidRPr="00E20701">
        <w:rPr>
          <w:lang w:val="en-GB"/>
        </w:rPr>
        <w:t>For lightning, KTA 2206 provides further recommendations on the design basis</w:t>
      </w:r>
      <w:r w:rsidR="00171CF0" w:rsidRPr="00E20701">
        <w:rPr>
          <w:lang w:val="en-GB"/>
        </w:rPr>
        <w:t xml:space="preserve"> envelope </w:t>
      </w:r>
      <w:r w:rsidR="00A06305">
        <w:rPr>
          <w:lang w:val="en-GB"/>
        </w:rPr>
        <w:fldChar w:fldCharType="begin"/>
      </w:r>
      <w:r w:rsidR="00A06305">
        <w:rPr>
          <w:lang w:val="en-GB"/>
        </w:rPr>
        <w:instrText xml:space="preserve"> REF _Ref418780179 \r \h </w:instrText>
      </w:r>
      <w:r w:rsidR="00A06305">
        <w:rPr>
          <w:lang w:val="en-GB"/>
        </w:rPr>
      </w:r>
      <w:r w:rsidR="00A06305">
        <w:rPr>
          <w:lang w:val="en-GB"/>
        </w:rPr>
        <w:fldChar w:fldCharType="separate"/>
      </w:r>
      <w:r w:rsidR="00E62976">
        <w:rPr>
          <w:lang w:val="en-GB"/>
        </w:rPr>
        <w:t>[83]</w:t>
      </w:r>
      <w:r w:rsidR="00A06305">
        <w:rPr>
          <w:lang w:val="en-GB"/>
        </w:rPr>
        <w:fldChar w:fldCharType="end"/>
      </w:r>
      <w:r w:rsidR="00263F2D" w:rsidRPr="00E20701">
        <w:rPr>
          <w:lang w:val="en-GB"/>
        </w:rPr>
        <w:t>.</w:t>
      </w:r>
    </w:p>
    <w:p w:rsidR="00084365" w:rsidRPr="00E20701" w:rsidRDefault="002E1E89" w:rsidP="00E62976">
      <w:pPr>
        <w:numPr>
          <w:ilvl w:val="0"/>
          <w:numId w:val="34"/>
        </w:numPr>
        <w:rPr>
          <w:lang w:val="en-GB"/>
        </w:rPr>
      </w:pPr>
      <w:r w:rsidRPr="00E20701">
        <w:rPr>
          <w:lang w:val="en-GB"/>
        </w:rPr>
        <w:t xml:space="preserve">Biological infestation and other biological impacts: The </w:t>
      </w:r>
      <w:r w:rsidR="00084365" w:rsidRPr="00E20701">
        <w:rPr>
          <w:lang w:val="en-GB"/>
        </w:rPr>
        <w:t xml:space="preserve">design has to consider the </w:t>
      </w:r>
      <w:r w:rsidRPr="00E20701">
        <w:rPr>
          <w:lang w:val="en-GB"/>
        </w:rPr>
        <w:t>following scenarios</w:t>
      </w:r>
      <w:r w:rsidR="00084365" w:rsidRPr="00E20701">
        <w:rPr>
          <w:lang w:val="en-GB"/>
        </w:rPr>
        <w:t>:</w:t>
      </w:r>
    </w:p>
    <w:p w:rsidR="00084365" w:rsidRPr="00E20701" w:rsidRDefault="00084365" w:rsidP="00E62976">
      <w:pPr>
        <w:numPr>
          <w:ilvl w:val="1"/>
          <w:numId w:val="34"/>
        </w:numPr>
        <w:rPr>
          <w:lang w:val="en-GB"/>
        </w:rPr>
      </w:pPr>
      <w:r w:rsidRPr="00E20701">
        <w:rPr>
          <w:lang w:val="en-GB"/>
        </w:rPr>
        <w:t>Encrustation</w:t>
      </w:r>
      <w:r w:rsidR="001928BF">
        <w:rPr>
          <w:lang w:val="en-GB"/>
        </w:rPr>
        <w:t>/blockage</w:t>
      </w:r>
      <w:r w:rsidRPr="00E20701">
        <w:rPr>
          <w:lang w:val="en-GB"/>
        </w:rPr>
        <w:t xml:space="preserve"> by mussels</w:t>
      </w:r>
      <w:r w:rsidR="00826CAD">
        <w:rPr>
          <w:lang w:val="en-GB"/>
        </w:rPr>
        <w:t>,</w:t>
      </w:r>
    </w:p>
    <w:p w:rsidR="00084365" w:rsidRPr="00E20701" w:rsidRDefault="00084365" w:rsidP="00E62976">
      <w:pPr>
        <w:numPr>
          <w:ilvl w:val="1"/>
          <w:numId w:val="34"/>
        </w:numPr>
        <w:rPr>
          <w:lang w:val="en-GB"/>
        </w:rPr>
      </w:pPr>
      <w:r w:rsidRPr="00E20701">
        <w:rPr>
          <w:lang w:val="en-GB"/>
        </w:rPr>
        <w:t>Large quantities of algae, jellyfish or fish,</w:t>
      </w:r>
    </w:p>
    <w:p w:rsidR="00084365" w:rsidRPr="00E20701" w:rsidRDefault="00084365" w:rsidP="00E62976">
      <w:pPr>
        <w:numPr>
          <w:ilvl w:val="1"/>
          <w:numId w:val="34"/>
        </w:numPr>
        <w:rPr>
          <w:lang w:val="en-GB"/>
        </w:rPr>
      </w:pPr>
      <w:r w:rsidRPr="00E20701">
        <w:rPr>
          <w:lang w:val="en-GB"/>
        </w:rPr>
        <w:t>Large quantities of foliage, grass or weed as flotsam,</w:t>
      </w:r>
    </w:p>
    <w:p w:rsidR="00084365" w:rsidRPr="00E20701" w:rsidRDefault="00084365" w:rsidP="00E62976">
      <w:pPr>
        <w:numPr>
          <w:ilvl w:val="1"/>
          <w:numId w:val="34"/>
        </w:numPr>
        <w:rPr>
          <w:lang w:val="en-GB"/>
        </w:rPr>
      </w:pPr>
      <w:r w:rsidRPr="00E20701">
        <w:rPr>
          <w:lang w:val="en-GB"/>
        </w:rPr>
        <w:t>Large quantities of biological flotsam due to a flooding event</w:t>
      </w:r>
      <w:r w:rsidR="00826CAD">
        <w:rPr>
          <w:lang w:val="en-GB"/>
        </w:rPr>
        <w:t>,</w:t>
      </w:r>
    </w:p>
    <w:p w:rsidR="00084365" w:rsidRPr="00E20701" w:rsidRDefault="00084365" w:rsidP="00E62976">
      <w:pPr>
        <w:numPr>
          <w:ilvl w:val="1"/>
          <w:numId w:val="34"/>
        </w:numPr>
        <w:rPr>
          <w:lang w:val="en-GB"/>
        </w:rPr>
      </w:pPr>
      <w:r w:rsidRPr="00E20701">
        <w:rPr>
          <w:lang w:val="en-GB"/>
        </w:rPr>
        <w:t>Microbiologically induced corrosion</w:t>
      </w:r>
      <w:r w:rsidR="00826CAD">
        <w:rPr>
          <w:lang w:val="en-GB"/>
        </w:rPr>
        <w:t>.</w:t>
      </w:r>
    </w:p>
    <w:p w:rsidR="00084365" w:rsidRPr="00E20701" w:rsidRDefault="00084365" w:rsidP="00C70893">
      <w:pPr>
        <w:ind w:left="780"/>
        <w:rPr>
          <w:lang w:val="en-GB"/>
        </w:rPr>
      </w:pPr>
      <w:r w:rsidRPr="00E20701">
        <w:rPr>
          <w:lang w:val="en-GB"/>
        </w:rPr>
        <w:t>The safety of the plant shall not be put in peril by biological impact events. There are however no requirements or recommendation on defining design basis events for the respective categories or on computing frequencies of exceedance.</w:t>
      </w:r>
    </w:p>
    <w:p w:rsidR="00F04C2B" w:rsidRPr="00E20701" w:rsidRDefault="00084365" w:rsidP="00E62976">
      <w:pPr>
        <w:numPr>
          <w:ilvl w:val="0"/>
          <w:numId w:val="34"/>
        </w:numPr>
        <w:rPr>
          <w:lang w:val="en-GB"/>
        </w:rPr>
      </w:pPr>
      <w:r w:rsidRPr="00E20701">
        <w:rPr>
          <w:lang w:val="en-GB"/>
        </w:rPr>
        <w:t>Airplane crash</w:t>
      </w:r>
      <w:r w:rsidR="0016504A" w:rsidRPr="00E20701">
        <w:rPr>
          <w:lang w:val="en-GB"/>
        </w:rPr>
        <w:t xml:space="preserve">: A design basis scenario is specified in </w:t>
      </w:r>
      <w:r w:rsidR="00A06305">
        <w:rPr>
          <w:lang w:val="en-GB"/>
        </w:rPr>
        <w:fldChar w:fldCharType="begin"/>
      </w:r>
      <w:r w:rsidR="00A06305">
        <w:rPr>
          <w:lang w:val="en-GB"/>
        </w:rPr>
        <w:instrText xml:space="preserve"> REF _Ref418689856 \r \h </w:instrText>
      </w:r>
      <w:r w:rsidR="00A06305">
        <w:rPr>
          <w:lang w:val="en-GB"/>
        </w:rPr>
      </w:r>
      <w:r w:rsidR="00A06305">
        <w:rPr>
          <w:lang w:val="en-GB"/>
        </w:rPr>
        <w:fldChar w:fldCharType="separate"/>
      </w:r>
      <w:r w:rsidR="00E62976">
        <w:rPr>
          <w:lang w:val="en-GB"/>
        </w:rPr>
        <w:t>[76]</w:t>
      </w:r>
      <w:r w:rsidR="00A06305">
        <w:rPr>
          <w:lang w:val="en-GB"/>
        </w:rPr>
        <w:fldChar w:fldCharType="end"/>
      </w:r>
      <w:r w:rsidR="00547BDD" w:rsidRPr="00E20701">
        <w:rPr>
          <w:lang w:val="en-GB"/>
        </w:rPr>
        <w:t xml:space="preserve">, </w:t>
      </w:r>
      <w:r w:rsidR="0016504A" w:rsidRPr="00E20701">
        <w:rPr>
          <w:lang w:val="en-GB"/>
        </w:rPr>
        <w:t xml:space="preserve">secondary effects like burning fuel, possibly entering plant buildings, </w:t>
      </w:r>
      <w:r w:rsidR="001928BF">
        <w:rPr>
          <w:lang w:val="en-GB"/>
        </w:rPr>
        <w:t xml:space="preserve">explosion, </w:t>
      </w:r>
      <w:r w:rsidR="0016504A" w:rsidRPr="00E20701">
        <w:rPr>
          <w:lang w:val="en-GB"/>
        </w:rPr>
        <w:t xml:space="preserve">the impact of </w:t>
      </w:r>
      <w:r w:rsidR="00F04C2B" w:rsidRPr="00E20701">
        <w:rPr>
          <w:lang w:val="en-GB"/>
        </w:rPr>
        <w:t>combustion residue</w:t>
      </w:r>
      <w:r w:rsidR="0016504A" w:rsidRPr="00E20701">
        <w:rPr>
          <w:lang w:val="en-GB"/>
        </w:rPr>
        <w:t xml:space="preserve"> and </w:t>
      </w:r>
      <w:r w:rsidR="00F04C2B" w:rsidRPr="00E20701">
        <w:rPr>
          <w:lang w:val="en-GB"/>
        </w:rPr>
        <w:t>smoke gases into ventilation systems, including effects on plant staff</w:t>
      </w:r>
      <w:r w:rsidR="001928BF">
        <w:rPr>
          <w:lang w:val="en-GB"/>
        </w:rPr>
        <w:t>, and effects from debris and missiles shall be taken into consideration</w:t>
      </w:r>
      <w:r w:rsidR="00F04C2B" w:rsidRPr="00E20701">
        <w:rPr>
          <w:lang w:val="en-GB"/>
        </w:rPr>
        <w:t>.</w:t>
      </w:r>
    </w:p>
    <w:p w:rsidR="00547BDD" w:rsidRPr="00E20701" w:rsidRDefault="00F04C2B" w:rsidP="00E62976">
      <w:pPr>
        <w:numPr>
          <w:ilvl w:val="0"/>
          <w:numId w:val="34"/>
        </w:numPr>
        <w:rPr>
          <w:lang w:val="en-GB"/>
        </w:rPr>
      </w:pPr>
      <w:r w:rsidRPr="00E20701">
        <w:rPr>
          <w:lang w:val="en-GB"/>
        </w:rPr>
        <w:t xml:space="preserve">External explosion: A design basis scenario is referenced in </w:t>
      </w:r>
      <w:r w:rsidR="00A06305">
        <w:rPr>
          <w:lang w:val="en-GB"/>
        </w:rPr>
        <w:fldChar w:fldCharType="begin"/>
      </w:r>
      <w:r w:rsidR="00A06305">
        <w:rPr>
          <w:lang w:val="en-GB"/>
        </w:rPr>
        <w:instrText xml:space="preserve"> REF _Ref418689856 \r \h </w:instrText>
      </w:r>
      <w:r w:rsidR="00A06305">
        <w:rPr>
          <w:lang w:val="en-GB"/>
        </w:rPr>
      </w:r>
      <w:r w:rsidR="00A06305">
        <w:rPr>
          <w:lang w:val="en-GB"/>
        </w:rPr>
        <w:fldChar w:fldCharType="separate"/>
      </w:r>
      <w:r w:rsidR="00E62976">
        <w:rPr>
          <w:lang w:val="en-GB"/>
        </w:rPr>
        <w:t>[76]</w:t>
      </w:r>
      <w:r w:rsidR="00A06305">
        <w:rPr>
          <w:lang w:val="en-GB"/>
        </w:rPr>
        <w:fldChar w:fldCharType="end"/>
      </w:r>
      <w:r w:rsidRPr="00E20701">
        <w:rPr>
          <w:lang w:val="en-GB"/>
        </w:rPr>
        <w:t xml:space="preserve">. Effects for consideration include pressure waves, over- and underpressure over time, vibration, thermal </w:t>
      </w:r>
      <w:r w:rsidR="001928BF">
        <w:rPr>
          <w:lang w:val="en-GB"/>
        </w:rPr>
        <w:t>impact</w:t>
      </w:r>
      <w:r w:rsidRPr="00E20701">
        <w:rPr>
          <w:lang w:val="en-GB"/>
        </w:rPr>
        <w:t>.</w:t>
      </w:r>
    </w:p>
    <w:p w:rsidR="00F04C2B" w:rsidRPr="00E20701" w:rsidRDefault="00F04C2B" w:rsidP="00E62976">
      <w:pPr>
        <w:numPr>
          <w:ilvl w:val="0"/>
          <w:numId w:val="34"/>
        </w:numPr>
        <w:rPr>
          <w:lang w:val="en-GB"/>
        </w:rPr>
      </w:pPr>
      <w:r w:rsidRPr="00E20701">
        <w:rPr>
          <w:lang w:val="en-GB"/>
        </w:rPr>
        <w:t>Hazardous material</w:t>
      </w:r>
      <w:r w:rsidR="001928BF">
        <w:rPr>
          <w:lang w:val="en-GB"/>
        </w:rPr>
        <w:t>s</w:t>
      </w:r>
      <w:r w:rsidRPr="00E20701">
        <w:rPr>
          <w:lang w:val="en-GB"/>
        </w:rPr>
        <w:t xml:space="preserve">: Potential effects </w:t>
      </w:r>
      <w:r w:rsidR="001928BF">
        <w:rPr>
          <w:lang w:val="en-GB"/>
        </w:rPr>
        <w:t xml:space="preserve">of hazardous materials </w:t>
      </w:r>
      <w:r w:rsidRPr="00E20701">
        <w:rPr>
          <w:lang w:val="en-GB"/>
        </w:rPr>
        <w:t>on safety-related functions due to explosion, ignition, asphyxiating impact, congestion, or corrosion have to be analysed, as well as the potential dangers from poisonous, anesthetic, asphyxiant, explosive, or radioactive materials to plant staff.</w:t>
      </w:r>
      <w:r w:rsidR="006174E2" w:rsidRPr="00E20701">
        <w:rPr>
          <w:lang w:val="en-GB"/>
        </w:rPr>
        <w:t xml:space="preserve"> No design basis scenarios are specified.</w:t>
      </w:r>
    </w:p>
    <w:p w:rsidR="006174E2" w:rsidRPr="00E20701" w:rsidRDefault="006174E2" w:rsidP="00E62976">
      <w:pPr>
        <w:numPr>
          <w:ilvl w:val="0"/>
          <w:numId w:val="34"/>
        </w:numPr>
        <w:rPr>
          <w:lang w:val="en-GB"/>
        </w:rPr>
      </w:pPr>
      <w:r w:rsidRPr="00E20701">
        <w:rPr>
          <w:lang w:val="en-GB"/>
        </w:rPr>
        <w:t xml:space="preserve">Potential loss of cooling water supply due to </w:t>
      </w:r>
      <w:r w:rsidR="001928BF" w:rsidRPr="00E20701">
        <w:rPr>
          <w:lang w:val="en-GB"/>
        </w:rPr>
        <w:t>flotsam</w:t>
      </w:r>
      <w:r w:rsidRPr="00E20701">
        <w:rPr>
          <w:lang w:val="en-GB"/>
        </w:rPr>
        <w:t>, upstream dam failure, ship collision, or ship accidents has to be considered. No design basis scenarios are specified.</w:t>
      </w:r>
    </w:p>
    <w:p w:rsidR="006174E2" w:rsidRPr="00E20701" w:rsidRDefault="006174E2" w:rsidP="00E62976">
      <w:pPr>
        <w:numPr>
          <w:ilvl w:val="0"/>
          <w:numId w:val="34"/>
        </w:numPr>
        <w:rPr>
          <w:lang w:val="en-GB"/>
        </w:rPr>
      </w:pPr>
      <w:r w:rsidRPr="00E20701">
        <w:rPr>
          <w:lang w:val="en-GB"/>
        </w:rPr>
        <w:t>External fire: The effects of smoke gas, aerosols, corrosive and toxic substances need to be considered in addition to the thermal impact. Flammable substances should not be able to enter safety-related buildings. No design basis scenarios are specified.</w:t>
      </w:r>
    </w:p>
    <w:p w:rsidR="006174E2" w:rsidRPr="00E20701" w:rsidRDefault="006174E2" w:rsidP="00E62976">
      <w:pPr>
        <w:numPr>
          <w:ilvl w:val="0"/>
          <w:numId w:val="34"/>
        </w:numPr>
        <w:rPr>
          <w:lang w:val="en-GB"/>
        </w:rPr>
      </w:pPr>
      <w:r w:rsidRPr="00E20701">
        <w:rPr>
          <w:lang w:val="en-GB"/>
        </w:rPr>
        <w:t>Electromagnetic interference (other than lightning): Potential impacts external to the plant have to be identified and evaluated. They have to be considered in the design. No design basis scenarios are specified.</w:t>
      </w:r>
    </w:p>
    <w:p w:rsidR="00171CF0" w:rsidRPr="00E20701" w:rsidRDefault="00171CF0" w:rsidP="00C70893">
      <w:pPr>
        <w:rPr>
          <w:lang w:val="en-GB"/>
        </w:rPr>
      </w:pPr>
    </w:p>
    <w:p w:rsidR="007F2BD8" w:rsidRPr="00E20701" w:rsidRDefault="00171CF0" w:rsidP="00C70893">
      <w:pPr>
        <w:rPr>
          <w:lang w:val="en-GB"/>
        </w:rPr>
      </w:pPr>
      <w:r w:rsidRPr="00E20701">
        <w:rPr>
          <w:lang w:val="en-GB"/>
        </w:rPr>
        <w:t xml:space="preserve">Turning to the determination of initiating events and hazard scenarios for PSA, there are a number of further regulatory requirements and recommendations. The PSA guide </w:t>
      </w:r>
      <w:r w:rsidR="00826CAD">
        <w:rPr>
          <w:lang w:val="en-GB"/>
        </w:rPr>
        <w:fldChar w:fldCharType="begin"/>
      </w:r>
      <w:r w:rsidR="00826CAD">
        <w:rPr>
          <w:lang w:val="en-GB"/>
        </w:rPr>
        <w:instrText xml:space="preserve"> REF _Ref418689857 \w \h </w:instrText>
      </w:r>
      <w:r w:rsidR="00826CAD">
        <w:rPr>
          <w:lang w:val="en-GB"/>
        </w:rPr>
      </w:r>
      <w:r w:rsidR="00826CAD">
        <w:rPr>
          <w:lang w:val="en-GB"/>
        </w:rPr>
        <w:fldChar w:fldCharType="separate"/>
      </w:r>
      <w:r w:rsidR="00E62976">
        <w:rPr>
          <w:lang w:val="en-GB"/>
        </w:rPr>
        <w:t>[77]</w:t>
      </w:r>
      <w:r w:rsidR="00826CAD">
        <w:rPr>
          <w:lang w:val="en-GB"/>
        </w:rPr>
        <w:fldChar w:fldCharType="end"/>
      </w:r>
      <w:r w:rsidRPr="00E20701">
        <w:rPr>
          <w:lang w:val="en-GB"/>
        </w:rPr>
        <w:t xml:space="preserve"> requests a full scope PSA Level 1, i.e. initiating events and hazards events have to be </w:t>
      </w:r>
      <w:r w:rsidR="006D13CA" w:rsidRPr="00E20701">
        <w:rPr>
          <w:lang w:val="en-GB"/>
        </w:rPr>
        <w:t>considered</w:t>
      </w:r>
      <w:r w:rsidRPr="00E20701">
        <w:rPr>
          <w:lang w:val="en-GB"/>
        </w:rPr>
        <w:t xml:space="preserve"> for all operating modes</w:t>
      </w:r>
      <w:r w:rsidR="006D13CA" w:rsidRPr="00E20701">
        <w:rPr>
          <w:lang w:val="en-GB"/>
        </w:rPr>
        <w:t xml:space="preserve">, in principle. The guide specifies lists of internal initiating events for power operation of PWR and BWR, respectively. These lists also contain the internal hazard event groups of internal flooding and internal fire as well as the external hazard event groups of aircraft crash, external explosion, external flooding and </w:t>
      </w:r>
      <w:r w:rsidR="00A6173D">
        <w:rPr>
          <w:lang w:val="en-GB"/>
        </w:rPr>
        <w:t>earthquake</w:t>
      </w:r>
      <w:r w:rsidR="006D13CA" w:rsidRPr="00E20701">
        <w:rPr>
          <w:lang w:val="en-GB"/>
        </w:rPr>
        <w:t xml:space="preserve"> </w:t>
      </w:r>
      <w:r w:rsidR="00826CAD">
        <w:rPr>
          <w:lang w:val="en-GB"/>
        </w:rPr>
        <w:fldChar w:fldCharType="begin"/>
      </w:r>
      <w:r w:rsidR="00826CAD">
        <w:rPr>
          <w:lang w:val="en-GB"/>
        </w:rPr>
        <w:instrText xml:space="preserve"> REF _Ref418689857 \w \h </w:instrText>
      </w:r>
      <w:r w:rsidR="00826CAD">
        <w:rPr>
          <w:lang w:val="en-GB"/>
        </w:rPr>
      </w:r>
      <w:r w:rsidR="00826CAD">
        <w:rPr>
          <w:lang w:val="en-GB"/>
        </w:rPr>
        <w:fldChar w:fldCharType="separate"/>
      </w:r>
      <w:r w:rsidR="00E62976">
        <w:rPr>
          <w:lang w:val="en-GB"/>
        </w:rPr>
        <w:t>[77]</w:t>
      </w:r>
      <w:r w:rsidR="00826CAD">
        <w:rPr>
          <w:lang w:val="en-GB"/>
        </w:rPr>
        <w:fldChar w:fldCharType="end"/>
      </w:r>
      <w:r w:rsidR="006D13CA" w:rsidRPr="00E20701">
        <w:rPr>
          <w:lang w:val="en-GB"/>
        </w:rPr>
        <w:t xml:space="preserve">. </w:t>
      </w:r>
      <w:r w:rsidR="00DB3A34" w:rsidRPr="00E20701">
        <w:rPr>
          <w:lang w:val="en-GB"/>
        </w:rPr>
        <w:t>Notably, hazard events are not specifically required to be analysed at shutdown operating states</w:t>
      </w:r>
      <w:r w:rsidR="00E47270" w:rsidRPr="00E20701">
        <w:rPr>
          <w:lang w:val="en-GB"/>
        </w:rPr>
        <w:t xml:space="preserve"> </w:t>
      </w:r>
      <w:r w:rsidR="00826CAD">
        <w:rPr>
          <w:lang w:val="en-GB"/>
        </w:rPr>
        <w:fldChar w:fldCharType="begin"/>
      </w:r>
      <w:r w:rsidR="00826CAD">
        <w:rPr>
          <w:lang w:val="en-GB"/>
        </w:rPr>
        <w:instrText xml:space="preserve"> REF _Ref418689857 \w \h </w:instrText>
      </w:r>
      <w:r w:rsidR="00826CAD">
        <w:rPr>
          <w:lang w:val="en-GB"/>
        </w:rPr>
      </w:r>
      <w:r w:rsidR="00826CAD">
        <w:rPr>
          <w:lang w:val="en-GB"/>
        </w:rPr>
        <w:fldChar w:fldCharType="separate"/>
      </w:r>
      <w:r w:rsidR="00E62976">
        <w:rPr>
          <w:lang w:val="en-GB"/>
        </w:rPr>
        <w:t>[77]</w:t>
      </w:r>
      <w:r w:rsidR="00826CAD">
        <w:rPr>
          <w:lang w:val="en-GB"/>
        </w:rPr>
        <w:fldChar w:fldCharType="end"/>
      </w:r>
      <w:r w:rsidR="00E47270" w:rsidRPr="00E20701">
        <w:rPr>
          <w:lang w:val="en-GB"/>
        </w:rPr>
        <w:t xml:space="preserve">, </w:t>
      </w:r>
      <w:r w:rsidR="00826CAD">
        <w:rPr>
          <w:lang w:val="en-GB"/>
        </w:rPr>
        <w:fldChar w:fldCharType="begin"/>
      </w:r>
      <w:r w:rsidR="00826CAD">
        <w:rPr>
          <w:lang w:val="en-GB"/>
        </w:rPr>
        <w:instrText xml:space="preserve"> REF _Ref418600965 \w \h </w:instrText>
      </w:r>
      <w:r w:rsidR="00826CAD">
        <w:rPr>
          <w:lang w:val="en-GB"/>
        </w:rPr>
      </w:r>
      <w:r w:rsidR="00826CAD">
        <w:rPr>
          <w:lang w:val="en-GB"/>
        </w:rPr>
        <w:fldChar w:fldCharType="separate"/>
      </w:r>
      <w:r w:rsidR="00E62976">
        <w:rPr>
          <w:lang w:val="en-GB"/>
        </w:rPr>
        <w:t>[78]</w:t>
      </w:r>
      <w:r w:rsidR="00826CAD">
        <w:rPr>
          <w:lang w:val="en-GB"/>
        </w:rPr>
        <w:fldChar w:fldCharType="end"/>
      </w:r>
      <w:r w:rsidR="00DB3A34" w:rsidRPr="00E20701">
        <w:rPr>
          <w:lang w:val="en-GB"/>
        </w:rPr>
        <w:t>,</w:t>
      </w:r>
      <w:r w:rsidR="00E47270" w:rsidRPr="00E20701">
        <w:rPr>
          <w:lang w:val="en-GB"/>
        </w:rPr>
        <w:t xml:space="preserve"> and German PSA basically follow that implicit restriction of scope.</w:t>
      </w:r>
      <w:r w:rsidR="00DB3A34" w:rsidRPr="00E20701">
        <w:rPr>
          <w:lang w:val="en-GB"/>
        </w:rPr>
        <w:t xml:space="preserve"> </w:t>
      </w:r>
      <w:r w:rsidR="006D13CA" w:rsidRPr="00E20701">
        <w:rPr>
          <w:lang w:val="en-GB"/>
        </w:rPr>
        <w:t>In addition, exemplary scenarios for PWR and BWR reactors at the interface to a PSA Level 2 for internal events at power</w:t>
      </w:r>
      <w:r w:rsidRPr="00E20701">
        <w:rPr>
          <w:lang w:val="en-GB"/>
        </w:rPr>
        <w:t xml:space="preserve"> </w:t>
      </w:r>
      <w:r w:rsidR="006D13CA" w:rsidRPr="00E20701">
        <w:rPr>
          <w:lang w:val="en-GB"/>
        </w:rPr>
        <w:t>are given. The initiating event spectra have to be checked for each plant if they are comprehensive and bounding.</w:t>
      </w:r>
      <w:r w:rsidR="007F2BD8" w:rsidRPr="00E20701">
        <w:rPr>
          <w:lang w:val="en-GB"/>
        </w:rPr>
        <w:t xml:space="preserve"> Initiating event frequencies (as well as hazard scenario frequencies) have to be estimated specific to the plant</w:t>
      </w:r>
      <w:r w:rsidR="00330708" w:rsidRPr="00E20701">
        <w:rPr>
          <w:lang w:val="en-GB"/>
        </w:rPr>
        <w:t xml:space="preserve">, combining plant specific operating experience and generic data </w:t>
      </w:r>
      <w:r w:rsidR="0006161D">
        <w:rPr>
          <w:lang w:val="en-GB"/>
        </w:rPr>
        <w:fldChar w:fldCharType="begin"/>
      </w:r>
      <w:r w:rsidR="0006161D">
        <w:rPr>
          <w:lang w:val="en-GB"/>
        </w:rPr>
        <w:instrText xml:space="preserve"> REF _Ref418782507 \r \h </w:instrText>
      </w:r>
      <w:r w:rsidR="0006161D">
        <w:rPr>
          <w:lang w:val="en-GB"/>
        </w:rPr>
      </w:r>
      <w:r w:rsidR="0006161D">
        <w:rPr>
          <w:lang w:val="en-GB"/>
        </w:rPr>
        <w:fldChar w:fldCharType="separate"/>
      </w:r>
      <w:r w:rsidR="00E62976">
        <w:rPr>
          <w:lang w:val="en-GB"/>
        </w:rPr>
        <w:t>[84]</w:t>
      </w:r>
      <w:r w:rsidR="0006161D">
        <w:rPr>
          <w:lang w:val="en-GB"/>
        </w:rPr>
        <w:fldChar w:fldCharType="end"/>
      </w:r>
      <w:r w:rsidR="00330708" w:rsidRPr="00E20701">
        <w:rPr>
          <w:lang w:val="en-GB"/>
        </w:rPr>
        <w:t>.</w:t>
      </w:r>
    </w:p>
    <w:p w:rsidR="00570B8E" w:rsidRPr="00E20701" w:rsidRDefault="007F2BD8" w:rsidP="00C70893">
      <w:pPr>
        <w:rPr>
          <w:lang w:val="en-GB"/>
        </w:rPr>
      </w:pPr>
      <w:r w:rsidRPr="00E20701">
        <w:rPr>
          <w:lang w:val="en-GB"/>
        </w:rPr>
        <w:t xml:space="preserve">The PSA methods supplemental </w:t>
      </w:r>
      <w:r w:rsidR="00125AF4" w:rsidRPr="00FA7763">
        <w:rPr>
          <w:lang w:val="en-GB"/>
        </w:rPr>
        <w:fldChar w:fldCharType="begin"/>
      </w:r>
      <w:r w:rsidRPr="00E20701">
        <w:rPr>
          <w:lang w:val="en-GB"/>
        </w:rPr>
        <w:instrText xml:space="preserve"> REF _Ref418689860 \r \h </w:instrText>
      </w:r>
      <w:r w:rsidR="00125AF4" w:rsidRPr="00FA7763">
        <w:rPr>
          <w:lang w:val="en-GB"/>
        </w:rPr>
      </w:r>
      <w:r w:rsidR="00125AF4" w:rsidRPr="00FA7763">
        <w:rPr>
          <w:lang w:val="en-GB"/>
        </w:rPr>
        <w:fldChar w:fldCharType="separate"/>
      </w:r>
      <w:r w:rsidR="00E62976">
        <w:rPr>
          <w:lang w:val="en-GB"/>
        </w:rPr>
        <w:t>[79]</w:t>
      </w:r>
      <w:r w:rsidR="00125AF4" w:rsidRPr="00FA7763">
        <w:rPr>
          <w:lang w:val="en-GB"/>
        </w:rPr>
        <w:fldChar w:fldCharType="end"/>
      </w:r>
      <w:r w:rsidRPr="00E20701">
        <w:rPr>
          <w:lang w:val="en-GB"/>
        </w:rPr>
        <w:t xml:space="preserve"> provides further recommendations on the identification of initiating events and the screening procedure. First, the methods supplemental points out that a spectrum of initiating events should be determined by using a top-down approach (cf. SSG-2 </w:t>
      </w:r>
      <w:r w:rsidR="00125AF4" w:rsidRPr="00FA7763">
        <w:rPr>
          <w:lang w:val="en-GB"/>
        </w:rPr>
        <w:fldChar w:fldCharType="begin"/>
      </w:r>
      <w:r w:rsidRPr="00E20701">
        <w:rPr>
          <w:lang w:val="en-GB"/>
        </w:rPr>
        <w:instrText xml:space="preserve"> REF _Ref384387949 \r \h </w:instrText>
      </w:r>
      <w:r w:rsidR="00125AF4" w:rsidRPr="00FA7763">
        <w:rPr>
          <w:lang w:val="en-GB"/>
        </w:rPr>
      </w:r>
      <w:r w:rsidR="00125AF4" w:rsidRPr="00FA7763">
        <w:rPr>
          <w:lang w:val="en-GB"/>
        </w:rPr>
        <w:fldChar w:fldCharType="separate"/>
      </w:r>
      <w:r w:rsidR="00E62976">
        <w:rPr>
          <w:lang w:val="en-GB"/>
        </w:rPr>
        <w:t>[3]</w:t>
      </w:r>
      <w:r w:rsidR="00125AF4" w:rsidRPr="00FA7763">
        <w:rPr>
          <w:lang w:val="en-GB"/>
        </w:rPr>
        <w:fldChar w:fldCharType="end"/>
      </w:r>
      <w:r w:rsidRPr="00E20701">
        <w:rPr>
          <w:lang w:val="en-GB"/>
        </w:rPr>
        <w:t xml:space="preserve">, </w:t>
      </w:r>
      <w:r w:rsidR="00CF7EEA">
        <w:rPr>
          <w:lang w:val="en-GB"/>
        </w:rPr>
        <w:t xml:space="preserve">SSG-3 </w:t>
      </w:r>
      <w:r w:rsidR="00125AF4" w:rsidRPr="00FA7763">
        <w:rPr>
          <w:lang w:val="en-GB"/>
        </w:rPr>
        <w:fldChar w:fldCharType="begin"/>
      </w:r>
      <w:r w:rsidRPr="00E20701">
        <w:rPr>
          <w:lang w:val="en-GB"/>
        </w:rPr>
        <w:instrText xml:space="preserve"> REF _Ref384386913 \r \h </w:instrText>
      </w:r>
      <w:r w:rsidR="00125AF4" w:rsidRPr="00FA7763">
        <w:rPr>
          <w:lang w:val="en-GB"/>
        </w:rPr>
      </w:r>
      <w:r w:rsidR="00125AF4" w:rsidRPr="00FA7763">
        <w:rPr>
          <w:lang w:val="en-GB"/>
        </w:rPr>
        <w:fldChar w:fldCharType="separate"/>
      </w:r>
      <w:r w:rsidR="00E62976">
        <w:rPr>
          <w:lang w:val="en-GB"/>
        </w:rPr>
        <w:t>[4]</w:t>
      </w:r>
      <w:r w:rsidR="00125AF4" w:rsidRPr="00FA7763">
        <w:rPr>
          <w:lang w:val="en-GB"/>
        </w:rPr>
        <w:fldChar w:fldCharType="end"/>
      </w:r>
      <w:r w:rsidRPr="00E20701">
        <w:rPr>
          <w:lang w:val="en-GB"/>
        </w:rPr>
        <w:t>).</w:t>
      </w:r>
      <w:r w:rsidR="00570B8E" w:rsidRPr="00E20701">
        <w:rPr>
          <w:lang w:val="en-GB"/>
        </w:rPr>
        <w:t xml:space="preserve"> For shutdown states, such a procedure is specifically recommended. It</w:t>
      </w:r>
      <w:r w:rsidR="00554C37" w:rsidRPr="00E20701">
        <w:rPr>
          <w:lang w:val="en-GB"/>
        </w:rPr>
        <w:t xml:space="preserve"> should be applied for events affecting the spent fuel pool as well.</w:t>
      </w:r>
      <w:r w:rsidR="00570B8E" w:rsidRPr="00E20701">
        <w:rPr>
          <w:lang w:val="en-GB"/>
        </w:rPr>
        <w:t xml:space="preserve"> Especially for low power and shutdown states, operator actions should be investigated whether mistakes and errors could trigger an initiating event. The initiating events have to be assigned to operating states, on which additional recommendations are given the methods supplemental as well </w:t>
      </w:r>
      <w:r w:rsidR="00CF0ED7" w:rsidRPr="00FA7763">
        <w:rPr>
          <w:lang w:val="en-GB"/>
        </w:rPr>
        <w:fldChar w:fldCharType="begin"/>
      </w:r>
      <w:r w:rsidR="00CF0ED7" w:rsidRPr="00E20701">
        <w:rPr>
          <w:lang w:val="en-GB"/>
        </w:rPr>
        <w:instrText xml:space="preserve"> REF _Ref418689860 \r \h </w:instrText>
      </w:r>
      <w:r w:rsidR="00CF0ED7" w:rsidRPr="00FA7763">
        <w:rPr>
          <w:lang w:val="en-GB"/>
        </w:rPr>
      </w:r>
      <w:r w:rsidR="00CF0ED7" w:rsidRPr="00FA7763">
        <w:rPr>
          <w:lang w:val="en-GB"/>
        </w:rPr>
        <w:fldChar w:fldCharType="separate"/>
      </w:r>
      <w:r w:rsidR="00E62976">
        <w:rPr>
          <w:lang w:val="en-GB"/>
        </w:rPr>
        <w:t>[79]</w:t>
      </w:r>
      <w:r w:rsidR="00CF0ED7" w:rsidRPr="00FA7763">
        <w:rPr>
          <w:lang w:val="en-GB"/>
        </w:rPr>
        <w:fldChar w:fldCharType="end"/>
      </w:r>
      <w:r w:rsidR="00570B8E" w:rsidRPr="00E20701">
        <w:rPr>
          <w:lang w:val="en-GB"/>
        </w:rPr>
        <w:t xml:space="preserve">, </w:t>
      </w:r>
      <w:r w:rsidR="00CF0ED7">
        <w:rPr>
          <w:lang w:val="en-GB"/>
        </w:rPr>
        <w:fldChar w:fldCharType="begin"/>
      </w:r>
      <w:r w:rsidR="00CF0ED7">
        <w:rPr>
          <w:lang w:val="en-GB"/>
        </w:rPr>
        <w:instrText xml:space="preserve"> REF _Ref464306838 \w \h </w:instrText>
      </w:r>
      <w:r w:rsidR="00CF0ED7">
        <w:rPr>
          <w:lang w:val="en-GB"/>
        </w:rPr>
      </w:r>
      <w:r w:rsidR="00CF0ED7">
        <w:rPr>
          <w:lang w:val="en-GB"/>
        </w:rPr>
        <w:fldChar w:fldCharType="separate"/>
      </w:r>
      <w:r w:rsidR="00E62976">
        <w:rPr>
          <w:lang w:val="en-GB"/>
        </w:rPr>
        <w:t>[80]</w:t>
      </w:r>
      <w:r w:rsidR="00CF0ED7">
        <w:rPr>
          <w:lang w:val="en-GB"/>
        </w:rPr>
        <w:fldChar w:fldCharType="end"/>
      </w:r>
      <w:r w:rsidR="00570B8E" w:rsidRPr="00E20701">
        <w:rPr>
          <w:lang w:val="en-GB"/>
        </w:rPr>
        <w:t>.</w:t>
      </w:r>
    </w:p>
    <w:p w:rsidR="00F570F1" w:rsidRPr="00E20701" w:rsidRDefault="00262839" w:rsidP="00C70893">
      <w:pPr>
        <w:rPr>
          <w:lang w:val="en-GB"/>
        </w:rPr>
      </w:pPr>
      <w:r w:rsidRPr="00E20701">
        <w:rPr>
          <w:lang w:val="en-GB"/>
        </w:rPr>
        <w:t xml:space="preserve">Initiating events should be grouped together, if they exhibit the same characteristic in terms of success criteria and event progression. The methods supplemental points out that </w:t>
      </w:r>
      <w:r w:rsidR="00E03821" w:rsidRPr="00E20701">
        <w:rPr>
          <w:lang w:val="en-GB"/>
        </w:rPr>
        <w:t>the needs of</w:t>
      </w:r>
      <w:r w:rsidRPr="00E20701">
        <w:rPr>
          <w:lang w:val="en-GB"/>
        </w:rPr>
        <w:t xml:space="preserve"> PSA Level 2 may necessitate the inclusion of additional events into the events spectrum </w:t>
      </w:r>
      <w:r w:rsidR="00CF0ED7" w:rsidRPr="00FA7763">
        <w:rPr>
          <w:lang w:val="en-GB"/>
        </w:rPr>
        <w:fldChar w:fldCharType="begin"/>
      </w:r>
      <w:r w:rsidR="00CF0ED7" w:rsidRPr="00E20701">
        <w:rPr>
          <w:lang w:val="en-GB"/>
        </w:rPr>
        <w:instrText xml:space="preserve"> REF _Ref418689860 \r \h </w:instrText>
      </w:r>
      <w:r w:rsidR="00CF0ED7" w:rsidRPr="00FA7763">
        <w:rPr>
          <w:lang w:val="en-GB"/>
        </w:rPr>
      </w:r>
      <w:r w:rsidR="00CF0ED7" w:rsidRPr="00FA7763">
        <w:rPr>
          <w:lang w:val="en-GB"/>
        </w:rPr>
        <w:fldChar w:fldCharType="separate"/>
      </w:r>
      <w:r w:rsidR="00E62976">
        <w:rPr>
          <w:lang w:val="en-GB"/>
        </w:rPr>
        <w:t>[79]</w:t>
      </w:r>
      <w:r w:rsidR="00CF0ED7" w:rsidRPr="00FA7763">
        <w:rPr>
          <w:lang w:val="en-GB"/>
        </w:rPr>
        <w:fldChar w:fldCharType="end"/>
      </w:r>
      <w:r w:rsidRPr="00E20701">
        <w:rPr>
          <w:lang w:val="en-GB"/>
        </w:rPr>
        <w:t xml:space="preserve">. </w:t>
      </w:r>
      <w:r w:rsidR="00F570F1" w:rsidRPr="00E20701">
        <w:rPr>
          <w:lang w:val="en-GB"/>
        </w:rPr>
        <w:t>The spectrum of in</w:t>
      </w:r>
      <w:r w:rsidR="002E0D5F" w:rsidRPr="00E20701">
        <w:rPr>
          <w:lang w:val="en-GB"/>
        </w:rPr>
        <w:t>itiating event should consider</w:t>
      </w:r>
      <w:r w:rsidR="00F570F1" w:rsidRPr="00E20701">
        <w:rPr>
          <w:lang w:val="en-GB"/>
        </w:rPr>
        <w:t xml:space="preserve"> input from other PSAs, operating experience, and </w:t>
      </w:r>
      <w:r w:rsidR="002E0D5F" w:rsidRPr="00E20701">
        <w:rPr>
          <w:lang w:val="en-GB"/>
        </w:rPr>
        <w:t xml:space="preserve">from deterministic safety analysis (cf. the lists in </w:t>
      </w:r>
      <w:r w:rsidR="0006161D">
        <w:rPr>
          <w:lang w:val="en-GB"/>
        </w:rPr>
        <w:fldChar w:fldCharType="begin"/>
      </w:r>
      <w:r w:rsidR="0006161D">
        <w:rPr>
          <w:lang w:val="en-GB"/>
        </w:rPr>
        <w:instrText xml:space="preserve"> REF _Ref418689856 \r \h </w:instrText>
      </w:r>
      <w:r w:rsidR="0006161D">
        <w:rPr>
          <w:lang w:val="en-GB"/>
        </w:rPr>
      </w:r>
      <w:r w:rsidR="0006161D">
        <w:rPr>
          <w:lang w:val="en-GB"/>
        </w:rPr>
        <w:fldChar w:fldCharType="separate"/>
      </w:r>
      <w:r w:rsidR="00E62976">
        <w:rPr>
          <w:lang w:val="en-GB"/>
        </w:rPr>
        <w:t>[76]</w:t>
      </w:r>
      <w:r w:rsidR="0006161D">
        <w:rPr>
          <w:lang w:val="en-GB"/>
        </w:rPr>
        <w:fldChar w:fldCharType="end"/>
      </w:r>
      <w:r w:rsidR="002E0D5F" w:rsidRPr="00E20701">
        <w:rPr>
          <w:lang w:val="en-GB"/>
        </w:rPr>
        <w:t>).</w:t>
      </w:r>
    </w:p>
    <w:p w:rsidR="00570B8E" w:rsidRPr="00E20701" w:rsidRDefault="00570B8E" w:rsidP="00C70893">
      <w:pPr>
        <w:rPr>
          <w:lang w:val="en-GB"/>
        </w:rPr>
      </w:pPr>
      <w:r w:rsidRPr="00E20701">
        <w:rPr>
          <w:lang w:val="en-GB"/>
        </w:rPr>
        <w:t xml:space="preserve">With respect to internal hazards, the methods supplemental gives specific recommendations </w:t>
      </w:r>
      <w:r w:rsidR="004B3191" w:rsidRPr="00E20701">
        <w:rPr>
          <w:lang w:val="en-GB"/>
        </w:rPr>
        <w:t>on internal fire and internal flooding analysis</w:t>
      </w:r>
      <w:r w:rsidR="00052E5A" w:rsidRPr="00E20701">
        <w:rPr>
          <w:lang w:val="en-GB"/>
        </w:rPr>
        <w:t xml:space="preserve"> </w:t>
      </w:r>
      <w:r w:rsidR="00CF0ED7" w:rsidRPr="00FA7763">
        <w:rPr>
          <w:lang w:val="en-GB"/>
        </w:rPr>
        <w:fldChar w:fldCharType="begin"/>
      </w:r>
      <w:r w:rsidR="00CF0ED7" w:rsidRPr="00E20701">
        <w:rPr>
          <w:lang w:val="en-GB"/>
        </w:rPr>
        <w:instrText xml:space="preserve"> REF _Ref418689860 \r \h </w:instrText>
      </w:r>
      <w:r w:rsidR="00CF0ED7" w:rsidRPr="00FA7763">
        <w:rPr>
          <w:lang w:val="en-GB"/>
        </w:rPr>
      </w:r>
      <w:r w:rsidR="00CF0ED7" w:rsidRPr="00FA7763">
        <w:rPr>
          <w:lang w:val="en-GB"/>
        </w:rPr>
        <w:fldChar w:fldCharType="separate"/>
      </w:r>
      <w:r w:rsidR="00E62976">
        <w:rPr>
          <w:lang w:val="en-GB"/>
        </w:rPr>
        <w:t>[79]</w:t>
      </w:r>
      <w:r w:rsidR="00CF0ED7" w:rsidRPr="00FA7763">
        <w:rPr>
          <w:lang w:val="en-GB"/>
        </w:rPr>
        <w:fldChar w:fldCharType="end"/>
      </w:r>
      <w:r w:rsidR="004B3191" w:rsidRPr="00E20701">
        <w:rPr>
          <w:lang w:val="en-GB"/>
        </w:rPr>
        <w:t>. For the</w:t>
      </w:r>
      <w:r w:rsidRPr="00E20701">
        <w:rPr>
          <w:lang w:val="en-GB"/>
        </w:rPr>
        <w:t xml:space="preserve"> identification of relevant fire compartments </w:t>
      </w:r>
      <w:r w:rsidR="004B3191" w:rsidRPr="00E20701">
        <w:rPr>
          <w:lang w:val="en-GB"/>
        </w:rPr>
        <w:t xml:space="preserve">it recommends </w:t>
      </w:r>
      <w:r w:rsidRPr="00E20701">
        <w:rPr>
          <w:lang w:val="en-GB"/>
        </w:rPr>
        <w:t xml:space="preserve">e.g. </w:t>
      </w:r>
      <w:r w:rsidR="004B3191" w:rsidRPr="00E20701">
        <w:rPr>
          <w:lang w:val="en-GB"/>
        </w:rPr>
        <w:t xml:space="preserve">the </w:t>
      </w:r>
      <w:r w:rsidRPr="00E20701">
        <w:rPr>
          <w:lang w:val="en-GB"/>
        </w:rPr>
        <w:t>method of Berry</w:t>
      </w:r>
      <w:r w:rsidR="004B3191" w:rsidRPr="00E20701">
        <w:rPr>
          <w:lang w:val="en-GB"/>
        </w:rPr>
        <w:t xml:space="preserve"> and for ignition frequency estimation a variant of the Berry method. For internal flooding, scenarios should be determined by first identifying relevant flooding sources (tanks, piping), the potentially released amounts of water, and the potential effects on plant systems (considering spreading). This information should be used to determine enveloping flooding scenarios. The determination of frequencies of leaks and breaks can be done again with the methods described in the PSA data supplemental </w:t>
      </w:r>
      <w:r w:rsidR="0006161D">
        <w:rPr>
          <w:lang w:val="en-GB"/>
        </w:rPr>
        <w:fldChar w:fldCharType="begin"/>
      </w:r>
      <w:r w:rsidR="0006161D">
        <w:rPr>
          <w:lang w:val="en-GB"/>
        </w:rPr>
        <w:instrText xml:space="preserve"> REF _Ref418782507 \r \h </w:instrText>
      </w:r>
      <w:r w:rsidR="0006161D">
        <w:rPr>
          <w:lang w:val="en-GB"/>
        </w:rPr>
      </w:r>
      <w:r w:rsidR="0006161D">
        <w:rPr>
          <w:lang w:val="en-GB"/>
        </w:rPr>
        <w:fldChar w:fldCharType="separate"/>
      </w:r>
      <w:r w:rsidR="00E62976">
        <w:rPr>
          <w:lang w:val="en-GB"/>
        </w:rPr>
        <w:t>[84]</w:t>
      </w:r>
      <w:r w:rsidR="0006161D">
        <w:rPr>
          <w:lang w:val="en-GB"/>
        </w:rPr>
        <w:fldChar w:fldCharType="end"/>
      </w:r>
      <w:r w:rsidR="004B3191" w:rsidRPr="00E20701">
        <w:rPr>
          <w:lang w:val="en-GB"/>
        </w:rPr>
        <w:t xml:space="preserve">. </w:t>
      </w:r>
    </w:p>
    <w:p w:rsidR="00E74C59" w:rsidRPr="00E20701" w:rsidRDefault="004B3191" w:rsidP="00C70893">
      <w:pPr>
        <w:rPr>
          <w:lang w:val="en-GB"/>
        </w:rPr>
      </w:pPr>
      <w:r w:rsidRPr="00E20701">
        <w:rPr>
          <w:lang w:val="en-GB"/>
        </w:rPr>
        <w:t xml:space="preserve">With respect to external hazards, the methods supplemental </w:t>
      </w:r>
      <w:r w:rsidR="00CF0ED7" w:rsidRPr="00FA7763">
        <w:rPr>
          <w:lang w:val="en-GB"/>
        </w:rPr>
        <w:fldChar w:fldCharType="begin"/>
      </w:r>
      <w:r w:rsidR="00CF0ED7" w:rsidRPr="00E20701">
        <w:rPr>
          <w:lang w:val="en-GB"/>
        </w:rPr>
        <w:instrText xml:space="preserve"> REF _Ref418689860 \r \h </w:instrText>
      </w:r>
      <w:r w:rsidR="00CF0ED7" w:rsidRPr="00FA7763">
        <w:rPr>
          <w:lang w:val="en-GB"/>
        </w:rPr>
      </w:r>
      <w:r w:rsidR="00CF0ED7" w:rsidRPr="00FA7763">
        <w:rPr>
          <w:lang w:val="en-GB"/>
        </w:rPr>
        <w:fldChar w:fldCharType="separate"/>
      </w:r>
      <w:r w:rsidR="00E62976">
        <w:rPr>
          <w:lang w:val="en-GB"/>
        </w:rPr>
        <w:t>[79]</w:t>
      </w:r>
      <w:r w:rsidR="00CF0ED7" w:rsidRPr="00FA7763">
        <w:rPr>
          <w:lang w:val="en-GB"/>
        </w:rPr>
        <w:fldChar w:fldCharType="end"/>
      </w:r>
      <w:r w:rsidRPr="00E20701">
        <w:rPr>
          <w:lang w:val="en-GB"/>
        </w:rPr>
        <w:t xml:space="preserve"> and a 2015 update </w:t>
      </w:r>
      <w:r w:rsidR="00CF0ED7">
        <w:rPr>
          <w:lang w:val="en-GB"/>
        </w:rPr>
        <w:fldChar w:fldCharType="begin"/>
      </w:r>
      <w:r w:rsidR="00CF0ED7">
        <w:rPr>
          <w:lang w:val="en-GB"/>
        </w:rPr>
        <w:instrText xml:space="preserve"> REF _Ref464306838 \w \h </w:instrText>
      </w:r>
      <w:r w:rsidR="00CF0ED7">
        <w:rPr>
          <w:lang w:val="en-GB"/>
        </w:rPr>
      </w:r>
      <w:r w:rsidR="00CF0ED7">
        <w:rPr>
          <w:lang w:val="en-GB"/>
        </w:rPr>
        <w:fldChar w:fldCharType="separate"/>
      </w:r>
      <w:r w:rsidR="00E62976">
        <w:rPr>
          <w:lang w:val="en-GB"/>
        </w:rPr>
        <w:t>[80]</w:t>
      </w:r>
      <w:r w:rsidR="00CF0ED7">
        <w:rPr>
          <w:lang w:val="en-GB"/>
        </w:rPr>
        <w:fldChar w:fldCharType="end"/>
      </w:r>
      <w:r w:rsidRPr="00E20701">
        <w:rPr>
          <w:lang w:val="en-GB"/>
        </w:rPr>
        <w:t xml:space="preserve"> give specific recommendations for aircraft crash, explosion (pressure wave), external flooding, and seism.</w:t>
      </w:r>
    </w:p>
    <w:p w:rsidR="00E74C59" w:rsidRPr="00E20701" w:rsidRDefault="00E74C59" w:rsidP="00E62976">
      <w:pPr>
        <w:numPr>
          <w:ilvl w:val="0"/>
          <w:numId w:val="34"/>
        </w:numPr>
        <w:rPr>
          <w:lang w:val="en-GB"/>
        </w:rPr>
      </w:pPr>
      <w:r w:rsidRPr="00E20701">
        <w:rPr>
          <w:lang w:val="en-GB"/>
        </w:rPr>
        <w:t>Aircraft crash:</w:t>
      </w:r>
      <w:r w:rsidR="00AD1E2B" w:rsidRPr="00E20701">
        <w:rPr>
          <w:lang w:val="en-GB"/>
        </w:rPr>
        <w:t xml:space="preserve"> For a start, if the plant is designed to the standard given in the Safety Requirements, no probabilistic analysis is necessary. Otherwise, the methods supplemental provides </w:t>
      </w:r>
      <w:r w:rsidR="0006161D">
        <w:rPr>
          <w:lang w:val="en-GB"/>
        </w:rPr>
        <w:fldChar w:fldCharType="begin"/>
      </w:r>
      <w:r w:rsidR="0006161D">
        <w:rPr>
          <w:lang w:val="en-GB"/>
        </w:rPr>
        <w:instrText xml:space="preserve"> REF _Ref418689860 \r \h </w:instrText>
      </w:r>
      <w:r w:rsidR="0006161D">
        <w:rPr>
          <w:lang w:val="en-GB"/>
        </w:rPr>
      </w:r>
      <w:r w:rsidR="0006161D">
        <w:rPr>
          <w:lang w:val="en-GB"/>
        </w:rPr>
        <w:fldChar w:fldCharType="separate"/>
      </w:r>
      <w:r w:rsidR="00E62976">
        <w:rPr>
          <w:lang w:val="en-GB"/>
        </w:rPr>
        <w:t>[79]</w:t>
      </w:r>
      <w:r w:rsidR="0006161D">
        <w:rPr>
          <w:lang w:val="en-GB"/>
        </w:rPr>
        <w:fldChar w:fldCharType="end"/>
      </w:r>
      <w:r w:rsidR="00AD1E2B" w:rsidRPr="00E20701">
        <w:rPr>
          <w:lang w:val="en-GB"/>
        </w:rPr>
        <w:t xml:space="preserve"> a method for computing aircraft crash frequency of occurrence for civil and military air traffic, and defines five classes of air craft for consideration and three categories of plant buildings, which should be evaluated for potential hazard scenarios.</w:t>
      </w:r>
    </w:p>
    <w:p w:rsidR="007659B5" w:rsidRPr="00E20701" w:rsidRDefault="00E74C59" w:rsidP="00E62976">
      <w:pPr>
        <w:numPr>
          <w:ilvl w:val="0"/>
          <w:numId w:val="34"/>
        </w:numPr>
        <w:rPr>
          <w:lang w:val="en-GB"/>
        </w:rPr>
      </w:pPr>
      <w:r w:rsidRPr="00E20701">
        <w:rPr>
          <w:lang w:val="en-GB"/>
        </w:rPr>
        <w:t>Explosion:</w:t>
      </w:r>
      <w:r w:rsidR="00AD1E2B" w:rsidRPr="00E20701">
        <w:rPr>
          <w:lang w:val="en-GB"/>
        </w:rPr>
        <w:t xml:space="preserve"> </w:t>
      </w:r>
      <w:r w:rsidR="007659B5" w:rsidRPr="00E20701">
        <w:rPr>
          <w:lang w:val="en-GB"/>
        </w:rPr>
        <w:t xml:space="preserve">The supplemental specifies a method for deriving the respective hazard frequency of occurrence for different impacts types (detonating substances like explosives, deflagration of gas-air mixtures). These have to be determined for different sources (transport by streets, water, logistics center, and for industrial facilities) and materials like </w:t>
      </w:r>
      <w:r w:rsidR="00A6173D" w:rsidRPr="00E20701">
        <w:rPr>
          <w:lang w:val="en-GB"/>
        </w:rPr>
        <w:t>liquefied</w:t>
      </w:r>
      <w:r w:rsidR="007659B5" w:rsidRPr="00E20701">
        <w:rPr>
          <w:lang w:val="en-GB"/>
        </w:rPr>
        <w:t xml:space="preserve"> hydrocarbon gases, flammable gases of all kinds, ammunition. If unit is designed (deterministically) against a pressure wave with peak pressure of 0.45 bar at 100 ms for safety-relevant buildings and if the resultant (accumulated) hazard frequency is below 10</w:t>
      </w:r>
      <w:r w:rsidR="007659B5" w:rsidRPr="00C70893">
        <w:rPr>
          <w:vertAlign w:val="superscript"/>
          <w:lang w:val="en-GB"/>
        </w:rPr>
        <w:t>-5</w:t>
      </w:r>
      <w:r w:rsidR="007659B5" w:rsidRPr="00E20701">
        <w:rPr>
          <w:lang w:val="en-GB"/>
        </w:rPr>
        <w:t xml:space="preserve"> per year, then no probabilistic considerations are necessary. Otherwise, bounding or detailed assessments have to be performed.</w:t>
      </w:r>
    </w:p>
    <w:p w:rsidR="00E74C59" w:rsidRPr="00E20701" w:rsidRDefault="00E74C59" w:rsidP="00E62976">
      <w:pPr>
        <w:numPr>
          <w:ilvl w:val="0"/>
          <w:numId w:val="34"/>
        </w:numPr>
        <w:rPr>
          <w:lang w:val="en-GB"/>
        </w:rPr>
      </w:pPr>
      <w:r w:rsidRPr="00E20701">
        <w:rPr>
          <w:lang w:val="en-GB"/>
        </w:rPr>
        <w:t>External flooding:</w:t>
      </w:r>
      <w:r w:rsidR="008303C6" w:rsidRPr="00E20701">
        <w:rPr>
          <w:lang w:val="en-GB"/>
        </w:rPr>
        <w:t xml:space="preserve"> The determination of the frequency of exceedance vs. amplitude curve according to the methods supplemental </w:t>
      </w:r>
      <w:r w:rsidR="0006161D">
        <w:rPr>
          <w:lang w:val="en-GB"/>
        </w:rPr>
        <w:fldChar w:fldCharType="begin"/>
      </w:r>
      <w:r w:rsidR="0006161D">
        <w:rPr>
          <w:lang w:val="en-GB"/>
        </w:rPr>
        <w:instrText xml:space="preserve"> REF _Ref418689860 \r \h </w:instrText>
      </w:r>
      <w:r w:rsidR="0006161D">
        <w:rPr>
          <w:lang w:val="en-GB"/>
        </w:rPr>
      </w:r>
      <w:r w:rsidR="0006161D">
        <w:rPr>
          <w:lang w:val="en-GB"/>
        </w:rPr>
        <w:fldChar w:fldCharType="separate"/>
      </w:r>
      <w:r w:rsidR="00E62976">
        <w:rPr>
          <w:lang w:val="en-GB"/>
        </w:rPr>
        <w:t>[79]</w:t>
      </w:r>
      <w:r w:rsidR="0006161D">
        <w:rPr>
          <w:lang w:val="en-GB"/>
        </w:rPr>
        <w:fldChar w:fldCharType="end"/>
      </w:r>
      <w:r w:rsidR="008303C6" w:rsidRPr="00E20701">
        <w:rPr>
          <w:lang w:val="en-GB"/>
        </w:rPr>
        <w:t xml:space="preserve"> did follow KTA 2207 </w:t>
      </w:r>
      <w:r w:rsidR="0006161D">
        <w:rPr>
          <w:lang w:val="en-GB"/>
        </w:rPr>
        <w:fldChar w:fldCharType="begin"/>
      </w:r>
      <w:r w:rsidR="0006161D">
        <w:rPr>
          <w:lang w:val="en-GB"/>
        </w:rPr>
        <w:instrText xml:space="preserve"> REF _Ref418855768 \r \h </w:instrText>
      </w:r>
      <w:r w:rsidR="0006161D">
        <w:rPr>
          <w:lang w:val="en-GB"/>
        </w:rPr>
      </w:r>
      <w:r w:rsidR="0006161D">
        <w:rPr>
          <w:lang w:val="en-GB"/>
        </w:rPr>
        <w:fldChar w:fldCharType="separate"/>
      </w:r>
      <w:r w:rsidR="00E62976">
        <w:rPr>
          <w:lang w:val="en-GB"/>
        </w:rPr>
        <w:t>[82]</w:t>
      </w:r>
      <w:r w:rsidR="0006161D">
        <w:rPr>
          <w:lang w:val="en-GB"/>
        </w:rPr>
        <w:fldChar w:fldCharType="end"/>
      </w:r>
      <w:r w:rsidR="008303C6" w:rsidRPr="00E20701">
        <w:rPr>
          <w:lang w:val="en-GB"/>
        </w:rPr>
        <w:t xml:space="preserve">. The 2015 update </w:t>
      </w:r>
      <w:r w:rsidR="0006161D">
        <w:rPr>
          <w:lang w:val="en-GB"/>
        </w:rPr>
        <w:fldChar w:fldCharType="begin"/>
      </w:r>
      <w:r w:rsidR="0006161D">
        <w:rPr>
          <w:lang w:val="en-GB"/>
        </w:rPr>
        <w:instrText xml:space="preserve"> REF _Ref418689856 \r \h </w:instrText>
      </w:r>
      <w:r w:rsidR="0006161D">
        <w:rPr>
          <w:lang w:val="en-GB"/>
        </w:rPr>
      </w:r>
      <w:r w:rsidR="0006161D">
        <w:rPr>
          <w:lang w:val="en-GB"/>
        </w:rPr>
        <w:fldChar w:fldCharType="separate"/>
      </w:r>
      <w:r w:rsidR="00E62976">
        <w:rPr>
          <w:lang w:val="en-GB"/>
        </w:rPr>
        <w:t>[76]</w:t>
      </w:r>
      <w:r w:rsidR="0006161D">
        <w:rPr>
          <w:lang w:val="en-GB"/>
        </w:rPr>
        <w:fldChar w:fldCharType="end"/>
      </w:r>
      <w:r w:rsidR="00CC1820">
        <w:rPr>
          <w:lang w:val="en-GB"/>
        </w:rPr>
        <w:t xml:space="preserve"> </w:t>
      </w:r>
      <w:r w:rsidR="008303C6" w:rsidRPr="00E20701">
        <w:rPr>
          <w:lang w:val="en-GB"/>
        </w:rPr>
        <w:t xml:space="preserve">remains within the general scope of KTA 2207 and recommends using statistical extrapolation from measured data, while including influences relevant to flooding (e.g. precipitation, thawing, </w:t>
      </w:r>
      <w:r w:rsidR="005073B5" w:rsidRPr="00E20701">
        <w:rPr>
          <w:lang w:val="en-GB"/>
        </w:rPr>
        <w:t xml:space="preserve">blockages, tide, dyke breaks, wave height, etc.). External flooding can be screened out, if site level flooding is practically excluded </w:t>
      </w:r>
      <w:r w:rsidR="0014460E" w:rsidRPr="00E20701">
        <w:rPr>
          <w:lang w:val="en-GB"/>
        </w:rPr>
        <w:t xml:space="preserve">due to the site topography and plant design </w:t>
      </w:r>
      <w:r w:rsidR="005073B5" w:rsidRPr="00E20701">
        <w:rPr>
          <w:lang w:val="en-GB"/>
        </w:rPr>
        <w:t xml:space="preserve">for </w:t>
      </w:r>
      <w:r w:rsidR="00DC734C" w:rsidRPr="00E20701">
        <w:rPr>
          <w:lang w:val="en-GB"/>
        </w:rPr>
        <w:t xml:space="preserve">a flooding event caused by a 1.5 times higher water runoff flow than assumed for the design basis flood (for inland </w:t>
      </w:r>
      <w:r w:rsidR="00E55890" w:rsidRPr="00E20701">
        <w:rPr>
          <w:lang w:val="en-GB"/>
        </w:rPr>
        <w:t xml:space="preserve">water sites) </w:t>
      </w:r>
      <w:r w:rsidR="0014460E" w:rsidRPr="00E20701">
        <w:rPr>
          <w:lang w:val="en-GB"/>
        </w:rPr>
        <w:t>or</w:t>
      </w:r>
      <w:r w:rsidR="00E55890" w:rsidRPr="00E20701">
        <w:rPr>
          <w:lang w:val="en-GB"/>
        </w:rPr>
        <w:t xml:space="preserve"> a 1 meter higher flood level </w:t>
      </w:r>
      <w:r w:rsidR="0014460E" w:rsidRPr="00E20701">
        <w:rPr>
          <w:lang w:val="en-GB"/>
        </w:rPr>
        <w:t>(</w:t>
      </w:r>
      <w:r w:rsidR="00E55890" w:rsidRPr="00E20701">
        <w:rPr>
          <w:lang w:val="en-GB"/>
        </w:rPr>
        <w:t>for site</w:t>
      </w:r>
      <w:r w:rsidR="0014460E" w:rsidRPr="00E20701">
        <w:rPr>
          <w:lang w:val="en-GB"/>
        </w:rPr>
        <w:t>s</w:t>
      </w:r>
      <w:r w:rsidR="00E55890" w:rsidRPr="00E20701">
        <w:rPr>
          <w:lang w:val="en-GB"/>
        </w:rPr>
        <w:t xml:space="preserve"> at the sea or in the tidal influence zone</w:t>
      </w:r>
      <w:r w:rsidR="0014460E" w:rsidRPr="00E20701">
        <w:rPr>
          <w:lang w:val="en-GB"/>
        </w:rPr>
        <w:t>)</w:t>
      </w:r>
      <w:r w:rsidR="00E55890" w:rsidRPr="00E20701">
        <w:rPr>
          <w:lang w:val="en-GB"/>
        </w:rPr>
        <w:t>.</w:t>
      </w:r>
      <w:r w:rsidR="0014460E" w:rsidRPr="00E20701">
        <w:rPr>
          <w:lang w:val="en-GB"/>
        </w:rPr>
        <w:t xml:space="preserve"> Otherwise, at least a bounding assessment has to be made, which determines in addition to the frequency of exceedance also the conditional failure probability of flooding protection barriers and measures. If this conditional probability is less than 10</w:t>
      </w:r>
      <w:r w:rsidR="0014460E" w:rsidRPr="00C70893">
        <w:rPr>
          <w:vertAlign w:val="superscript"/>
          <w:lang w:val="en-GB"/>
        </w:rPr>
        <w:t>-2</w:t>
      </w:r>
      <w:r w:rsidR="0014460E" w:rsidRPr="00E20701">
        <w:rPr>
          <w:lang w:val="en-GB"/>
        </w:rPr>
        <w:t xml:space="preserve"> and consequently, CDF for flooding is significantly below 10</w:t>
      </w:r>
      <w:r w:rsidR="0014460E" w:rsidRPr="00C70893">
        <w:rPr>
          <w:vertAlign w:val="superscript"/>
          <w:lang w:val="en-GB"/>
        </w:rPr>
        <w:t>-6</w:t>
      </w:r>
      <w:r w:rsidR="008D75DB">
        <w:rPr>
          <w:lang w:val="en-GB"/>
        </w:rPr>
        <w:t>/a</w:t>
      </w:r>
      <w:r w:rsidR="0014460E" w:rsidRPr="00E20701">
        <w:rPr>
          <w:lang w:val="en-GB"/>
        </w:rPr>
        <w:t xml:space="preserve">, then this bounding assessment suffices. </w:t>
      </w:r>
      <w:r w:rsidR="001D290B">
        <w:rPr>
          <w:lang w:val="en-GB"/>
        </w:rPr>
        <w:t>If</w:t>
      </w:r>
      <w:r w:rsidR="001D290B" w:rsidRPr="00E20701">
        <w:rPr>
          <w:lang w:val="en-GB"/>
        </w:rPr>
        <w:t xml:space="preserve"> </w:t>
      </w:r>
      <w:r w:rsidR="00383446" w:rsidRPr="00E20701">
        <w:rPr>
          <w:lang w:val="en-GB"/>
        </w:rPr>
        <w:t>this cannot be shown, a detailed flooding PSA is mandated.</w:t>
      </w:r>
      <w:r w:rsidR="00E55890" w:rsidRPr="00E20701">
        <w:rPr>
          <w:lang w:val="en-GB"/>
        </w:rPr>
        <w:t xml:space="preserve"> </w:t>
      </w:r>
      <w:r w:rsidR="00383446" w:rsidRPr="00E20701">
        <w:rPr>
          <w:lang w:val="en-GB"/>
        </w:rPr>
        <w:t>The latter has not been performed for operational German NPP.</w:t>
      </w:r>
    </w:p>
    <w:p w:rsidR="00E74C59" w:rsidRPr="00E20701" w:rsidRDefault="00A6173D" w:rsidP="00E62976">
      <w:pPr>
        <w:numPr>
          <w:ilvl w:val="0"/>
          <w:numId w:val="34"/>
        </w:numPr>
        <w:rPr>
          <w:lang w:val="en-GB"/>
        </w:rPr>
      </w:pPr>
      <w:r>
        <w:rPr>
          <w:lang w:val="en-GB"/>
        </w:rPr>
        <w:t>Earthquake</w:t>
      </w:r>
      <w:r w:rsidR="00E74C59" w:rsidRPr="00E20701">
        <w:rPr>
          <w:lang w:val="en-GB"/>
        </w:rPr>
        <w:t xml:space="preserve">: </w:t>
      </w:r>
      <w:r w:rsidR="002E31CB" w:rsidRPr="00E20701">
        <w:rPr>
          <w:lang w:val="en-GB"/>
        </w:rPr>
        <w:t xml:space="preserve">The methods supplemental </w:t>
      </w:r>
      <w:r w:rsidR="0006161D">
        <w:rPr>
          <w:lang w:val="en-GB"/>
        </w:rPr>
        <w:fldChar w:fldCharType="begin"/>
      </w:r>
      <w:r w:rsidR="0006161D">
        <w:rPr>
          <w:lang w:val="en-GB"/>
        </w:rPr>
        <w:instrText xml:space="preserve"> REF _Ref418689860 \r \h </w:instrText>
      </w:r>
      <w:r w:rsidR="0006161D">
        <w:rPr>
          <w:lang w:val="en-GB"/>
        </w:rPr>
      </w:r>
      <w:r w:rsidR="0006161D">
        <w:rPr>
          <w:lang w:val="en-GB"/>
        </w:rPr>
        <w:fldChar w:fldCharType="separate"/>
      </w:r>
      <w:r w:rsidR="00E62976">
        <w:rPr>
          <w:lang w:val="en-GB"/>
        </w:rPr>
        <w:t>[79]</w:t>
      </w:r>
      <w:r w:rsidR="0006161D">
        <w:rPr>
          <w:lang w:val="en-GB"/>
        </w:rPr>
        <w:fldChar w:fldCharType="end"/>
      </w:r>
      <w:r w:rsidR="002E31CB" w:rsidRPr="00E20701">
        <w:rPr>
          <w:lang w:val="en-GB"/>
        </w:rPr>
        <w:t xml:space="preserve"> and its 2015 update </w:t>
      </w:r>
      <w:r w:rsidR="00750FB3">
        <w:rPr>
          <w:lang w:val="en-GB"/>
        </w:rPr>
        <w:fldChar w:fldCharType="begin"/>
      </w:r>
      <w:r w:rsidR="00750FB3">
        <w:rPr>
          <w:lang w:val="en-GB"/>
        </w:rPr>
        <w:instrText xml:space="preserve"> REF _Ref469067140 \w \h </w:instrText>
      </w:r>
      <w:r w:rsidR="00750FB3">
        <w:rPr>
          <w:lang w:val="en-GB"/>
        </w:rPr>
      </w:r>
      <w:r w:rsidR="00750FB3">
        <w:rPr>
          <w:lang w:val="en-GB"/>
        </w:rPr>
        <w:fldChar w:fldCharType="separate"/>
      </w:r>
      <w:r w:rsidR="00E62976">
        <w:rPr>
          <w:lang w:val="en-GB"/>
        </w:rPr>
        <w:t>[80]</w:t>
      </w:r>
      <w:r w:rsidR="00750FB3">
        <w:rPr>
          <w:lang w:val="en-GB"/>
        </w:rPr>
        <w:fldChar w:fldCharType="end"/>
      </w:r>
      <w:r w:rsidR="002E31CB" w:rsidRPr="00E20701">
        <w:rPr>
          <w:lang w:val="en-GB"/>
        </w:rPr>
        <w:t xml:space="preserve"> assume availability of an updated site-specific PSHA according to KTA 2201 </w:t>
      </w:r>
      <w:r w:rsidR="0087170D">
        <w:rPr>
          <w:lang w:val="en-GB"/>
        </w:rPr>
        <w:fldChar w:fldCharType="begin"/>
      </w:r>
      <w:r w:rsidR="0087170D">
        <w:rPr>
          <w:lang w:val="en-GB"/>
        </w:rPr>
        <w:instrText xml:space="preserve"> REF _Ref418859213 \w \h </w:instrText>
      </w:r>
      <w:r w:rsidR="0087170D">
        <w:rPr>
          <w:lang w:val="en-GB"/>
        </w:rPr>
      </w:r>
      <w:r w:rsidR="0087170D">
        <w:rPr>
          <w:lang w:val="en-GB"/>
        </w:rPr>
        <w:fldChar w:fldCharType="separate"/>
      </w:r>
      <w:r w:rsidR="00E62976">
        <w:rPr>
          <w:lang w:val="en-GB"/>
        </w:rPr>
        <w:t>[81]</w:t>
      </w:r>
      <w:r w:rsidR="0087170D">
        <w:rPr>
          <w:lang w:val="en-GB"/>
        </w:rPr>
        <w:fldChar w:fldCharType="end"/>
      </w:r>
      <w:r w:rsidR="002E31CB" w:rsidRPr="00E20701">
        <w:rPr>
          <w:lang w:val="en-GB"/>
        </w:rPr>
        <w:t xml:space="preserve">. If the intensity value of the design basis earthquake </w:t>
      </w:r>
      <w:r w:rsidR="00D95727" w:rsidRPr="00E20701">
        <w:rPr>
          <w:lang w:val="en-GB"/>
        </w:rPr>
        <w:t>(at 10</w:t>
      </w:r>
      <w:r w:rsidR="00D95727" w:rsidRPr="00C70893">
        <w:rPr>
          <w:vertAlign w:val="superscript"/>
          <w:lang w:val="en-GB"/>
        </w:rPr>
        <w:t>-5</w:t>
      </w:r>
      <w:r w:rsidR="008D75DB">
        <w:rPr>
          <w:lang w:val="en-GB"/>
        </w:rPr>
        <w:t>/a</w:t>
      </w:r>
      <w:r w:rsidR="00D95727" w:rsidRPr="00E20701">
        <w:rPr>
          <w:lang w:val="en-GB"/>
        </w:rPr>
        <w:t xml:space="preserve">) </w:t>
      </w:r>
      <w:r w:rsidR="002E31CB" w:rsidRPr="00E20701">
        <w:rPr>
          <w:lang w:val="en-GB"/>
        </w:rPr>
        <w:t>is at VI</w:t>
      </w:r>
      <w:r w:rsidR="00D95727" w:rsidRPr="00E20701">
        <w:rPr>
          <w:lang w:val="en-GB"/>
        </w:rPr>
        <w:t>, which is the minimal value according to deterministic requirements, then no further probabilistic evaluations are needed. If the DBE is at an intensity between VI and VII, then a simplified approach can be followed: Increase the DBE intensity by 1 and demonstrate that this beyond design earthquake is reliably controlled by the plant. If the DBE intensity exceeds VII, then a full scope seismic PSA is required.</w:t>
      </w:r>
    </w:p>
    <w:p w:rsidR="004B3191" w:rsidRPr="00E20701" w:rsidRDefault="00D95727" w:rsidP="00C70893">
      <w:pPr>
        <w:rPr>
          <w:lang w:val="en-GB"/>
        </w:rPr>
      </w:pPr>
      <w:r w:rsidRPr="00E20701">
        <w:rPr>
          <w:lang w:val="en-GB"/>
        </w:rPr>
        <w:t>There are no specific recommendations on how to treat combinations of hazard events in the determination of initiating events or hazard scenarios for a PSA.</w:t>
      </w:r>
    </w:p>
    <w:p w:rsidR="00D95727" w:rsidRPr="00E20701" w:rsidRDefault="00D95727" w:rsidP="00C70893">
      <w:pPr>
        <w:rPr>
          <w:lang w:val="en-GB"/>
        </w:rPr>
      </w:pPr>
    </w:p>
    <w:p w:rsidR="00680C3F" w:rsidRPr="00E20701" w:rsidRDefault="00D95727" w:rsidP="00C70893">
      <w:pPr>
        <w:rPr>
          <w:lang w:val="en-GB"/>
        </w:rPr>
      </w:pPr>
      <w:r w:rsidRPr="00E20701">
        <w:rPr>
          <w:lang w:val="en-GB"/>
        </w:rPr>
        <w:t>Initiating e</w:t>
      </w:r>
      <w:r w:rsidR="00330708" w:rsidRPr="00E20701">
        <w:rPr>
          <w:lang w:val="en-GB"/>
        </w:rPr>
        <w:t xml:space="preserve">vents can be screened out or treated in a simplified bounding analysis, if it can be shown that each event contributes no more than 10% to the total sum of CDF (and hazard state frequency) and no more than 10% to the total sum of large early releases (LERF). Moreover, the contribution of all events, which are not analysed in detail, shall not exceed 20% of the overall CDF and LERF. It is further recommended to apply the same criteria to other release categories, which in conjunction with the more recent Safety Requirements </w:t>
      </w:r>
      <w:r w:rsidR="00A25D4C">
        <w:rPr>
          <w:lang w:val="en-GB"/>
        </w:rPr>
        <w:fldChar w:fldCharType="begin"/>
      </w:r>
      <w:r w:rsidR="00A25D4C">
        <w:rPr>
          <w:lang w:val="en-GB"/>
        </w:rPr>
        <w:instrText xml:space="preserve"> REF _Ref418689856 \r \h </w:instrText>
      </w:r>
      <w:r w:rsidR="00A25D4C">
        <w:rPr>
          <w:lang w:val="en-GB"/>
        </w:rPr>
      </w:r>
      <w:r w:rsidR="00A25D4C">
        <w:rPr>
          <w:lang w:val="en-GB"/>
        </w:rPr>
        <w:fldChar w:fldCharType="separate"/>
      </w:r>
      <w:r w:rsidR="00E62976">
        <w:rPr>
          <w:lang w:val="en-GB"/>
        </w:rPr>
        <w:t>[76]</w:t>
      </w:r>
      <w:r w:rsidR="00A25D4C">
        <w:rPr>
          <w:lang w:val="en-GB"/>
        </w:rPr>
        <w:fldChar w:fldCharType="end"/>
      </w:r>
      <w:r w:rsidR="001F64E7" w:rsidRPr="00E20701">
        <w:rPr>
          <w:lang w:val="en-GB"/>
        </w:rPr>
        <w:t xml:space="preserve"> </w:t>
      </w:r>
      <w:r w:rsidR="00330708" w:rsidRPr="00E20701">
        <w:rPr>
          <w:lang w:val="en-GB"/>
        </w:rPr>
        <w:t>would include</w:t>
      </w:r>
      <w:r w:rsidR="00907201" w:rsidRPr="00E20701">
        <w:rPr>
          <w:lang w:val="en-GB"/>
        </w:rPr>
        <w:t xml:space="preserve"> at least</w:t>
      </w:r>
      <w:r w:rsidR="00330708" w:rsidRPr="00E20701">
        <w:rPr>
          <w:lang w:val="en-GB"/>
        </w:rPr>
        <w:t xml:space="preserve"> LRF and ERF. </w:t>
      </w:r>
      <w:r w:rsidR="00680C3F" w:rsidRPr="00E20701">
        <w:rPr>
          <w:lang w:val="en-GB"/>
        </w:rPr>
        <w:t>No numerical targets or criteria are given. However, overall CDF and LRF values of operating German NPP are in the range of several times 10</w:t>
      </w:r>
      <w:r w:rsidR="00680C3F" w:rsidRPr="00C70893">
        <w:rPr>
          <w:vertAlign w:val="superscript"/>
          <w:lang w:val="en-GB"/>
        </w:rPr>
        <w:t>-6</w:t>
      </w:r>
      <w:r w:rsidR="00680C3F" w:rsidRPr="00E20701">
        <w:rPr>
          <w:lang w:val="en-GB"/>
        </w:rPr>
        <w:t xml:space="preserve"> to 10</w:t>
      </w:r>
      <w:r w:rsidR="00680C3F" w:rsidRPr="00C70893">
        <w:rPr>
          <w:vertAlign w:val="superscript"/>
          <w:lang w:val="en-GB"/>
        </w:rPr>
        <w:t>-7</w:t>
      </w:r>
      <w:r w:rsidR="00680C3F" w:rsidRPr="00E20701">
        <w:rPr>
          <w:lang w:val="en-GB"/>
        </w:rPr>
        <w:t xml:space="preserve"> per year.</w:t>
      </w:r>
      <w:r w:rsidR="00262839" w:rsidRPr="00E20701">
        <w:rPr>
          <w:lang w:val="en-GB"/>
        </w:rPr>
        <w:t xml:space="preserve"> In any case, contributions from scenarios not evaluated in detail should be documented and should be considered in the PSA results.</w:t>
      </w:r>
    </w:p>
    <w:p w:rsidR="007F2BD8" w:rsidRPr="00E20701" w:rsidRDefault="007F2BD8" w:rsidP="00C70893">
      <w:pPr>
        <w:rPr>
          <w:lang w:val="en-GB"/>
        </w:rPr>
      </w:pPr>
    </w:p>
    <w:p w:rsidR="00547BDD" w:rsidRPr="00E20701" w:rsidRDefault="007F2BD8" w:rsidP="00C70893">
      <w:pPr>
        <w:rPr>
          <w:lang w:val="en-GB"/>
        </w:rPr>
      </w:pPr>
      <w:r w:rsidRPr="00E20701">
        <w:rPr>
          <w:lang w:val="en-GB"/>
        </w:rPr>
        <w:t xml:space="preserve">Investigations by GRS have shown that plant-specific spectra </w:t>
      </w:r>
      <w:r w:rsidR="00D95727" w:rsidRPr="00E20701">
        <w:rPr>
          <w:lang w:val="en-GB"/>
        </w:rPr>
        <w:t xml:space="preserve">of internal initiating </w:t>
      </w:r>
      <w:r w:rsidR="00A6173D">
        <w:rPr>
          <w:lang w:val="en-GB"/>
        </w:rPr>
        <w:t xml:space="preserve">events </w:t>
      </w:r>
      <w:r w:rsidRPr="00E20701">
        <w:rPr>
          <w:lang w:val="en-GB"/>
        </w:rPr>
        <w:t xml:space="preserve">are adequately bounding for most of the events included in the Safety Requirements lists </w:t>
      </w:r>
      <w:r w:rsidR="00A25D4C">
        <w:rPr>
          <w:lang w:val="en-GB"/>
        </w:rPr>
        <w:fldChar w:fldCharType="begin"/>
      </w:r>
      <w:r w:rsidR="00A25D4C">
        <w:rPr>
          <w:lang w:val="en-GB"/>
        </w:rPr>
        <w:instrText xml:space="preserve"> REF _Ref418689856 \r \h </w:instrText>
      </w:r>
      <w:r w:rsidR="00A25D4C">
        <w:rPr>
          <w:lang w:val="en-GB"/>
        </w:rPr>
      </w:r>
      <w:r w:rsidR="00A25D4C">
        <w:rPr>
          <w:lang w:val="en-GB"/>
        </w:rPr>
        <w:fldChar w:fldCharType="separate"/>
      </w:r>
      <w:r w:rsidR="00E62976">
        <w:rPr>
          <w:lang w:val="en-GB"/>
        </w:rPr>
        <w:t>[76]</w:t>
      </w:r>
      <w:r w:rsidR="00A25D4C">
        <w:rPr>
          <w:lang w:val="en-GB"/>
        </w:rPr>
        <w:fldChar w:fldCharType="end"/>
      </w:r>
      <w:r w:rsidRPr="00E20701">
        <w:rPr>
          <w:lang w:val="en-GB"/>
        </w:rPr>
        <w:t xml:space="preserve">. However, probabilistic investigations of hazard events in addition to those explicitly named in </w:t>
      </w:r>
      <w:r w:rsidR="00A25D4C">
        <w:rPr>
          <w:lang w:val="en-GB"/>
        </w:rPr>
        <w:fldChar w:fldCharType="begin"/>
      </w:r>
      <w:r w:rsidR="00A25D4C">
        <w:rPr>
          <w:lang w:val="en-GB"/>
        </w:rPr>
        <w:instrText xml:space="preserve"> REF _Ref418600965 \r \h </w:instrText>
      </w:r>
      <w:r w:rsidR="00A25D4C">
        <w:rPr>
          <w:lang w:val="en-GB"/>
        </w:rPr>
      </w:r>
      <w:r w:rsidR="00A25D4C">
        <w:rPr>
          <w:lang w:val="en-GB"/>
        </w:rPr>
        <w:fldChar w:fldCharType="separate"/>
      </w:r>
      <w:r w:rsidR="00E62976">
        <w:rPr>
          <w:lang w:val="en-GB"/>
        </w:rPr>
        <w:t>[78]</w:t>
      </w:r>
      <w:r w:rsidR="00A25D4C">
        <w:rPr>
          <w:lang w:val="en-GB"/>
        </w:rPr>
        <w:fldChar w:fldCharType="end"/>
      </w:r>
      <w:r w:rsidRPr="00E20701">
        <w:rPr>
          <w:lang w:val="en-GB"/>
        </w:rPr>
        <w:t xml:space="preserve"> are usually not done.</w:t>
      </w:r>
      <w:r w:rsidR="00D95727" w:rsidRPr="00E20701">
        <w:rPr>
          <w:lang w:val="en-GB"/>
        </w:rPr>
        <w:t xml:space="preserve"> </w:t>
      </w:r>
      <w:r w:rsidRPr="00E20701">
        <w:rPr>
          <w:lang w:val="en-GB"/>
        </w:rPr>
        <w:t>Instead, the design basis of the plant, the respective safety margins and low estimated frequencies of exceedance are used to justify screening out any additional hazard scenarios.</w:t>
      </w:r>
      <w:r w:rsidR="00D95727" w:rsidRPr="00E20701">
        <w:rPr>
          <w:lang w:val="en-GB"/>
        </w:rPr>
        <w:t xml:space="preserve"> </w:t>
      </w:r>
      <w:r w:rsidR="00A25D4C">
        <w:rPr>
          <w:lang w:val="en-GB"/>
        </w:rPr>
        <w:t>T</w:t>
      </w:r>
      <w:r w:rsidR="00D95727" w:rsidRPr="00E20701">
        <w:rPr>
          <w:lang w:val="en-GB"/>
        </w:rPr>
        <w:t xml:space="preserve">here are detailed models available for internal fire and for </w:t>
      </w:r>
      <w:r w:rsidR="00A6173D">
        <w:rPr>
          <w:lang w:val="en-GB"/>
        </w:rPr>
        <w:t>earthquake</w:t>
      </w:r>
      <w:r w:rsidR="00D95727" w:rsidRPr="00E20701">
        <w:rPr>
          <w:lang w:val="en-GB"/>
        </w:rPr>
        <w:t>.</w:t>
      </w:r>
    </w:p>
    <w:p w:rsidR="00547BDD" w:rsidRPr="00E20701" w:rsidRDefault="00547BDD" w:rsidP="00C70893">
      <w:pPr>
        <w:rPr>
          <w:lang w:val="en-GB"/>
        </w:rPr>
      </w:pPr>
    </w:p>
    <w:p w:rsidR="00EB3FB2" w:rsidRPr="00E20701" w:rsidRDefault="00EB3FB2" w:rsidP="00C70893">
      <w:pPr>
        <w:rPr>
          <w:lang w:val="en-GB"/>
        </w:rPr>
      </w:pPr>
      <w:r w:rsidRPr="00E20701">
        <w:rPr>
          <w:lang w:val="en-GB"/>
        </w:rPr>
        <w:t xml:space="preserve">As to the questions posed at the end of section </w:t>
      </w:r>
      <w:r w:rsidR="00125AF4" w:rsidRPr="00FA7763">
        <w:rPr>
          <w:lang w:val="en-GB"/>
        </w:rPr>
        <w:fldChar w:fldCharType="begin"/>
      </w:r>
      <w:r w:rsidRPr="00E20701">
        <w:rPr>
          <w:lang w:val="en-GB"/>
        </w:rPr>
        <w:instrText xml:space="preserve"> REF _Ref418859951 \r \h </w:instrText>
      </w:r>
      <w:r w:rsidR="00125AF4" w:rsidRPr="00FA7763">
        <w:rPr>
          <w:lang w:val="en-GB"/>
        </w:rPr>
      </w:r>
      <w:r w:rsidR="00125AF4" w:rsidRPr="00FA7763">
        <w:rPr>
          <w:lang w:val="en-GB"/>
        </w:rPr>
        <w:fldChar w:fldCharType="separate"/>
      </w:r>
      <w:r w:rsidR="00E62976">
        <w:rPr>
          <w:lang w:val="en-GB"/>
        </w:rPr>
        <w:t>4</w:t>
      </w:r>
      <w:r w:rsidR="00125AF4" w:rsidRPr="00FA7763">
        <w:rPr>
          <w:lang w:val="en-GB"/>
        </w:rPr>
        <w:fldChar w:fldCharType="end"/>
      </w:r>
      <w:r w:rsidRPr="00E20701">
        <w:rPr>
          <w:lang w:val="en-GB"/>
        </w:rPr>
        <w:t>, the following insights can be derived from the German regulation and PSA experience.</w:t>
      </w:r>
    </w:p>
    <w:p w:rsidR="00EB3FB2" w:rsidRPr="00E20701" w:rsidRDefault="00EB3FB2" w:rsidP="00E62976">
      <w:pPr>
        <w:numPr>
          <w:ilvl w:val="0"/>
          <w:numId w:val="36"/>
        </w:numPr>
        <w:rPr>
          <w:lang w:val="en-GB"/>
        </w:rPr>
      </w:pPr>
      <w:r w:rsidRPr="00E20701">
        <w:rPr>
          <w:lang w:val="en-GB"/>
        </w:rPr>
        <w:t xml:space="preserve">How should dependencies and correlations between different hazard or event scenarios be identified and quantified? </w:t>
      </w:r>
      <w:r w:rsidRPr="00E20701">
        <w:rPr>
          <w:lang w:val="en-GB"/>
        </w:rPr>
        <w:tab/>
      </w:r>
      <w:r w:rsidRPr="00E20701">
        <w:rPr>
          <w:lang w:val="en-GB"/>
        </w:rPr>
        <w:br/>
        <w:t>There are no specific recommendations available. Usually, combinations of events are summarily screened out due to low frequency of exceedance estimations.</w:t>
      </w:r>
    </w:p>
    <w:p w:rsidR="00474B7C" w:rsidRPr="00E20701" w:rsidRDefault="00EB3FB2" w:rsidP="00E62976">
      <w:pPr>
        <w:numPr>
          <w:ilvl w:val="0"/>
          <w:numId w:val="36"/>
        </w:numPr>
        <w:rPr>
          <w:lang w:val="en-GB"/>
        </w:rPr>
      </w:pPr>
      <w:r w:rsidRPr="00E20701">
        <w:rPr>
          <w:lang w:val="en-GB"/>
        </w:rPr>
        <w:t>Which specific (quantitative) screening criteria should be applied to a comprehensive list of initiating event scenarios and which risk metrics would be suitable?</w:t>
      </w:r>
      <w:r w:rsidR="00EA7209" w:rsidRPr="00E20701">
        <w:rPr>
          <w:lang w:val="en-GB"/>
        </w:rPr>
        <w:tab/>
      </w:r>
      <w:r w:rsidR="00EA7209" w:rsidRPr="00E20701">
        <w:rPr>
          <w:lang w:val="en-GB"/>
        </w:rPr>
        <w:br/>
      </w:r>
      <w:r w:rsidR="00474B7C" w:rsidRPr="00E20701">
        <w:rPr>
          <w:lang w:val="en-GB"/>
        </w:rPr>
        <w:t>For the q</w:t>
      </w:r>
      <w:r w:rsidR="00180DE6" w:rsidRPr="00E20701">
        <w:rPr>
          <w:lang w:val="en-GB"/>
        </w:rPr>
        <w:t>uantitative screening of</w:t>
      </w:r>
      <w:r w:rsidR="00474B7C" w:rsidRPr="00E20701">
        <w:rPr>
          <w:lang w:val="en-GB"/>
        </w:rPr>
        <w:t xml:space="preserve"> events, the German PSA guide defines several criteria </w:t>
      </w:r>
      <w:r w:rsidR="00965507">
        <w:rPr>
          <w:lang w:val="en-GB"/>
        </w:rPr>
        <w:fldChar w:fldCharType="begin"/>
      </w:r>
      <w:r w:rsidR="00965507">
        <w:rPr>
          <w:lang w:val="en-GB"/>
        </w:rPr>
        <w:instrText xml:space="preserve"> REF _Ref418689857 \w \h </w:instrText>
      </w:r>
      <w:r w:rsidR="00965507">
        <w:rPr>
          <w:lang w:val="en-GB"/>
        </w:rPr>
      </w:r>
      <w:r w:rsidR="00965507">
        <w:rPr>
          <w:lang w:val="en-GB"/>
        </w:rPr>
        <w:fldChar w:fldCharType="separate"/>
      </w:r>
      <w:r w:rsidR="00E62976">
        <w:rPr>
          <w:lang w:val="en-GB"/>
        </w:rPr>
        <w:t>[77]</w:t>
      </w:r>
      <w:r w:rsidR="00965507">
        <w:rPr>
          <w:lang w:val="en-GB"/>
        </w:rPr>
        <w:fldChar w:fldCharType="end"/>
      </w:r>
      <w:r w:rsidR="00474B7C" w:rsidRPr="00E20701">
        <w:rPr>
          <w:lang w:val="en-GB"/>
        </w:rPr>
        <w:t xml:space="preserve"> based on the actual knowledge about plant response. The following risk measures are to be compared either to the initiating event frequency or to the frequency times the conditional probability from a (conservative) bounding assessment.</w:t>
      </w:r>
    </w:p>
    <w:p w:rsidR="00474B7C" w:rsidRPr="00E20701" w:rsidRDefault="00474B7C" w:rsidP="00E62976">
      <w:pPr>
        <w:numPr>
          <w:ilvl w:val="1"/>
          <w:numId w:val="36"/>
        </w:numPr>
        <w:rPr>
          <w:lang w:val="en-GB"/>
        </w:rPr>
      </w:pPr>
      <w:r w:rsidRPr="00E20701">
        <w:rPr>
          <w:lang w:val="en-GB"/>
        </w:rPr>
        <w:t>The estimated CDF for each event contributes less than 10% to the overall CDF of the plant.</w:t>
      </w:r>
    </w:p>
    <w:p w:rsidR="00474B7C" w:rsidRPr="00E20701" w:rsidRDefault="00474B7C" w:rsidP="00E62976">
      <w:pPr>
        <w:numPr>
          <w:ilvl w:val="1"/>
          <w:numId w:val="36"/>
        </w:numPr>
        <w:rPr>
          <w:lang w:val="en-GB"/>
        </w:rPr>
      </w:pPr>
      <w:r w:rsidRPr="00E20701">
        <w:rPr>
          <w:lang w:val="en-GB"/>
        </w:rPr>
        <w:t>The sum of estimated CDF values for all events not analysed in detail contributes no more than 20% to the overall CDF of the plant</w:t>
      </w:r>
      <w:r w:rsidR="00965507">
        <w:rPr>
          <w:lang w:val="en-GB"/>
        </w:rPr>
        <w:t>.</w:t>
      </w:r>
    </w:p>
    <w:p w:rsidR="00474B7C" w:rsidRPr="00E20701" w:rsidRDefault="00474B7C" w:rsidP="00E62976">
      <w:pPr>
        <w:numPr>
          <w:ilvl w:val="1"/>
          <w:numId w:val="36"/>
        </w:numPr>
        <w:rPr>
          <w:lang w:val="en-GB"/>
        </w:rPr>
      </w:pPr>
      <w:r w:rsidRPr="00E20701">
        <w:rPr>
          <w:lang w:val="en-GB"/>
        </w:rPr>
        <w:t>The estimated LERF for each event contributes less than 10% to the overall LERF of the plant.</w:t>
      </w:r>
    </w:p>
    <w:p w:rsidR="00474B7C" w:rsidRPr="00E20701" w:rsidRDefault="00474B7C" w:rsidP="00E62976">
      <w:pPr>
        <w:numPr>
          <w:ilvl w:val="1"/>
          <w:numId w:val="36"/>
        </w:numPr>
        <w:rPr>
          <w:lang w:val="en-GB"/>
        </w:rPr>
      </w:pPr>
      <w:r w:rsidRPr="00E20701">
        <w:rPr>
          <w:lang w:val="en-GB"/>
        </w:rPr>
        <w:t>The sum of estimated LERF values for all events not analysed in detail contributes no more than 20% to the overall LERF of the plant</w:t>
      </w:r>
      <w:r w:rsidR="00965507">
        <w:rPr>
          <w:lang w:val="en-GB"/>
        </w:rPr>
        <w:t>.</w:t>
      </w:r>
    </w:p>
    <w:p w:rsidR="00474B7C" w:rsidRPr="00E20701" w:rsidRDefault="00474B7C" w:rsidP="00C70893">
      <w:pPr>
        <w:ind w:left="780"/>
        <w:rPr>
          <w:lang w:val="en-GB"/>
        </w:rPr>
      </w:pPr>
      <w:r w:rsidRPr="00E20701">
        <w:rPr>
          <w:lang w:val="en-GB"/>
        </w:rPr>
        <w:t xml:space="preserve">In these cases, no detailed assessment of the event is necessary. Especially for hazard PSA, additional screening criteria are introduced in the supplementals on PSA methods </w:t>
      </w:r>
      <w:r w:rsidR="00A25D4C">
        <w:rPr>
          <w:lang w:val="en-GB"/>
        </w:rPr>
        <w:fldChar w:fldCharType="begin"/>
      </w:r>
      <w:r w:rsidR="00A25D4C">
        <w:rPr>
          <w:lang w:val="en-GB"/>
        </w:rPr>
        <w:instrText xml:space="preserve"> REF _Ref418600965 \r \h </w:instrText>
      </w:r>
      <w:r w:rsidR="00A25D4C">
        <w:rPr>
          <w:lang w:val="en-GB"/>
        </w:rPr>
      </w:r>
      <w:r w:rsidR="00A25D4C">
        <w:rPr>
          <w:lang w:val="en-GB"/>
        </w:rPr>
        <w:fldChar w:fldCharType="separate"/>
      </w:r>
      <w:r w:rsidR="00E62976">
        <w:rPr>
          <w:lang w:val="en-GB"/>
        </w:rPr>
        <w:t>[78]</w:t>
      </w:r>
      <w:r w:rsidR="00A25D4C">
        <w:rPr>
          <w:lang w:val="en-GB"/>
        </w:rPr>
        <w:fldChar w:fldCharType="end"/>
      </w:r>
      <w:r w:rsidRPr="00E20701">
        <w:rPr>
          <w:lang w:val="en-GB"/>
        </w:rPr>
        <w:t xml:space="preserve">, </w:t>
      </w:r>
      <w:r w:rsidR="00A25D4C">
        <w:rPr>
          <w:lang w:val="en-GB"/>
        </w:rPr>
        <w:fldChar w:fldCharType="begin"/>
      </w:r>
      <w:r w:rsidR="00A25D4C">
        <w:rPr>
          <w:lang w:val="en-GB"/>
        </w:rPr>
        <w:instrText xml:space="preserve"> REF _Ref418691091 \r \h </w:instrText>
      </w:r>
      <w:r w:rsidR="00A25D4C">
        <w:rPr>
          <w:lang w:val="en-GB"/>
        </w:rPr>
      </w:r>
      <w:r w:rsidR="00A25D4C">
        <w:rPr>
          <w:lang w:val="en-GB"/>
        </w:rPr>
        <w:fldChar w:fldCharType="separate"/>
      </w:r>
      <w:r w:rsidR="00E62976">
        <w:rPr>
          <w:lang w:val="en-GB"/>
        </w:rPr>
        <w:t>[80]</w:t>
      </w:r>
      <w:r w:rsidR="00A25D4C">
        <w:rPr>
          <w:lang w:val="en-GB"/>
        </w:rPr>
        <w:fldChar w:fldCharType="end"/>
      </w:r>
      <w:r w:rsidRPr="00E20701">
        <w:rPr>
          <w:lang w:val="en-GB"/>
        </w:rPr>
        <w:t>. Basically, scenarios with an estimated CDF below 10</w:t>
      </w:r>
      <w:r w:rsidRPr="00C70893">
        <w:rPr>
          <w:vertAlign w:val="superscript"/>
          <w:lang w:val="en-GB"/>
        </w:rPr>
        <w:t>-6</w:t>
      </w:r>
      <w:r w:rsidRPr="00E20701">
        <w:rPr>
          <w:lang w:val="en-GB"/>
        </w:rPr>
        <w:t xml:space="preserve"> can be screened out.</w:t>
      </w:r>
      <w:r w:rsidR="00ED4B5B">
        <w:rPr>
          <w:lang w:val="en-GB"/>
        </w:rPr>
        <w:tab/>
      </w:r>
      <w:r w:rsidR="006A558E" w:rsidRPr="00E20701">
        <w:rPr>
          <w:lang w:val="en-GB"/>
        </w:rPr>
        <w:br/>
        <w:t>If the aforementioned screening criteria based on CDF and LERF contribution to overall PSA results would be complemented by some selected further PSA Level 2 criteria, particularly LRF and ERF, and cut-off frequency values would be set to below 10</w:t>
      </w:r>
      <w:r w:rsidR="006A558E" w:rsidRPr="00C70893">
        <w:rPr>
          <w:vertAlign w:val="superscript"/>
          <w:lang w:val="en-GB"/>
        </w:rPr>
        <w:t>-7</w:t>
      </w:r>
      <w:r w:rsidR="006A558E" w:rsidRPr="00E20701">
        <w:rPr>
          <w:lang w:val="en-GB"/>
        </w:rPr>
        <w:t xml:space="preserve"> for a straightforward frequency screening, this could serve as a screening scheme, which is commensurate to PSA results, supports a comprehensive screening process, and evolves dynamically with the PSA model.</w:t>
      </w:r>
    </w:p>
    <w:p w:rsidR="00EB3FB2" w:rsidRPr="00E20701" w:rsidRDefault="00EB3FB2" w:rsidP="00E62976">
      <w:pPr>
        <w:numPr>
          <w:ilvl w:val="0"/>
          <w:numId w:val="36"/>
        </w:numPr>
        <w:rPr>
          <w:lang w:val="en-GB"/>
        </w:rPr>
      </w:pPr>
      <w:r w:rsidRPr="00E20701">
        <w:rPr>
          <w:lang w:val="en-GB"/>
        </w:rPr>
        <w:t>What constitutes a high impact/low probability event and how can these event scenarios be identified effectively?</w:t>
      </w:r>
      <w:r w:rsidR="00180DE6" w:rsidRPr="00E20701">
        <w:rPr>
          <w:lang w:val="en-GB"/>
        </w:rPr>
        <w:br/>
        <w:t xml:space="preserve">German PSA regulations do not specifically address high impact/low probability events, and German PSA experience cannot provide examples for the identification of such events in initiating event screening. This applies in particular to hazard event PSA, which is often confined to boundary assessments for beyond design basis events of one specific hazard impact without consideration of event combinations. However, using Level 2 criteria based on release category metrics as required in the PSA guide </w:t>
      </w:r>
      <w:r w:rsidR="004D7AF5">
        <w:rPr>
          <w:lang w:val="en-GB"/>
        </w:rPr>
        <w:fldChar w:fldCharType="begin"/>
      </w:r>
      <w:r w:rsidR="004D7AF5">
        <w:rPr>
          <w:lang w:val="en-GB"/>
        </w:rPr>
        <w:instrText xml:space="preserve"> REF _Ref418689857 \w \h </w:instrText>
      </w:r>
      <w:r w:rsidR="004D7AF5">
        <w:rPr>
          <w:lang w:val="en-GB"/>
        </w:rPr>
      </w:r>
      <w:r w:rsidR="004D7AF5">
        <w:rPr>
          <w:lang w:val="en-GB"/>
        </w:rPr>
        <w:fldChar w:fldCharType="separate"/>
      </w:r>
      <w:r w:rsidR="00E62976">
        <w:rPr>
          <w:lang w:val="en-GB"/>
        </w:rPr>
        <w:t>[77]</w:t>
      </w:r>
      <w:r w:rsidR="004D7AF5">
        <w:rPr>
          <w:lang w:val="en-GB"/>
        </w:rPr>
        <w:fldChar w:fldCharType="end"/>
      </w:r>
      <w:r w:rsidR="00180DE6" w:rsidRPr="00E20701">
        <w:rPr>
          <w:lang w:val="en-GB"/>
        </w:rPr>
        <w:t xml:space="preserve"> for LERF and as recommended for additional release category measures would in principle allow for systematically retaining such high impact/low probability scenarios in the scope of the PSA. In German PSA practice, Level 2 screening criteria are usually not employed.</w:t>
      </w:r>
    </w:p>
    <w:p w:rsidR="00EB3FB2" w:rsidRPr="00E20701" w:rsidRDefault="00EB3FB2" w:rsidP="00E62976">
      <w:pPr>
        <w:numPr>
          <w:ilvl w:val="0"/>
          <w:numId w:val="36"/>
        </w:numPr>
        <w:rPr>
          <w:lang w:val="en-GB"/>
        </w:rPr>
      </w:pPr>
      <w:r w:rsidRPr="00E20701">
        <w:rPr>
          <w:lang w:val="en-GB"/>
        </w:rPr>
        <w:t>How can a maximum impact be defined for hazards?</w:t>
      </w:r>
      <w:r w:rsidR="00180DE6" w:rsidRPr="00E20701">
        <w:rPr>
          <w:lang w:val="en-GB"/>
        </w:rPr>
        <w:tab/>
      </w:r>
      <w:r w:rsidR="00180DE6" w:rsidRPr="00E20701">
        <w:rPr>
          <w:lang w:val="en-GB"/>
        </w:rPr>
        <w:br/>
        <w:t>There are no specific recommendations on the definition of a maximum impact for hazards in the German PSA regulations or practice. In some instances, like e.g. external flooding</w:t>
      </w:r>
      <w:r w:rsidR="00474B7C" w:rsidRPr="00E20701">
        <w:rPr>
          <w:lang w:val="en-GB"/>
        </w:rPr>
        <w:t xml:space="preserve"> due to topology</w:t>
      </w:r>
      <w:r w:rsidR="00180DE6" w:rsidRPr="00E20701">
        <w:rPr>
          <w:lang w:val="en-GB"/>
        </w:rPr>
        <w:t>, maximum impacts can be d</w:t>
      </w:r>
      <w:r w:rsidR="00474B7C" w:rsidRPr="00E20701">
        <w:rPr>
          <w:lang w:val="en-GB"/>
        </w:rPr>
        <w:t xml:space="preserve">erived by showing that higher impacts are </w:t>
      </w:r>
      <w:r w:rsidR="00180DE6" w:rsidRPr="00E20701">
        <w:rPr>
          <w:lang w:val="en-GB"/>
        </w:rPr>
        <w:t>practically excluded.</w:t>
      </w:r>
    </w:p>
    <w:p w:rsidR="00EB3FB2" w:rsidRPr="00E20701" w:rsidRDefault="00EB3FB2" w:rsidP="00E62976">
      <w:pPr>
        <w:numPr>
          <w:ilvl w:val="0"/>
          <w:numId w:val="36"/>
        </w:numPr>
        <w:rPr>
          <w:lang w:val="en-GB"/>
        </w:rPr>
      </w:pPr>
      <w:r w:rsidRPr="00E20701">
        <w:rPr>
          <w:lang w:val="en-GB"/>
        </w:rPr>
        <w:t>To what extent should the identification process for initiating events for the purpose of a PSA utilize the deterministic classification by levels of Defense in Depth (division into anticipated operational occurrences, design basis accidents, and design extension conditions)?</w:t>
      </w:r>
      <w:r w:rsidR="00ED4B5B">
        <w:rPr>
          <w:lang w:val="en-GB"/>
        </w:rPr>
        <w:tab/>
      </w:r>
      <w:r w:rsidR="006A558E" w:rsidRPr="00E20701">
        <w:rPr>
          <w:lang w:val="en-GB"/>
        </w:rPr>
        <w:br/>
        <w:t xml:space="preserve">This distinction is not applied in the PSA screening process in the German experience. However, a cross-check with deterministic PIE lists as e.g. tabulated in the German Safety Requirements </w:t>
      </w:r>
      <w:r w:rsidR="004D7AF5">
        <w:rPr>
          <w:lang w:val="en-GB"/>
        </w:rPr>
        <w:fldChar w:fldCharType="begin"/>
      </w:r>
      <w:r w:rsidR="004D7AF5">
        <w:rPr>
          <w:lang w:val="en-GB"/>
        </w:rPr>
        <w:instrText xml:space="preserve"> REF _Ref418689856 \w \h </w:instrText>
      </w:r>
      <w:r w:rsidR="004D7AF5">
        <w:rPr>
          <w:lang w:val="en-GB"/>
        </w:rPr>
      </w:r>
      <w:r w:rsidR="004D7AF5">
        <w:rPr>
          <w:lang w:val="en-GB"/>
        </w:rPr>
        <w:fldChar w:fldCharType="separate"/>
      </w:r>
      <w:r w:rsidR="00E62976">
        <w:rPr>
          <w:lang w:val="en-GB"/>
        </w:rPr>
        <w:t>[76]</w:t>
      </w:r>
      <w:r w:rsidR="004D7AF5">
        <w:rPr>
          <w:lang w:val="en-GB"/>
        </w:rPr>
        <w:fldChar w:fldCharType="end"/>
      </w:r>
      <w:r w:rsidR="006A558E" w:rsidRPr="00E20701">
        <w:rPr>
          <w:lang w:val="en-GB"/>
        </w:rPr>
        <w:t xml:space="preserve"> is seen as commendable. </w:t>
      </w:r>
    </w:p>
    <w:p w:rsidR="00EB3FB2" w:rsidRPr="00E20701" w:rsidRDefault="00EB3FB2" w:rsidP="00E62976">
      <w:pPr>
        <w:numPr>
          <w:ilvl w:val="0"/>
          <w:numId w:val="36"/>
        </w:numPr>
        <w:rPr>
          <w:lang w:val="en-GB"/>
        </w:rPr>
      </w:pPr>
      <w:r w:rsidRPr="00E20701">
        <w:rPr>
          <w:lang w:val="en-GB"/>
        </w:rPr>
        <w:t>Which approaches to bounding analysis are suitable for an extended PSA and upon which criteria can a detailed probabilistic investigation and modelling be omitted?</w:t>
      </w:r>
      <w:r w:rsidR="00ED4B5B">
        <w:rPr>
          <w:lang w:val="en-GB"/>
        </w:rPr>
        <w:tab/>
      </w:r>
      <w:r w:rsidR="006A558E" w:rsidRPr="00E20701">
        <w:rPr>
          <w:lang w:val="en-GB"/>
        </w:rPr>
        <w:br/>
        <w:t xml:space="preserve">In German PSA experience, bounding analyses are an integral part of the screening process based on CDF values. Particularly for hazard impact events, bounding estimates of conditional CDF are made for justifying that no detailed PSA analysis is necessary. </w:t>
      </w:r>
      <w:r w:rsidR="003C1FAF" w:rsidRPr="00E20701">
        <w:rPr>
          <w:lang w:val="en-GB"/>
        </w:rPr>
        <w:t>This should be complemented by screening and bounding analysis on Level 2 criteria. Regarding the criteria for bounding analysis, see under b)</w:t>
      </w:r>
      <w:r w:rsidR="00E67DF0">
        <w:rPr>
          <w:lang w:val="en-GB"/>
        </w:rPr>
        <w:t>.</w:t>
      </w:r>
    </w:p>
    <w:p w:rsidR="00EB3FB2" w:rsidRPr="00C70893" w:rsidRDefault="00EB3FB2" w:rsidP="00C70893">
      <w:pPr>
        <w:rPr>
          <w:lang w:val="en-GB"/>
        </w:rPr>
      </w:pPr>
    </w:p>
    <w:p w:rsidR="00731153" w:rsidRPr="00E20701" w:rsidRDefault="00731153" w:rsidP="00317481">
      <w:pPr>
        <w:pStyle w:val="Titre3"/>
        <w:rPr>
          <w:lang w:val="en-GB"/>
        </w:rPr>
      </w:pPr>
      <w:bookmarkStart w:id="421" w:name="_Toc473303558"/>
      <w:r w:rsidRPr="00E20701">
        <w:rPr>
          <w:lang w:val="en-GB"/>
        </w:rPr>
        <w:t>Hungary</w:t>
      </w:r>
      <w:bookmarkEnd w:id="421"/>
    </w:p>
    <w:p w:rsidR="00731153" w:rsidRPr="00E20701" w:rsidRDefault="00731153" w:rsidP="00731153">
      <w:pPr>
        <w:rPr>
          <w:lang w:val="en-GB"/>
        </w:rPr>
      </w:pPr>
      <w:r w:rsidRPr="00E20701">
        <w:rPr>
          <w:lang w:val="en-GB"/>
        </w:rPr>
        <w:t xml:space="preserve">The Hungarian practice on initiating event selection is generally in compliance with the methodology elaborated by the IAEA (as summarized in section </w:t>
      </w:r>
      <w:r w:rsidR="00125AF4" w:rsidRPr="00FA7763">
        <w:rPr>
          <w:lang w:val="en-GB"/>
        </w:rPr>
        <w:fldChar w:fldCharType="begin"/>
      </w:r>
      <w:r w:rsidRPr="00E20701">
        <w:rPr>
          <w:lang w:val="en-GB"/>
        </w:rPr>
        <w:instrText xml:space="preserve"> REF _Ref384898859 \r \h </w:instrText>
      </w:r>
      <w:r w:rsidR="00125AF4" w:rsidRPr="00FA7763">
        <w:rPr>
          <w:lang w:val="en-GB"/>
        </w:rPr>
      </w:r>
      <w:r w:rsidR="00125AF4" w:rsidRPr="00FA7763">
        <w:rPr>
          <w:lang w:val="en-GB"/>
        </w:rPr>
        <w:fldChar w:fldCharType="separate"/>
      </w:r>
      <w:r w:rsidR="00E62976">
        <w:rPr>
          <w:lang w:val="en-GB"/>
        </w:rPr>
        <w:t>5.1.1</w:t>
      </w:r>
      <w:r w:rsidR="00125AF4" w:rsidRPr="00FA7763">
        <w:rPr>
          <w:lang w:val="en-GB"/>
        </w:rPr>
        <w:fldChar w:fldCharType="end"/>
      </w:r>
      <w:r w:rsidRPr="00E20701">
        <w:rPr>
          <w:lang w:val="en-GB"/>
        </w:rPr>
        <w:t>). However, a short description is given hereby of the specificities of the Hungarian approach accompanied by some details on external hazard selection.</w:t>
      </w:r>
    </w:p>
    <w:p w:rsidR="00731153" w:rsidRPr="00E20701" w:rsidRDefault="00731153" w:rsidP="00731153">
      <w:pPr>
        <w:rPr>
          <w:lang w:val="en-GB"/>
        </w:rPr>
      </w:pPr>
      <w:r w:rsidRPr="00E20701">
        <w:rPr>
          <w:lang w:val="en-GB"/>
        </w:rPr>
        <w:t>The requirements on nuclear safety for Hungarian nuclear powers plants are described in the Hungarian Nuclear Safety Codes. Volume 3 contains design requirements for operating plants, 3.a for new units. Amongst others, the most important internal and external hazards that shall be taken into consideration during the justification of the design and safety are listed in these volumes of the Codes. According to the Nuclear Safety Codes, all those initiating events shall be addressed in the PSA for which it cannot be justified with other methods that they are negligible from a risk point of view.</w:t>
      </w:r>
    </w:p>
    <w:p w:rsidR="00731153" w:rsidRPr="00E20701" w:rsidRDefault="00731153" w:rsidP="00731153">
      <w:pPr>
        <w:rPr>
          <w:lang w:val="en-GB"/>
        </w:rPr>
      </w:pPr>
      <w:r w:rsidRPr="00E20701">
        <w:rPr>
          <w:lang w:val="en-GB"/>
        </w:rPr>
        <w:t>Regarding the Hungarian practice of PSA development for external events, in the first step of selecting external hazards that require detailed analysis, an attempt was made to develop a comprehensive list of potential site specific external hazards. At first a review was performed of regulatory requirements nationally and internationally. Relevant requirements of the Hungarian Nuclear Safety Codes and WENRA reference levels enabled to determine the vast majority of potential external hazards. In addition, use was made of the following documents to identify the initial list of potential external hazards:</w:t>
      </w:r>
    </w:p>
    <w:p w:rsidR="00731153" w:rsidRPr="00E20701" w:rsidRDefault="00731153" w:rsidP="00E62976">
      <w:pPr>
        <w:numPr>
          <w:ilvl w:val="0"/>
          <w:numId w:val="89"/>
        </w:numPr>
        <w:ind w:left="851"/>
        <w:rPr>
          <w:lang w:val="en-GB"/>
        </w:rPr>
      </w:pPr>
      <w:r w:rsidRPr="00E20701">
        <w:rPr>
          <w:lang w:val="en-GB"/>
        </w:rPr>
        <w:t xml:space="preserve">the stand-alone volume of the joint ANS-ASME PRA standard that sets forth probabilistic safety assessment methodology for external hazards </w:t>
      </w:r>
      <w:r w:rsidR="00A03F0C">
        <w:rPr>
          <w:lang w:val="en-GB"/>
        </w:rPr>
        <w:fldChar w:fldCharType="begin"/>
      </w:r>
      <w:r w:rsidR="00A03F0C">
        <w:rPr>
          <w:lang w:val="en-GB"/>
        </w:rPr>
        <w:instrText xml:space="preserve"> REF _Ref394394788 \w \h </w:instrText>
      </w:r>
      <w:r w:rsidR="00A03F0C">
        <w:rPr>
          <w:lang w:val="en-GB"/>
        </w:rPr>
      </w:r>
      <w:r w:rsidR="00A03F0C">
        <w:rPr>
          <w:lang w:val="en-GB"/>
        </w:rPr>
        <w:fldChar w:fldCharType="separate"/>
      </w:r>
      <w:r w:rsidR="00E62976">
        <w:rPr>
          <w:lang w:val="en-GB"/>
        </w:rPr>
        <w:t>[34]</w:t>
      </w:r>
      <w:r w:rsidR="00A03F0C">
        <w:rPr>
          <w:lang w:val="en-GB"/>
        </w:rPr>
        <w:fldChar w:fldCharType="end"/>
      </w:r>
      <w:r w:rsidRPr="00E20701">
        <w:rPr>
          <w:lang w:val="en-GB"/>
        </w:rPr>
        <w:t>,</w:t>
      </w:r>
    </w:p>
    <w:p w:rsidR="00731153" w:rsidRPr="00E20701" w:rsidRDefault="00731153" w:rsidP="00E62976">
      <w:pPr>
        <w:numPr>
          <w:ilvl w:val="0"/>
          <w:numId w:val="89"/>
        </w:numPr>
        <w:ind w:left="851"/>
        <w:rPr>
          <w:lang w:val="en-GB"/>
        </w:rPr>
      </w:pPr>
      <w:r w:rsidRPr="00E20701">
        <w:rPr>
          <w:lang w:val="en-GB"/>
        </w:rPr>
        <w:t xml:space="preserve">a guidance document of the Swedish nuclear safety authority that builds upon the Finnish and Swedish external hazard assessment experience </w:t>
      </w:r>
      <w:r w:rsidR="00A95DA8">
        <w:rPr>
          <w:lang w:val="en-GB"/>
        </w:rPr>
        <w:fldChar w:fldCharType="begin"/>
      </w:r>
      <w:r w:rsidR="00A95DA8">
        <w:rPr>
          <w:lang w:val="en-GB"/>
        </w:rPr>
        <w:instrText xml:space="preserve"> REF _Ref418687543 \w \h </w:instrText>
      </w:r>
      <w:r w:rsidR="00A95DA8">
        <w:rPr>
          <w:lang w:val="en-GB"/>
        </w:rPr>
      </w:r>
      <w:r w:rsidR="00A95DA8">
        <w:rPr>
          <w:lang w:val="en-GB"/>
        </w:rPr>
        <w:fldChar w:fldCharType="separate"/>
      </w:r>
      <w:r w:rsidR="00E62976">
        <w:rPr>
          <w:lang w:val="en-GB"/>
        </w:rPr>
        <w:t>[71]</w:t>
      </w:r>
      <w:r w:rsidR="00A95DA8">
        <w:rPr>
          <w:lang w:val="en-GB"/>
        </w:rPr>
        <w:fldChar w:fldCharType="end"/>
      </w:r>
      <w:r w:rsidRPr="00E20701">
        <w:rPr>
          <w:lang w:val="en-GB"/>
        </w:rPr>
        <w:t>,</w:t>
      </w:r>
    </w:p>
    <w:p w:rsidR="00731153" w:rsidRPr="00E20701" w:rsidRDefault="00731153" w:rsidP="00E62976">
      <w:pPr>
        <w:numPr>
          <w:ilvl w:val="0"/>
          <w:numId w:val="89"/>
        </w:numPr>
        <w:ind w:left="851"/>
        <w:rPr>
          <w:lang w:val="en-GB"/>
        </w:rPr>
      </w:pPr>
      <w:r w:rsidRPr="00E20701">
        <w:rPr>
          <w:lang w:val="en-GB"/>
        </w:rPr>
        <w:t xml:space="preserve">the Specific Safety Guide of the International Atomic Energy Agency on level 1 PSA </w:t>
      </w:r>
      <w:r w:rsidR="00A25D4C">
        <w:rPr>
          <w:lang w:val="en-GB"/>
        </w:rPr>
        <w:fldChar w:fldCharType="begin"/>
      </w:r>
      <w:r w:rsidR="00A25D4C">
        <w:rPr>
          <w:lang w:val="en-GB"/>
        </w:rPr>
        <w:instrText xml:space="preserve"> REF _Ref384386913 \r \h </w:instrText>
      </w:r>
      <w:r w:rsidR="00A25D4C">
        <w:rPr>
          <w:lang w:val="en-GB"/>
        </w:rPr>
      </w:r>
      <w:r w:rsidR="00A25D4C">
        <w:rPr>
          <w:lang w:val="en-GB"/>
        </w:rPr>
        <w:fldChar w:fldCharType="separate"/>
      </w:r>
      <w:r w:rsidR="00E62976">
        <w:rPr>
          <w:lang w:val="en-GB"/>
        </w:rPr>
        <w:t>[4]</w:t>
      </w:r>
      <w:r w:rsidR="00A25D4C">
        <w:rPr>
          <w:lang w:val="en-GB"/>
        </w:rPr>
        <w:fldChar w:fldCharType="end"/>
      </w:r>
      <w:r w:rsidRPr="00E20701">
        <w:rPr>
          <w:lang w:val="en-GB"/>
        </w:rPr>
        <w:t>.</w:t>
      </w:r>
    </w:p>
    <w:p w:rsidR="00731153" w:rsidRPr="00E20701" w:rsidRDefault="00731153" w:rsidP="00731153">
      <w:pPr>
        <w:rPr>
          <w:lang w:val="en-GB"/>
        </w:rPr>
      </w:pPr>
      <w:r w:rsidRPr="00E20701">
        <w:rPr>
          <w:lang w:val="en-GB"/>
        </w:rPr>
        <w:t>In the Hungarian practice a successive approach is applied with combined deterministic and partially probabilistic screening of all the potential external hazards to identify the risk significant ones that need detailed analysis to quantify the plant risk.</w:t>
      </w:r>
    </w:p>
    <w:p w:rsidR="00731153" w:rsidRPr="00E20701" w:rsidRDefault="00731153" w:rsidP="00731153">
      <w:pPr>
        <w:rPr>
          <w:lang w:val="en-GB"/>
        </w:rPr>
      </w:pPr>
      <w:r w:rsidRPr="00E20701">
        <w:rPr>
          <w:lang w:val="en-GB"/>
        </w:rPr>
        <w:t>During screening by relevance the external hazards considered applicable to the site were selected as initiating events. The following aspects were taken into consideration in this screening step:</w:t>
      </w:r>
    </w:p>
    <w:p w:rsidR="00731153" w:rsidRPr="00E20701" w:rsidRDefault="00731153" w:rsidP="00E62976">
      <w:pPr>
        <w:numPr>
          <w:ilvl w:val="0"/>
          <w:numId w:val="94"/>
        </w:numPr>
        <w:ind w:left="851"/>
        <w:rPr>
          <w:lang w:val="en-GB"/>
        </w:rPr>
      </w:pPr>
      <w:r w:rsidRPr="00E20701">
        <w:rPr>
          <w:lang w:val="en-GB"/>
        </w:rPr>
        <w:t>The event is of equal or lesser damage potential than the events for which the plant has been designed.</w:t>
      </w:r>
    </w:p>
    <w:p w:rsidR="00731153" w:rsidRPr="00E20701" w:rsidRDefault="00731153" w:rsidP="00E62976">
      <w:pPr>
        <w:numPr>
          <w:ilvl w:val="0"/>
          <w:numId w:val="94"/>
        </w:numPr>
        <w:ind w:left="851"/>
        <w:rPr>
          <w:lang w:val="en-GB"/>
        </w:rPr>
      </w:pPr>
      <w:r w:rsidRPr="00E20701">
        <w:rPr>
          <w:lang w:val="en-GB"/>
        </w:rPr>
        <w:t>The event has a significantly lower mean frequency of occurrence than another event, taking into account the uncertainties in the estimates of event frequencies, and the event could not result in worse consequences than the consequences from the other event.</w:t>
      </w:r>
    </w:p>
    <w:p w:rsidR="00731153" w:rsidRPr="00E20701" w:rsidRDefault="00731153" w:rsidP="00E62976">
      <w:pPr>
        <w:numPr>
          <w:ilvl w:val="0"/>
          <w:numId w:val="94"/>
        </w:numPr>
        <w:ind w:left="851"/>
        <w:rPr>
          <w:lang w:val="en-GB"/>
        </w:rPr>
      </w:pPr>
      <w:r w:rsidRPr="00E20701">
        <w:rPr>
          <w:lang w:val="en-GB"/>
        </w:rPr>
        <w:t>The event cannot occur close enough to the plant to affect it.</w:t>
      </w:r>
    </w:p>
    <w:p w:rsidR="00731153" w:rsidRPr="00E20701" w:rsidRDefault="00731153" w:rsidP="00E62976">
      <w:pPr>
        <w:numPr>
          <w:ilvl w:val="0"/>
          <w:numId w:val="94"/>
        </w:numPr>
        <w:ind w:left="851"/>
        <w:rPr>
          <w:lang w:val="en-GB"/>
        </w:rPr>
      </w:pPr>
      <w:r w:rsidRPr="00E20701">
        <w:rPr>
          <w:lang w:val="en-GB"/>
        </w:rPr>
        <w:t>The event is included in the definition of another event.</w:t>
      </w:r>
    </w:p>
    <w:p w:rsidR="00731153" w:rsidRPr="00E20701" w:rsidRDefault="00731153" w:rsidP="00731153">
      <w:pPr>
        <w:rPr>
          <w:lang w:val="en-GB"/>
        </w:rPr>
      </w:pPr>
      <w:r w:rsidRPr="00E20701">
        <w:rPr>
          <w:lang w:val="en-GB"/>
        </w:rPr>
        <w:t>On the basis of the conditions listed above, the criteria applied in screening by relevance were the following:</w:t>
      </w:r>
    </w:p>
    <w:p w:rsidR="00731153" w:rsidRPr="00E20701" w:rsidRDefault="00731153" w:rsidP="00E62976">
      <w:pPr>
        <w:numPr>
          <w:ilvl w:val="0"/>
          <w:numId w:val="96"/>
        </w:numPr>
        <w:ind w:left="851"/>
        <w:rPr>
          <w:lang w:val="en-GB"/>
        </w:rPr>
      </w:pPr>
      <w:r w:rsidRPr="00E20701">
        <w:rPr>
          <w:lang w:val="en-GB"/>
        </w:rPr>
        <w:t>Distance: The event cannot occur close enough to the plant to affect it.</w:t>
      </w:r>
    </w:p>
    <w:p w:rsidR="00731153" w:rsidRPr="00E20701" w:rsidRDefault="00731153" w:rsidP="00E62976">
      <w:pPr>
        <w:numPr>
          <w:ilvl w:val="0"/>
          <w:numId w:val="96"/>
        </w:numPr>
        <w:ind w:left="851"/>
        <w:rPr>
          <w:lang w:val="en-GB"/>
        </w:rPr>
      </w:pPr>
      <w:r w:rsidRPr="00E20701">
        <w:rPr>
          <w:lang w:val="en-GB"/>
        </w:rPr>
        <w:t>Frequency: The occurrence frequency of the event is justifiably less than a given threshold</w:t>
      </w:r>
      <w:r w:rsidR="00C54EA6" w:rsidRPr="00E20701">
        <w:rPr>
          <w:lang w:val="en-GB"/>
        </w:rPr>
        <w:t xml:space="preserve"> (see below)</w:t>
      </w:r>
      <w:r w:rsidRPr="00E20701">
        <w:rPr>
          <w:lang w:val="en-GB"/>
        </w:rPr>
        <w:t>.</w:t>
      </w:r>
    </w:p>
    <w:p w:rsidR="00731153" w:rsidRPr="00E20701" w:rsidRDefault="00731153" w:rsidP="00731153">
      <w:pPr>
        <w:rPr>
          <w:lang w:val="en-GB"/>
        </w:rPr>
      </w:pPr>
      <w:r w:rsidRPr="00E20701">
        <w:rPr>
          <w:lang w:val="en-GB"/>
        </w:rPr>
        <w:t>For impact screening the following two criteria were applied:</w:t>
      </w:r>
    </w:p>
    <w:p w:rsidR="00731153" w:rsidRPr="00E20701" w:rsidRDefault="00731153" w:rsidP="00E62976">
      <w:pPr>
        <w:numPr>
          <w:ilvl w:val="0"/>
          <w:numId w:val="95"/>
        </w:numPr>
        <w:ind w:left="851"/>
        <w:rPr>
          <w:lang w:val="en-GB"/>
        </w:rPr>
      </w:pPr>
      <w:r w:rsidRPr="00E20701">
        <w:rPr>
          <w:lang w:val="en-GB"/>
        </w:rPr>
        <w:t>Severity: The effects of the event are not severe enough to cause damage to the plant, since it has been designed for other loads with similar or higher strength.</w:t>
      </w:r>
    </w:p>
    <w:p w:rsidR="00731153" w:rsidRPr="00E20701" w:rsidRDefault="00731153" w:rsidP="00E62976">
      <w:pPr>
        <w:numPr>
          <w:ilvl w:val="0"/>
          <w:numId w:val="95"/>
        </w:numPr>
        <w:ind w:left="851"/>
        <w:rPr>
          <w:lang w:val="en-GB"/>
        </w:rPr>
      </w:pPr>
      <w:r w:rsidRPr="00E20701">
        <w:rPr>
          <w:lang w:val="en-GB"/>
        </w:rPr>
        <w:t>Predictability: The event is slow in developing, and it can be demonstrated that there is sufficient time to eliminate the source of the threat or to provide an adequate response.</w:t>
      </w:r>
    </w:p>
    <w:p w:rsidR="00731153" w:rsidRPr="00E20701" w:rsidRDefault="00731153" w:rsidP="00731153">
      <w:pPr>
        <w:rPr>
          <w:lang w:val="en-GB"/>
        </w:rPr>
      </w:pPr>
      <w:r w:rsidRPr="00E20701">
        <w:rPr>
          <w:lang w:val="en-GB"/>
        </w:rPr>
        <w:t>The quantitative screening criteria of initiating events to be considered during design are set in the conditions for safety-based design prescribed in the Nuclear Safety Codes. The following anticipated initiating events may be excluded from further analysis:</w:t>
      </w:r>
    </w:p>
    <w:p w:rsidR="00731153" w:rsidRPr="00E20701" w:rsidRDefault="00731153" w:rsidP="00E62976">
      <w:pPr>
        <w:numPr>
          <w:ilvl w:val="0"/>
          <w:numId w:val="19"/>
        </w:numPr>
        <w:rPr>
          <w:lang w:val="en-GB"/>
        </w:rPr>
      </w:pPr>
      <w:r w:rsidRPr="00E20701">
        <w:rPr>
          <w:lang w:val="en-GB"/>
        </w:rPr>
        <w:t>internal initiating events due to the failure of systems, structures or components, and/or human errors, if the occurrence frequency is less than 10</w:t>
      </w:r>
      <w:r w:rsidRPr="00E20701">
        <w:rPr>
          <w:vertAlign w:val="superscript"/>
          <w:lang w:val="en-GB"/>
        </w:rPr>
        <w:t>-5</w:t>
      </w:r>
      <w:r w:rsidRPr="00E20701">
        <w:rPr>
          <w:lang w:val="en-GB"/>
        </w:rPr>
        <w:t>/a for operating nuclear power plants and 10</w:t>
      </w:r>
      <w:r w:rsidRPr="00E20701">
        <w:rPr>
          <w:vertAlign w:val="superscript"/>
          <w:lang w:val="en-GB"/>
        </w:rPr>
        <w:t>-6</w:t>
      </w:r>
      <w:r w:rsidRPr="00E20701">
        <w:rPr>
          <w:lang w:val="en-GB"/>
        </w:rPr>
        <w:t>/a for newbuilds;</w:t>
      </w:r>
    </w:p>
    <w:p w:rsidR="00731153" w:rsidRPr="00E20701" w:rsidRDefault="00731153" w:rsidP="00E62976">
      <w:pPr>
        <w:numPr>
          <w:ilvl w:val="0"/>
          <w:numId w:val="19"/>
        </w:numPr>
        <w:rPr>
          <w:lang w:val="en-GB"/>
        </w:rPr>
      </w:pPr>
      <w:r w:rsidRPr="00E20701">
        <w:rPr>
          <w:lang w:val="en-GB"/>
        </w:rPr>
        <w:t>events induced by man-made external events applicable to the site, if the occurrence frequency is less than 10</w:t>
      </w:r>
      <w:r w:rsidRPr="00E20701">
        <w:rPr>
          <w:vertAlign w:val="superscript"/>
          <w:lang w:val="en-GB"/>
        </w:rPr>
        <w:noBreakHyphen/>
        <w:t>7</w:t>
      </w:r>
      <w:r w:rsidRPr="00E20701">
        <w:rPr>
          <w:lang w:val="en-GB"/>
        </w:rPr>
        <w:t>/a (both for operating and new units), or if it can be justified that the man-made hazard will not have an adverse effect on nuclear safety based on its distance from the plant;</w:t>
      </w:r>
    </w:p>
    <w:p w:rsidR="00731153" w:rsidRPr="00E20701" w:rsidRDefault="00731153" w:rsidP="00E62976">
      <w:pPr>
        <w:numPr>
          <w:ilvl w:val="0"/>
          <w:numId w:val="19"/>
        </w:numPr>
        <w:rPr>
          <w:lang w:val="en-GB"/>
        </w:rPr>
      </w:pPr>
      <w:r w:rsidRPr="00E20701">
        <w:rPr>
          <w:lang w:val="en-GB"/>
        </w:rPr>
        <w:t>natural external events with the occurrence frequency less than 10</w:t>
      </w:r>
      <w:r w:rsidRPr="00E20701">
        <w:rPr>
          <w:vertAlign w:val="superscript"/>
          <w:lang w:val="en-GB"/>
        </w:rPr>
        <w:t>-4</w:t>
      </w:r>
      <w:r w:rsidRPr="00E20701">
        <w:rPr>
          <w:lang w:val="en-GB"/>
        </w:rPr>
        <w:t>/a for operating units and 10</w:t>
      </w:r>
      <w:r w:rsidRPr="00E20701">
        <w:rPr>
          <w:vertAlign w:val="superscript"/>
          <w:lang w:val="en-GB"/>
        </w:rPr>
        <w:t>-5</w:t>
      </w:r>
      <w:r w:rsidRPr="00E20701">
        <w:rPr>
          <w:lang w:val="en-GB"/>
        </w:rPr>
        <w:t>/a for newbuilds.</w:t>
      </w:r>
    </w:p>
    <w:p w:rsidR="00731153" w:rsidRPr="00E20701" w:rsidRDefault="00731153" w:rsidP="00731153">
      <w:pPr>
        <w:rPr>
          <w:lang w:val="en-GB"/>
        </w:rPr>
      </w:pPr>
      <w:r w:rsidRPr="00E20701">
        <w:rPr>
          <w:lang w:val="en-GB"/>
        </w:rPr>
        <w:t xml:space="preserve">According to the nuclear safety regulations, the risk from natural external hazards beyond the design basis shall be assessed at least in the </w:t>
      </w:r>
      <w:r w:rsidR="007D1934" w:rsidRPr="00E20701">
        <w:rPr>
          <w:lang w:val="en-GB"/>
        </w:rPr>
        <w:t xml:space="preserve">hazard frequency </w:t>
      </w:r>
      <w:r w:rsidRPr="00E20701">
        <w:rPr>
          <w:lang w:val="en-GB"/>
        </w:rPr>
        <w:t>range of 10</w:t>
      </w:r>
      <w:r w:rsidRPr="00E20701">
        <w:rPr>
          <w:vertAlign w:val="superscript"/>
          <w:lang w:val="en-GB"/>
        </w:rPr>
        <w:noBreakHyphen/>
        <w:t>7</w:t>
      </w:r>
      <w:r w:rsidR="007D1934" w:rsidRPr="00E20701">
        <w:rPr>
          <w:lang w:val="en-GB"/>
        </w:rPr>
        <w:t xml:space="preserve"> to </w:t>
      </w:r>
      <w:r w:rsidRPr="00E20701">
        <w:rPr>
          <w:lang w:val="en-GB"/>
        </w:rPr>
        <w:t>10</w:t>
      </w:r>
      <w:r w:rsidRPr="00E20701">
        <w:rPr>
          <w:vertAlign w:val="superscript"/>
          <w:lang w:val="en-GB"/>
        </w:rPr>
        <w:noBreakHyphen/>
        <w:t>4</w:t>
      </w:r>
      <w:r w:rsidRPr="00E20701">
        <w:rPr>
          <w:lang w:val="en-GB"/>
        </w:rPr>
        <w:t>/a. Therefore</w:t>
      </w:r>
      <w:r w:rsidR="007D1934" w:rsidRPr="00E20701">
        <w:rPr>
          <w:lang w:val="en-GB"/>
        </w:rPr>
        <w:t>,</w:t>
      </w:r>
      <w:r w:rsidRPr="00E20701">
        <w:rPr>
          <w:lang w:val="en-GB"/>
        </w:rPr>
        <w:t xml:space="preserve"> probabilistic safety assessment of external hazards has to be performed unless it can be shown that the design basis of the plant ensures that the plant can withstand the loads induced by a hazard with 10</w:t>
      </w:r>
      <w:r w:rsidRPr="00E20701">
        <w:rPr>
          <w:vertAlign w:val="superscript"/>
          <w:lang w:val="en-GB"/>
        </w:rPr>
        <w:noBreakHyphen/>
        <w:t>7</w:t>
      </w:r>
      <w:r w:rsidRPr="00E20701">
        <w:rPr>
          <w:lang w:val="en-GB"/>
        </w:rPr>
        <w:t>/a frequency.</w:t>
      </w:r>
    </w:p>
    <w:p w:rsidR="00731153" w:rsidRPr="00E20701" w:rsidRDefault="00731153" w:rsidP="00731153">
      <w:pPr>
        <w:rPr>
          <w:lang w:val="en-GB"/>
        </w:rPr>
      </w:pPr>
      <w:r w:rsidRPr="00E20701">
        <w:rPr>
          <w:lang w:val="en-GB"/>
        </w:rPr>
        <w:t>To the extent available meteorological data and data assessment methodologies make it feasible, the Hungarian practice aims to take into consideration reasonably justifiable combinations of hazards that require detailed analysis.</w:t>
      </w:r>
    </w:p>
    <w:p w:rsidR="00731153" w:rsidRDefault="00731153" w:rsidP="00C70893">
      <w:pPr>
        <w:rPr>
          <w:lang w:val="en-GB"/>
        </w:rPr>
      </w:pPr>
    </w:p>
    <w:p w:rsidR="00A93B29" w:rsidRPr="00E20701" w:rsidRDefault="00A93B29" w:rsidP="00A93B29">
      <w:pPr>
        <w:pStyle w:val="Titre3"/>
        <w:rPr>
          <w:lang w:val="en-GB"/>
        </w:rPr>
      </w:pPr>
      <w:bookmarkStart w:id="422" w:name="_Toc473303559"/>
      <w:r w:rsidRPr="00E20701">
        <w:rPr>
          <w:lang w:val="en-GB"/>
        </w:rPr>
        <w:t>Japan</w:t>
      </w:r>
      <w:bookmarkEnd w:id="422"/>
      <w:r w:rsidRPr="00E20701">
        <w:rPr>
          <w:lang w:val="en-GB"/>
        </w:rPr>
        <w:t xml:space="preserve"> </w:t>
      </w:r>
    </w:p>
    <w:p w:rsidR="007D3946" w:rsidRPr="005079A3" w:rsidRDefault="007D3946" w:rsidP="005079A3">
      <w:pPr>
        <w:rPr>
          <w:rFonts w:eastAsia="MS PGothic"/>
          <w:lang w:val="en-US"/>
        </w:rPr>
      </w:pPr>
      <w:r>
        <w:rPr>
          <w:rFonts w:eastAsia="MS PGothic"/>
          <w:lang w:val="en-US"/>
        </w:rPr>
        <w:t>Atomic Energy Society of Japan discussed the approaches for selecting an appropriate risk assessment method for the external events after Fukushima</w:t>
      </w:r>
      <w:r w:rsidR="00CD01D5">
        <w:rPr>
          <w:rFonts w:eastAsia="MS PGothic"/>
          <w:lang w:val="en-US"/>
        </w:rPr>
        <w:t xml:space="preserve"> </w:t>
      </w:r>
      <w:r>
        <w:rPr>
          <w:rFonts w:eastAsia="MS PGothic"/>
          <w:lang w:val="en-US"/>
        </w:rPr>
        <w:t>Dai</w:t>
      </w:r>
      <w:r w:rsidR="00CD01D5">
        <w:rPr>
          <w:rFonts w:eastAsia="MS PGothic"/>
          <w:lang w:val="en-US"/>
        </w:rPr>
        <w:t>-</w:t>
      </w:r>
      <w:r>
        <w:rPr>
          <w:rFonts w:eastAsia="MS PGothic"/>
          <w:lang w:val="en-US"/>
        </w:rPr>
        <w:t>ichi accident</w:t>
      </w:r>
      <w:r w:rsidR="00647C94">
        <w:rPr>
          <w:rFonts w:eastAsia="MS PGothic"/>
          <w:lang w:val="en-US"/>
        </w:rPr>
        <w:t xml:space="preserve"> </w:t>
      </w:r>
      <w:r w:rsidR="00C5650E">
        <w:rPr>
          <w:rFonts w:eastAsia="MS PGothic"/>
          <w:lang w:val="en-US"/>
        </w:rPr>
        <w:fldChar w:fldCharType="begin"/>
      </w:r>
      <w:r w:rsidR="00C5650E">
        <w:rPr>
          <w:rFonts w:eastAsia="MS PGothic"/>
          <w:lang w:val="en-US"/>
        </w:rPr>
        <w:instrText xml:space="preserve"> REF _Ref444888634 \w \h </w:instrText>
      </w:r>
      <w:r w:rsidR="00C5650E">
        <w:rPr>
          <w:rFonts w:eastAsia="MS PGothic"/>
          <w:lang w:val="en-US"/>
        </w:rPr>
      </w:r>
      <w:r w:rsidR="00C5650E">
        <w:rPr>
          <w:rFonts w:eastAsia="MS PGothic"/>
          <w:lang w:val="en-US"/>
        </w:rPr>
        <w:fldChar w:fldCharType="separate"/>
      </w:r>
      <w:r w:rsidR="00E62976">
        <w:rPr>
          <w:rFonts w:eastAsia="MS PGothic"/>
          <w:lang w:val="en-US"/>
        </w:rPr>
        <w:t>[97]</w:t>
      </w:r>
      <w:r w:rsidR="00C5650E">
        <w:rPr>
          <w:rFonts w:eastAsia="MS PGothic"/>
          <w:lang w:val="en-US"/>
        </w:rPr>
        <w:fldChar w:fldCharType="end"/>
      </w:r>
      <w:r>
        <w:rPr>
          <w:rFonts w:eastAsia="MS PGothic"/>
          <w:lang w:val="en-US"/>
        </w:rPr>
        <w:t xml:space="preserve">, and published "Implementation Standard Concerning the Risk Assessment Methodology Selection for the External Hazards" </w:t>
      </w:r>
      <w:r w:rsidR="00A25D4C">
        <w:rPr>
          <w:rFonts w:eastAsia="MS PGothic"/>
          <w:lang w:val="en-US"/>
        </w:rPr>
        <w:fldChar w:fldCharType="begin"/>
      </w:r>
      <w:r w:rsidR="00A25D4C">
        <w:rPr>
          <w:rFonts w:eastAsia="MS PGothic"/>
          <w:lang w:val="en-US"/>
        </w:rPr>
        <w:instrText xml:space="preserve"> REF _Ref444888650 \r \h </w:instrText>
      </w:r>
      <w:r w:rsidR="00A25D4C">
        <w:rPr>
          <w:rFonts w:eastAsia="MS PGothic"/>
          <w:lang w:val="en-US"/>
        </w:rPr>
      </w:r>
      <w:r w:rsidR="00A25D4C">
        <w:rPr>
          <w:rFonts w:eastAsia="MS PGothic"/>
          <w:lang w:val="en-US"/>
        </w:rPr>
        <w:fldChar w:fldCharType="separate"/>
      </w:r>
      <w:r w:rsidR="00E62976">
        <w:rPr>
          <w:rFonts w:eastAsia="MS PGothic"/>
          <w:lang w:val="en-US"/>
        </w:rPr>
        <w:t>[98]</w:t>
      </w:r>
      <w:r w:rsidR="00A25D4C">
        <w:rPr>
          <w:rFonts w:eastAsia="MS PGothic"/>
          <w:lang w:val="en-US"/>
        </w:rPr>
        <w:fldChar w:fldCharType="end"/>
      </w:r>
      <w:r w:rsidR="00647C94">
        <w:rPr>
          <w:rFonts w:eastAsia="MS PGothic"/>
          <w:lang w:val="en-US"/>
        </w:rPr>
        <w:t xml:space="preserve"> </w:t>
      </w:r>
      <w:r>
        <w:rPr>
          <w:rFonts w:eastAsia="MS PGothic"/>
          <w:lang w:val="en-US"/>
        </w:rPr>
        <w:t>in 2014</w:t>
      </w:r>
      <w:r>
        <w:rPr>
          <w:rFonts w:eastAsia="MS PGothic"/>
          <w:vertAlign w:val="superscript"/>
          <w:lang w:val="en-US"/>
        </w:rPr>
        <w:t>]</w:t>
      </w:r>
      <w:r>
        <w:rPr>
          <w:rFonts w:eastAsia="MS PGothic"/>
          <w:lang w:val="en-US"/>
        </w:rPr>
        <w:t xml:space="preserve">. </w:t>
      </w:r>
    </w:p>
    <w:p w:rsidR="007D3946" w:rsidRPr="005079A3" w:rsidRDefault="007D3946" w:rsidP="005079A3">
      <w:pPr>
        <w:rPr>
          <w:rFonts w:eastAsia="MS PGothic"/>
          <w:lang w:val="en-US"/>
        </w:rPr>
      </w:pPr>
      <w:r>
        <w:rPr>
          <w:rFonts w:eastAsia="MS PGothic"/>
          <w:lang w:val="en-US"/>
        </w:rPr>
        <w:t>Since there are various kinds of external hazards that are potentially assumed at nuclear sites in Japan, this standard defines systematic identification process for the external hazards, including both natural and man-made hazards, and the approaches of selecting an appropriate evaluation method for each external hazard as shown below. In this approach screening of hazard is included in Step 2 and Step</w:t>
      </w:r>
      <w:r w:rsidR="00647C94">
        <w:rPr>
          <w:rFonts w:eastAsia="MS PGothic"/>
          <w:lang w:val="en-US"/>
        </w:rPr>
        <w:t xml:space="preserve"> </w:t>
      </w:r>
      <w:r>
        <w:rPr>
          <w:rFonts w:eastAsia="MS PGothic"/>
          <w:lang w:val="en-US"/>
        </w:rPr>
        <w:t>3.</w:t>
      </w:r>
    </w:p>
    <w:p w:rsidR="007D3946" w:rsidRPr="005079A3" w:rsidRDefault="007D3946">
      <w:pPr>
        <w:rPr>
          <w:rFonts w:eastAsia="MS PGothic"/>
          <w:lang w:val="en-US"/>
        </w:rPr>
      </w:pPr>
    </w:p>
    <w:p w:rsidR="007D3946" w:rsidRPr="005079A3" w:rsidRDefault="007D3946">
      <w:pPr>
        <w:rPr>
          <w:rFonts w:eastAsia="MS PGothic"/>
          <w:lang w:val="en-US"/>
        </w:rPr>
      </w:pPr>
      <w:r>
        <w:rPr>
          <w:rFonts w:eastAsia="MS PGothic" w:cs="tt3871o00"/>
          <w:b/>
          <w:lang w:val="en-US"/>
        </w:rPr>
        <w:t>Step 1: Collection of information</w:t>
      </w:r>
    </w:p>
    <w:p w:rsidR="007D3946" w:rsidRPr="005079A3" w:rsidRDefault="007D3946" w:rsidP="005079A3">
      <w:pPr>
        <w:rPr>
          <w:rFonts w:eastAsia="MS PGothic"/>
          <w:lang w:val="en-US"/>
        </w:rPr>
      </w:pPr>
      <w:r>
        <w:rPr>
          <w:rFonts w:eastAsia="MS PGothic"/>
          <w:lang w:val="en-US"/>
        </w:rPr>
        <w:t>Information necessary to assess the plant concerned shall be collected. Plant walk-downs shall be performed to grasp the current facility installation situation.</w:t>
      </w:r>
    </w:p>
    <w:p w:rsidR="007D3946" w:rsidRPr="005079A3" w:rsidRDefault="007D3946" w:rsidP="005079A3">
      <w:pPr>
        <w:rPr>
          <w:rFonts w:eastAsia="MS PGothic"/>
          <w:lang w:val="en-US"/>
        </w:rPr>
      </w:pPr>
      <w:r>
        <w:rPr>
          <w:rFonts w:eastAsia="MS PGothic"/>
          <w:lang w:val="en-US"/>
        </w:rPr>
        <w:t xml:space="preserve">Information includes such as the plant design and safety evaluation documents, meteorological records of the surrounding area, facility installation status and legal restrictions concerning aircraft and/or vessel route that are necessary in the evaluation. </w:t>
      </w:r>
    </w:p>
    <w:p w:rsidR="007D3946" w:rsidRPr="005079A3" w:rsidRDefault="007D3946" w:rsidP="005079A3">
      <w:pPr>
        <w:rPr>
          <w:rFonts w:eastAsia="MS PGothic"/>
          <w:lang w:val="en-US"/>
        </w:rPr>
      </w:pPr>
    </w:p>
    <w:p w:rsidR="007D3946" w:rsidRPr="005079A3" w:rsidRDefault="007D3946" w:rsidP="005079A3">
      <w:pPr>
        <w:rPr>
          <w:rFonts w:eastAsia="MS PGothic"/>
          <w:lang w:val="en-US"/>
        </w:rPr>
      </w:pPr>
      <w:r>
        <w:rPr>
          <w:rFonts w:eastAsia="MS PGothic" w:cs="tt3871o00"/>
          <w:b/>
          <w:lang w:val="en-US"/>
        </w:rPr>
        <w:t>Step 2: Identification of potential external hazards</w:t>
      </w:r>
    </w:p>
    <w:p w:rsidR="007D3946" w:rsidRPr="005079A3" w:rsidRDefault="007D3946" w:rsidP="005079A3">
      <w:pPr>
        <w:rPr>
          <w:rFonts w:eastAsia="MS PGothic"/>
          <w:lang w:val="en-US"/>
        </w:rPr>
      </w:pPr>
      <w:r>
        <w:rPr>
          <w:rFonts w:eastAsia="MS PGothic"/>
          <w:lang w:val="en-US"/>
        </w:rPr>
        <w:t xml:space="preserve">The external hazards that may affect the plant concerned shall be identified. In order to identify the external hazards to be concerned, the standard prepares the list of various kinds of hazards. </w:t>
      </w:r>
    </w:p>
    <w:p w:rsidR="007D3946" w:rsidRPr="005079A3" w:rsidRDefault="007D3946" w:rsidP="005079A3">
      <w:pPr>
        <w:rPr>
          <w:rFonts w:eastAsia="MS PGothic"/>
          <w:lang w:val="en-US"/>
        </w:rPr>
      </w:pPr>
      <w:r>
        <w:rPr>
          <w:rFonts w:eastAsia="MS PGothic"/>
          <w:lang w:val="en-US"/>
        </w:rPr>
        <w:t>While individual external hazards are addressed in ASME/ANS Standards</w:t>
      </w:r>
      <w:r w:rsidR="00D9206F">
        <w:rPr>
          <w:rFonts w:eastAsia="MS PGothic"/>
          <w:lang w:val="en-US"/>
        </w:rPr>
        <w:t xml:space="preserve"> </w:t>
      </w:r>
      <w:r w:rsidR="00C5650E">
        <w:rPr>
          <w:rFonts w:eastAsia="MS PGothic"/>
          <w:lang w:val="en-US"/>
        </w:rPr>
        <w:fldChar w:fldCharType="begin"/>
      </w:r>
      <w:r w:rsidR="00C5650E">
        <w:rPr>
          <w:rFonts w:eastAsia="MS PGothic"/>
          <w:lang w:val="en-US"/>
        </w:rPr>
        <w:instrText xml:space="preserve"> REF _Ref408832490 \w \h </w:instrText>
      </w:r>
      <w:r w:rsidR="00C5650E">
        <w:rPr>
          <w:rFonts w:eastAsia="MS PGothic"/>
          <w:lang w:val="en-US"/>
        </w:rPr>
      </w:r>
      <w:r w:rsidR="00C5650E">
        <w:rPr>
          <w:rFonts w:eastAsia="MS PGothic"/>
          <w:lang w:val="en-US"/>
        </w:rPr>
        <w:fldChar w:fldCharType="separate"/>
      </w:r>
      <w:r w:rsidR="00E62976">
        <w:rPr>
          <w:rFonts w:eastAsia="MS PGothic"/>
          <w:lang w:val="en-US"/>
        </w:rPr>
        <w:t>[54]</w:t>
      </w:r>
      <w:r w:rsidR="00C5650E">
        <w:rPr>
          <w:rFonts w:eastAsia="MS PGothic"/>
          <w:lang w:val="en-US"/>
        </w:rPr>
        <w:fldChar w:fldCharType="end"/>
      </w:r>
      <w:r w:rsidR="00D9206F">
        <w:rPr>
          <w:rFonts w:eastAsia="MS PGothic"/>
          <w:lang w:val="en-US"/>
        </w:rPr>
        <w:t xml:space="preserve">, </w:t>
      </w:r>
      <w:r w:rsidR="00C5650E">
        <w:rPr>
          <w:rFonts w:eastAsia="MS PGothic"/>
          <w:lang w:val="en-US"/>
        </w:rPr>
        <w:fldChar w:fldCharType="begin"/>
      </w:r>
      <w:r w:rsidR="00C5650E">
        <w:rPr>
          <w:rFonts w:eastAsia="MS PGothic"/>
          <w:lang w:val="en-US"/>
        </w:rPr>
        <w:instrText xml:space="preserve"> REF _Ref408832492 \w \h </w:instrText>
      </w:r>
      <w:r w:rsidR="00C5650E">
        <w:rPr>
          <w:rFonts w:eastAsia="MS PGothic"/>
          <w:lang w:val="en-US"/>
        </w:rPr>
      </w:r>
      <w:r w:rsidR="00C5650E">
        <w:rPr>
          <w:rFonts w:eastAsia="MS PGothic"/>
          <w:lang w:val="en-US"/>
        </w:rPr>
        <w:fldChar w:fldCharType="separate"/>
      </w:r>
      <w:r w:rsidR="00E62976">
        <w:rPr>
          <w:rFonts w:eastAsia="MS PGothic"/>
          <w:lang w:val="en-US"/>
        </w:rPr>
        <w:t>[56]</w:t>
      </w:r>
      <w:r w:rsidR="00C5650E">
        <w:rPr>
          <w:rFonts w:eastAsia="MS PGothic"/>
          <w:lang w:val="en-US"/>
        </w:rPr>
        <w:fldChar w:fldCharType="end"/>
      </w:r>
      <w:r>
        <w:rPr>
          <w:rFonts w:eastAsia="MS PGothic"/>
          <w:lang w:val="en-US"/>
        </w:rPr>
        <w:t>, IAEA NS-R-3</w:t>
      </w:r>
      <w:r w:rsidR="00D9206F">
        <w:rPr>
          <w:rFonts w:eastAsia="MS PGothic"/>
          <w:lang w:val="en-US"/>
        </w:rPr>
        <w:t xml:space="preserve"> </w:t>
      </w:r>
      <w:r w:rsidR="00C5650E">
        <w:rPr>
          <w:rFonts w:eastAsia="MS PGothic"/>
          <w:lang w:val="en-US"/>
        </w:rPr>
        <w:fldChar w:fldCharType="begin"/>
      </w:r>
      <w:r w:rsidR="00C5650E">
        <w:rPr>
          <w:rFonts w:eastAsia="MS PGothic"/>
          <w:lang w:val="en-US"/>
        </w:rPr>
        <w:instrText xml:space="preserve"> REF _Ref384898641 \w \h </w:instrText>
      </w:r>
      <w:r w:rsidR="00C5650E">
        <w:rPr>
          <w:rFonts w:eastAsia="MS PGothic"/>
          <w:lang w:val="en-US"/>
        </w:rPr>
      </w:r>
      <w:r w:rsidR="00C5650E">
        <w:rPr>
          <w:rFonts w:eastAsia="MS PGothic"/>
          <w:lang w:val="en-US"/>
        </w:rPr>
        <w:fldChar w:fldCharType="separate"/>
      </w:r>
      <w:r w:rsidR="00E62976">
        <w:rPr>
          <w:rFonts w:eastAsia="MS PGothic"/>
          <w:lang w:val="en-US"/>
        </w:rPr>
        <w:t>[20]</w:t>
      </w:r>
      <w:r w:rsidR="00C5650E">
        <w:rPr>
          <w:rFonts w:eastAsia="MS PGothic"/>
          <w:lang w:val="en-US"/>
        </w:rPr>
        <w:fldChar w:fldCharType="end"/>
      </w:r>
      <w:r>
        <w:rPr>
          <w:rFonts w:eastAsia="MS PGothic"/>
          <w:lang w:val="en-US"/>
        </w:rPr>
        <w:t xml:space="preserve"> and IAEA SSG-3</w:t>
      </w:r>
      <w:r w:rsidR="00D9206F">
        <w:rPr>
          <w:rFonts w:eastAsia="MS PGothic"/>
          <w:lang w:val="en-US"/>
        </w:rPr>
        <w:t xml:space="preserve"> </w:t>
      </w:r>
      <w:r w:rsidR="00125AF4">
        <w:rPr>
          <w:rFonts w:eastAsia="MS PGothic"/>
          <w:lang w:val="en-US"/>
        </w:rPr>
        <w:fldChar w:fldCharType="begin"/>
      </w:r>
      <w:r w:rsidR="00D9206F">
        <w:rPr>
          <w:rFonts w:eastAsia="MS PGothic"/>
          <w:lang w:val="en-US"/>
        </w:rPr>
        <w:instrText xml:space="preserve"> REF _Ref384386913 \r \h </w:instrText>
      </w:r>
      <w:r w:rsidR="00125AF4">
        <w:rPr>
          <w:rFonts w:eastAsia="MS PGothic"/>
          <w:lang w:val="en-US"/>
        </w:rPr>
      </w:r>
      <w:r w:rsidR="00125AF4">
        <w:rPr>
          <w:rFonts w:eastAsia="MS PGothic"/>
          <w:lang w:val="en-US"/>
        </w:rPr>
        <w:fldChar w:fldCharType="separate"/>
      </w:r>
      <w:r w:rsidR="00E62976">
        <w:rPr>
          <w:rFonts w:eastAsia="MS PGothic"/>
          <w:lang w:val="en-US"/>
        </w:rPr>
        <w:t>[4]</w:t>
      </w:r>
      <w:r w:rsidR="00125AF4">
        <w:rPr>
          <w:rFonts w:eastAsia="MS PGothic"/>
          <w:lang w:val="en-US"/>
        </w:rPr>
        <w:fldChar w:fldCharType="end"/>
      </w:r>
      <w:r>
        <w:rPr>
          <w:rFonts w:eastAsia="MS PGothic"/>
          <w:lang w:val="en-US"/>
        </w:rPr>
        <w:t>, it is still necessary to identify the characteristics of the external hazards specific to Japan including their form of occurrence and the mechanism of their effects. Literature survey was conducted on all external hazards that were experienced in Japan to identify all potential external hazards that may have some impacts on nuclear power plants.</w:t>
      </w:r>
    </w:p>
    <w:p w:rsidR="007D3946" w:rsidRPr="005079A3" w:rsidRDefault="007D3946" w:rsidP="005079A3">
      <w:pPr>
        <w:rPr>
          <w:rFonts w:eastAsia="MS PGothic"/>
          <w:lang w:val="en-US"/>
        </w:rPr>
      </w:pPr>
      <w:r>
        <w:rPr>
          <w:rFonts w:eastAsia="MS PGothic"/>
          <w:lang w:val="en-US"/>
        </w:rPr>
        <w:t>After identifying individual hazards, all theoretically possible combinations of hazards to be taken into account were also examined to complete the list.</w:t>
      </w:r>
    </w:p>
    <w:p w:rsidR="007D3946" w:rsidRPr="005079A3" w:rsidRDefault="007D3946">
      <w:pPr>
        <w:rPr>
          <w:rFonts w:eastAsia="MS PGothic"/>
          <w:lang w:val="en-US"/>
        </w:rPr>
      </w:pPr>
    </w:p>
    <w:p w:rsidR="007D3946" w:rsidRPr="005079A3" w:rsidRDefault="007D3946" w:rsidP="005079A3">
      <w:pPr>
        <w:rPr>
          <w:rFonts w:eastAsia="MS PGothic"/>
          <w:lang w:val="en-US"/>
        </w:rPr>
      </w:pPr>
      <w:r>
        <w:rPr>
          <w:rFonts w:eastAsia="MS PGothic" w:cs="tt385ao00"/>
          <w:b/>
          <w:lang w:val="en-US"/>
        </w:rPr>
        <w:t>Step 3: Classification by characterization</w:t>
      </w:r>
    </w:p>
    <w:p w:rsidR="007D3946" w:rsidRPr="005079A3" w:rsidRDefault="007D3946" w:rsidP="005079A3">
      <w:pPr>
        <w:rPr>
          <w:rFonts w:eastAsia="MS PGothic"/>
          <w:lang w:val="en-US"/>
        </w:rPr>
      </w:pPr>
      <w:r>
        <w:rPr>
          <w:rFonts w:eastAsia="MS PGothic" w:cs="tt385ao00"/>
          <w:lang w:val="en-US"/>
        </w:rPr>
        <w:t>The external hazards shall be classified in accordance with the characterization criteria to assess the plant concerned.</w:t>
      </w:r>
    </w:p>
    <w:p w:rsidR="007D3946" w:rsidRPr="005079A3" w:rsidRDefault="007D3946" w:rsidP="005079A3">
      <w:pPr>
        <w:rPr>
          <w:rFonts w:eastAsia="MS PGothic"/>
          <w:b/>
          <w:lang w:val="en-US"/>
        </w:rPr>
      </w:pPr>
      <w:r w:rsidRPr="005079A3">
        <w:rPr>
          <w:rFonts w:eastAsia="MS PGothic"/>
          <w:b/>
          <w:lang w:val="en-US"/>
        </w:rPr>
        <w:t>1) Selection of characterization factor</w:t>
      </w:r>
    </w:p>
    <w:p w:rsidR="007D3946" w:rsidRPr="005079A3" w:rsidRDefault="007D3946" w:rsidP="005079A3">
      <w:pPr>
        <w:ind w:left="284"/>
        <w:rPr>
          <w:rFonts w:eastAsia="MS PGothic"/>
          <w:lang w:val="en-US"/>
        </w:rPr>
      </w:pPr>
      <w:r>
        <w:rPr>
          <w:rFonts w:eastAsia="MS PGothic" w:cs="tt385co00"/>
          <w:lang w:val="en-US"/>
        </w:rPr>
        <w:t xml:space="preserve">There are three factors associated with frequency of occurrence and impact on the plant. In performing the analysis of an external hazard, one of following three factors has to be focused on. </w:t>
      </w:r>
    </w:p>
    <w:p w:rsidR="007D3946" w:rsidRPr="005079A3" w:rsidRDefault="007D3946" w:rsidP="005079A3">
      <w:pPr>
        <w:ind w:left="284"/>
        <w:rPr>
          <w:rFonts w:eastAsia="MS PGothic"/>
          <w:lang w:val="en-US"/>
        </w:rPr>
      </w:pPr>
      <w:r>
        <w:rPr>
          <w:rFonts w:eastAsia="MS PGothic" w:cs="tt385co00"/>
          <w:lang w:val="en-US"/>
        </w:rPr>
        <w:t>Factor 1: "Occurrence"</w:t>
      </w:r>
    </w:p>
    <w:p w:rsidR="007D3946" w:rsidRPr="005079A3" w:rsidRDefault="007D3946" w:rsidP="005079A3">
      <w:pPr>
        <w:ind w:left="284"/>
        <w:rPr>
          <w:rFonts w:eastAsia="MS PGothic"/>
          <w:lang w:val="en-US"/>
        </w:rPr>
      </w:pPr>
      <w:r>
        <w:rPr>
          <w:rFonts w:eastAsia="MS PGothic" w:cs="tt385co00"/>
          <w:lang w:val="en-US"/>
        </w:rPr>
        <w:t>Choose this factor for a hazard whose occurrence frequency is assumed extremely low</w:t>
      </w:r>
    </w:p>
    <w:p w:rsidR="007D3946" w:rsidRPr="005079A3" w:rsidRDefault="007D3946" w:rsidP="005079A3">
      <w:pPr>
        <w:ind w:left="284"/>
        <w:rPr>
          <w:rFonts w:eastAsia="MS PGothic"/>
          <w:lang w:val="en-US"/>
        </w:rPr>
      </w:pPr>
      <w:r>
        <w:rPr>
          <w:rFonts w:eastAsia="MS PGothic" w:cs="tt385co00"/>
          <w:lang w:val="en-US"/>
        </w:rPr>
        <w:t>Factor 2: "Arrival (distance and progression time)"</w:t>
      </w:r>
    </w:p>
    <w:p w:rsidR="007D3946" w:rsidRPr="005079A3" w:rsidRDefault="007D3946" w:rsidP="005079A3">
      <w:pPr>
        <w:ind w:left="284"/>
        <w:rPr>
          <w:rFonts w:eastAsia="MS PGothic"/>
          <w:lang w:val="en-US"/>
        </w:rPr>
      </w:pPr>
      <w:r>
        <w:rPr>
          <w:rFonts w:eastAsia="MS PGothic" w:cs="tt385co00"/>
          <w:lang w:val="en-US"/>
        </w:rPr>
        <w:t>Choose this factor for a hazard which may occur but whose effects is assumed not to reach the plant</w:t>
      </w:r>
    </w:p>
    <w:p w:rsidR="007D3946" w:rsidRPr="005079A3" w:rsidRDefault="007D3946" w:rsidP="005079A3">
      <w:pPr>
        <w:ind w:left="284"/>
        <w:rPr>
          <w:rFonts w:eastAsia="MS PGothic"/>
          <w:lang w:val="en-US"/>
        </w:rPr>
      </w:pPr>
      <w:r>
        <w:rPr>
          <w:rFonts w:eastAsia="MS PGothic" w:cs="tt385co00"/>
          <w:lang w:val="en-US"/>
        </w:rPr>
        <w:t>Factor 3: "Impact on the plant"</w:t>
      </w:r>
    </w:p>
    <w:p w:rsidR="007D3946" w:rsidRPr="005079A3" w:rsidRDefault="007D3946" w:rsidP="005079A3">
      <w:pPr>
        <w:ind w:left="284"/>
        <w:rPr>
          <w:rFonts w:eastAsia="MS PGothic"/>
          <w:lang w:val="en-US"/>
        </w:rPr>
      </w:pPr>
      <w:r>
        <w:rPr>
          <w:rFonts w:eastAsia="MS PGothic" w:cs="tt385co00"/>
          <w:lang w:val="en-US"/>
        </w:rPr>
        <w:t>Choose this factor for a hazard whose effect may reach the plant but is assumed to have no significant impact on the plant</w:t>
      </w:r>
    </w:p>
    <w:p w:rsidR="007D3946" w:rsidRPr="005079A3" w:rsidRDefault="007D3946" w:rsidP="005079A3">
      <w:pPr>
        <w:ind w:left="284"/>
        <w:rPr>
          <w:rFonts w:eastAsia="MS PGothic"/>
          <w:lang w:val="en-US"/>
        </w:rPr>
      </w:pPr>
      <w:r>
        <w:rPr>
          <w:rFonts w:eastAsia="MS PGothic" w:cs="Century"/>
          <w:lang w:val="en-US"/>
        </w:rPr>
        <w:t>As for the frequency of the combined external hazards, hazard occurring most frequently among those composing a combined event should be considered.</w:t>
      </w:r>
    </w:p>
    <w:p w:rsidR="007D3946" w:rsidRPr="005079A3" w:rsidRDefault="007D3946" w:rsidP="005079A3">
      <w:pPr>
        <w:rPr>
          <w:rFonts w:eastAsia="MS PGothic"/>
          <w:b/>
          <w:lang w:val="en-US"/>
        </w:rPr>
      </w:pPr>
      <w:r w:rsidRPr="005079A3">
        <w:rPr>
          <w:rFonts w:eastAsia="MS PGothic" w:cs="tt3871o00"/>
          <w:b/>
          <w:lang w:val="en-US"/>
        </w:rPr>
        <w:t>2) Characterizations</w:t>
      </w:r>
    </w:p>
    <w:p w:rsidR="007D3946" w:rsidRPr="005079A3" w:rsidRDefault="007D3946" w:rsidP="005079A3">
      <w:pPr>
        <w:ind w:left="284"/>
        <w:rPr>
          <w:rFonts w:eastAsia="MS PGothic"/>
          <w:lang w:val="en-US"/>
        </w:rPr>
      </w:pPr>
      <w:r>
        <w:rPr>
          <w:rFonts w:eastAsia="MS PGothic" w:cs="tt385co00"/>
          <w:lang w:val="en-US"/>
        </w:rPr>
        <w:t>Each external hazard shall be characterized in light of the factor above-mentioned and the characterization criterion indicated below. An external hazard consistent with at least one characterization criterion is determined to have no risk of core damage and screened out. If not, go to Step</w:t>
      </w:r>
      <w:r w:rsidR="00647C94">
        <w:rPr>
          <w:rFonts w:eastAsia="MS PGothic" w:cs="tt385co00"/>
          <w:lang w:val="en-US"/>
        </w:rPr>
        <w:t xml:space="preserve"> </w:t>
      </w:r>
      <w:r>
        <w:rPr>
          <w:rFonts w:eastAsia="MS PGothic" w:cs="tt385co00"/>
          <w:lang w:val="en-US"/>
        </w:rPr>
        <w:t>4.</w:t>
      </w:r>
    </w:p>
    <w:p w:rsidR="007D3946" w:rsidRPr="005079A3" w:rsidRDefault="007D3946" w:rsidP="005079A3">
      <w:pPr>
        <w:ind w:left="284"/>
        <w:rPr>
          <w:rFonts w:eastAsia="MS PGothic"/>
          <w:lang w:val="en-US"/>
        </w:rPr>
      </w:pPr>
      <w:r>
        <w:rPr>
          <w:rFonts w:eastAsia="MS PGothic" w:cs="tt385co00"/>
          <w:lang w:val="en-US"/>
        </w:rPr>
        <w:t>Historical records of hazards in the areas surrounding the plant location identified in the licensing and/or periodical safety review should be used in the characterization.</w:t>
      </w:r>
    </w:p>
    <w:p w:rsidR="007D3946" w:rsidRPr="005079A3" w:rsidRDefault="007D3946" w:rsidP="005079A3">
      <w:pPr>
        <w:ind w:left="284"/>
        <w:rPr>
          <w:rFonts w:eastAsia="MS PGothic"/>
          <w:lang w:val="en-US"/>
        </w:rPr>
      </w:pPr>
      <w:r>
        <w:rPr>
          <w:rFonts w:eastAsia="MS PGothic" w:cs="tt385co00"/>
          <w:lang w:val="en-US"/>
        </w:rPr>
        <w:t>When Factor 1 is selected, "The hazard frequency" will be evaluated.</w:t>
      </w:r>
    </w:p>
    <w:p w:rsidR="007D3946" w:rsidRPr="005079A3" w:rsidRDefault="007D3946" w:rsidP="005079A3">
      <w:pPr>
        <w:ind w:left="284"/>
        <w:rPr>
          <w:rFonts w:eastAsia="MS PGothic"/>
          <w:lang w:val="en-US"/>
        </w:rPr>
      </w:pPr>
      <w:r>
        <w:rPr>
          <w:rFonts w:eastAsia="MS PGothic" w:cs="tt385co00"/>
          <w:lang w:val="en-US"/>
        </w:rPr>
        <w:t>Criterion 1: The frequency of the hazard is apparently extremely low.</w:t>
      </w:r>
    </w:p>
    <w:p w:rsidR="007D3946" w:rsidRPr="005079A3" w:rsidRDefault="007D3946" w:rsidP="005079A3">
      <w:pPr>
        <w:ind w:left="284"/>
        <w:rPr>
          <w:rFonts w:eastAsia="MS PGothic"/>
          <w:lang w:val="en-US"/>
        </w:rPr>
      </w:pPr>
      <w:r>
        <w:rPr>
          <w:rFonts w:eastAsia="MS PGothic" w:cs="tt385co00"/>
          <w:lang w:val="en-US"/>
        </w:rPr>
        <w:t>When Factor 2 is selected, either "The distance between where the hazard occurs and the plant" or "The hazard progression time" will be evaluated.</w:t>
      </w:r>
    </w:p>
    <w:p w:rsidR="007D3946" w:rsidRPr="005079A3" w:rsidRDefault="007D3946" w:rsidP="005079A3">
      <w:pPr>
        <w:ind w:left="284"/>
        <w:rPr>
          <w:rFonts w:eastAsia="MS PGothic"/>
          <w:lang w:val="en-US"/>
        </w:rPr>
      </w:pPr>
      <w:r>
        <w:rPr>
          <w:rFonts w:eastAsia="MS PGothic" w:cs="tt385co00"/>
          <w:lang w:val="en-US"/>
        </w:rPr>
        <w:t>Criterion 2: No hazard occurs in the proximity of the plant to have any impact.</w:t>
      </w:r>
    </w:p>
    <w:p w:rsidR="007D3946" w:rsidRPr="005079A3" w:rsidRDefault="007D3946" w:rsidP="005079A3">
      <w:pPr>
        <w:ind w:left="284"/>
        <w:rPr>
          <w:rFonts w:eastAsia="MS PGothic"/>
          <w:lang w:val="en-US"/>
        </w:rPr>
      </w:pPr>
      <w:r>
        <w:rPr>
          <w:rFonts w:eastAsia="MS PGothic" w:cs="tt385co00"/>
          <w:lang w:val="en-US"/>
        </w:rPr>
        <w:t>Criterion 3: Time scale for hazard progression is sufficiently longer than the time required to take countermeasures for the plant.</w:t>
      </w:r>
    </w:p>
    <w:p w:rsidR="007D3946" w:rsidRPr="005079A3" w:rsidRDefault="007D3946" w:rsidP="005079A3">
      <w:pPr>
        <w:ind w:left="284"/>
        <w:rPr>
          <w:rFonts w:eastAsia="MS PGothic"/>
          <w:lang w:val="en-US"/>
        </w:rPr>
      </w:pPr>
      <w:r>
        <w:rPr>
          <w:rFonts w:eastAsia="MS PGothic" w:cs="tt385co00"/>
          <w:lang w:val="en-US"/>
        </w:rPr>
        <w:t>When Factor 3 is selected, "The effects to the plant" will be evaluated.</w:t>
      </w:r>
    </w:p>
    <w:p w:rsidR="007D3946" w:rsidRPr="005079A3" w:rsidRDefault="007D3946" w:rsidP="005079A3">
      <w:pPr>
        <w:ind w:left="284"/>
        <w:rPr>
          <w:rFonts w:eastAsia="MS PGothic"/>
          <w:lang w:val="en-US"/>
        </w:rPr>
      </w:pPr>
      <w:r>
        <w:rPr>
          <w:rFonts w:eastAsia="MS PGothic" w:cs="tt385co00"/>
          <w:lang w:val="en-US"/>
        </w:rPr>
        <w:t>Criterion 4: It is apparent that no hazard, assuming it has reached the plant, will cause any initiating event leading to core damage.</w:t>
      </w:r>
    </w:p>
    <w:p w:rsidR="007D3946" w:rsidRPr="005079A3" w:rsidRDefault="007D3946" w:rsidP="005079A3">
      <w:pPr>
        <w:rPr>
          <w:rFonts w:eastAsia="MS PGothic"/>
          <w:lang w:val="en-US"/>
        </w:rPr>
      </w:pPr>
    </w:p>
    <w:p w:rsidR="007D3946" w:rsidRPr="005079A3" w:rsidRDefault="007D3946" w:rsidP="005079A3">
      <w:pPr>
        <w:rPr>
          <w:rFonts w:eastAsia="MS PGothic"/>
          <w:b/>
          <w:lang w:val="en-US"/>
        </w:rPr>
      </w:pPr>
      <w:r w:rsidRPr="005079A3">
        <w:rPr>
          <w:rFonts w:eastAsia="MS PGothic" w:cs="tt3871o00"/>
          <w:b/>
          <w:lang w:val="en-US"/>
        </w:rPr>
        <w:t>Step 4: Selection of Quantitative Risk Assessment Method</w:t>
      </w:r>
    </w:p>
    <w:p w:rsidR="007D3946" w:rsidRPr="005079A3" w:rsidRDefault="007D3946" w:rsidP="005079A3">
      <w:pPr>
        <w:rPr>
          <w:rFonts w:eastAsia="MS PGothic"/>
          <w:lang w:val="en-US"/>
        </w:rPr>
      </w:pPr>
      <w:r>
        <w:rPr>
          <w:rFonts w:eastAsia="MS PGothic" w:cs="tt385co00"/>
          <w:lang w:val="en-US"/>
        </w:rPr>
        <w:t>The most suitable risk evaluation method shall be selected, considering characteristics of hazard and its effect, such as frequency, consequence and accident scenario or management. The possibility of simultaneous occurrence of multi-hazards is also considered to evaluate in the quantitative evaluations.</w:t>
      </w:r>
    </w:p>
    <w:p w:rsidR="007D3946" w:rsidRPr="005079A3" w:rsidRDefault="007D3946" w:rsidP="005079A3">
      <w:pPr>
        <w:ind w:left="181" w:hanging="181"/>
        <w:rPr>
          <w:rFonts w:eastAsia="MS PGothic"/>
          <w:b/>
          <w:lang w:val="en-US"/>
        </w:rPr>
      </w:pPr>
      <w:r w:rsidRPr="005079A3">
        <w:rPr>
          <w:rFonts w:eastAsia="MS PGothic" w:cs="tt385co00"/>
          <w:b/>
          <w:lang w:val="en-US"/>
        </w:rPr>
        <w:t>1) Risk assessment based on the hazard frequency analysis or hazard impact analysis</w:t>
      </w:r>
    </w:p>
    <w:p w:rsidR="007D3946" w:rsidRPr="005079A3" w:rsidRDefault="007D3946" w:rsidP="005079A3">
      <w:pPr>
        <w:ind w:left="284"/>
        <w:rPr>
          <w:rFonts w:eastAsia="MS PGothic"/>
          <w:lang w:val="en-US"/>
        </w:rPr>
      </w:pPr>
      <w:r>
        <w:rPr>
          <w:rFonts w:eastAsia="MS PGothic" w:cs="tt385co00"/>
          <w:lang w:val="en-US"/>
        </w:rPr>
        <w:t>This assessment is performed when the concerned external hazard may be determined to have no significant risk of core damage as the result of a quantitative evaluation of its frequency or effects to the plant without taking into account any accident management after such hazard has impacted the plant.</w:t>
      </w:r>
    </w:p>
    <w:p w:rsidR="007D3946" w:rsidRPr="005079A3" w:rsidRDefault="007D3946" w:rsidP="005079A3">
      <w:pPr>
        <w:ind w:left="284"/>
        <w:rPr>
          <w:rFonts w:eastAsia="MS PGothic"/>
          <w:lang w:val="en-US"/>
        </w:rPr>
      </w:pPr>
      <w:r>
        <w:rPr>
          <w:rFonts w:eastAsia="MS PGothic" w:cs="tt385co00"/>
          <w:lang w:val="en-US"/>
        </w:rPr>
        <w:t>This kind of risk assessment may be potentially applicable to the hazards of “high wind” and/or “atmospheric pressure change” in Japan.</w:t>
      </w:r>
    </w:p>
    <w:p w:rsidR="007D3946" w:rsidRPr="005079A3" w:rsidRDefault="007D3946" w:rsidP="005079A3">
      <w:pPr>
        <w:rPr>
          <w:rFonts w:eastAsia="MS PGothic"/>
          <w:b/>
          <w:lang w:val="en-US"/>
        </w:rPr>
      </w:pPr>
      <w:r w:rsidRPr="005079A3">
        <w:rPr>
          <w:rFonts w:eastAsia="MS PGothic" w:cs="tt385co00"/>
          <w:b/>
          <w:lang w:val="en-US"/>
        </w:rPr>
        <w:t>2) Safety margin evaluation</w:t>
      </w:r>
    </w:p>
    <w:p w:rsidR="007D3946" w:rsidRPr="005079A3" w:rsidRDefault="007D3946" w:rsidP="005079A3">
      <w:pPr>
        <w:ind w:left="284"/>
        <w:rPr>
          <w:rFonts w:eastAsia="MS PGothic"/>
          <w:lang w:val="en-US"/>
        </w:rPr>
      </w:pPr>
      <w:r>
        <w:rPr>
          <w:rFonts w:eastAsia="MS PGothic" w:cs="tt385co00"/>
          <w:lang w:val="en-US"/>
        </w:rPr>
        <w:t>Safety margin evaluation is performed when it is necessary to take into account all accident scenarios after an external hazard has impacted the plant but it is difficult to perform hazard frequency evaluation or when the uncertainty associated with the frequency is significantly high. It is considered to evaluate the safety margin for the core damage risk against external hazard, and if evaluated safety margin exceeds a reference value, the hazard is determined to have no significant risk of core damage.</w:t>
      </w:r>
    </w:p>
    <w:p w:rsidR="007D3946" w:rsidRPr="005079A3" w:rsidRDefault="007D3946" w:rsidP="005079A3">
      <w:pPr>
        <w:ind w:left="284"/>
        <w:rPr>
          <w:rFonts w:eastAsia="MS PGothic"/>
          <w:lang w:val="en-US"/>
        </w:rPr>
      </w:pPr>
      <w:r>
        <w:rPr>
          <w:rFonts w:eastAsia="MS PGothic" w:cs="tt385co00"/>
          <w:lang w:val="en-US"/>
        </w:rPr>
        <w:t>Safety margin evaluation may be potentially applicable to the hazard of “tsunami” in Japan.</w:t>
      </w:r>
    </w:p>
    <w:p w:rsidR="007D3946" w:rsidRPr="005079A3" w:rsidRDefault="007D3946" w:rsidP="005079A3">
      <w:pPr>
        <w:rPr>
          <w:rFonts w:eastAsia="MS PGothic"/>
          <w:b/>
          <w:lang w:val="en-US"/>
        </w:rPr>
      </w:pPr>
      <w:r w:rsidRPr="005079A3">
        <w:rPr>
          <w:rFonts w:eastAsia="MS PGothic" w:cs="tt385co00"/>
          <w:b/>
          <w:lang w:val="en-US"/>
        </w:rPr>
        <w:t>3) Deterministic CDF evaluation</w:t>
      </w:r>
    </w:p>
    <w:p w:rsidR="007D3946" w:rsidRPr="005079A3" w:rsidRDefault="007D3946" w:rsidP="005079A3">
      <w:pPr>
        <w:ind w:left="284"/>
        <w:rPr>
          <w:rFonts w:eastAsia="MS PGothic"/>
          <w:lang w:val="en-US"/>
        </w:rPr>
      </w:pPr>
      <w:r>
        <w:rPr>
          <w:rFonts w:eastAsia="MS PGothic" w:cs="tt385co00"/>
          <w:lang w:val="en-US"/>
        </w:rPr>
        <w:t xml:space="preserve">This risk assessment is performed when it is necessary to take into account all accident scenarios after the hazard has impacted the plant and hazard frequency evaluations can be performed. The Conditional Core Damage Probability (CCDP) of the plant caused by the hazard is evaluated by the postulated initiating event with effects to the SSCs having safety functions. In calculating the CCDP, a bounding analysis or conservative analysis can be performed using the PRA models for internal events. Core Damage Frequency is calculated by multiplying the CCDP by the frequency of the external hazard exceeding the level at which the plant may be affected. If the evaluated CDF is lower than a reference value, the hazard is determined to pose no significant risk of core damage. </w:t>
      </w:r>
    </w:p>
    <w:p w:rsidR="007D3946" w:rsidRPr="005079A3" w:rsidRDefault="007D3946" w:rsidP="005079A3">
      <w:pPr>
        <w:ind w:left="284"/>
        <w:rPr>
          <w:rFonts w:eastAsia="MS PGothic"/>
          <w:lang w:val="en-US"/>
        </w:rPr>
      </w:pPr>
      <w:r>
        <w:rPr>
          <w:rFonts w:eastAsia="MS PGothic" w:cs="tt385co00"/>
          <w:lang w:val="en-US"/>
        </w:rPr>
        <w:t>This risk assessment may be potentially applicable to the hazards of “volcanic ash fall” in Japan.</w:t>
      </w:r>
    </w:p>
    <w:p w:rsidR="007D3946" w:rsidRPr="005079A3" w:rsidRDefault="007D3946" w:rsidP="005079A3">
      <w:pPr>
        <w:rPr>
          <w:rFonts w:eastAsia="MS PGothic"/>
          <w:b/>
          <w:lang w:val="en-US"/>
        </w:rPr>
      </w:pPr>
      <w:r w:rsidRPr="005079A3">
        <w:rPr>
          <w:rFonts w:eastAsia="tt385bo00" w:cs="tt385co00"/>
          <w:b/>
          <w:lang w:val="en-US"/>
        </w:rPr>
        <w:t>4) Detail</w:t>
      </w:r>
      <w:r w:rsidR="00A26FD3">
        <w:rPr>
          <w:rFonts w:eastAsia="tt385bo00" w:cs="tt385co00"/>
          <w:b/>
          <w:lang w:val="en-US"/>
        </w:rPr>
        <w:t>ed</w:t>
      </w:r>
      <w:r w:rsidRPr="005079A3">
        <w:rPr>
          <w:rFonts w:eastAsia="tt385bo00" w:cs="tt385co00"/>
          <w:b/>
          <w:lang w:val="en-US"/>
        </w:rPr>
        <w:t xml:space="preserve"> risk assessment such as PRA</w:t>
      </w:r>
    </w:p>
    <w:p w:rsidR="007D3946" w:rsidRPr="005079A3" w:rsidRDefault="007D3946" w:rsidP="005079A3">
      <w:pPr>
        <w:ind w:left="284"/>
        <w:rPr>
          <w:rFonts w:eastAsia="MS PGothic"/>
          <w:lang w:val="en-US"/>
        </w:rPr>
      </w:pPr>
      <w:r>
        <w:rPr>
          <w:rFonts w:eastAsia="MS PGothic" w:cs="tt385co00"/>
          <w:lang w:val="en-US"/>
        </w:rPr>
        <w:t>External hazards determined to have a significant risk as the result of any one of the preceding evaluations specified in 1) through 3) shall be subject to detailed risk evaluation applying such method as Probabilistic Risk Assessment (PRA). Although it is desirable to apply the PRA to all of those external hazards, deterministic evaluations and/or evaluations based on engineering judgment can replace PRA for some hazards in case complex accident scenarios or combined events are to be considered for which no advanced evaluation technique is available.</w:t>
      </w:r>
    </w:p>
    <w:p w:rsidR="007D3946" w:rsidRPr="005079A3" w:rsidRDefault="007D3946" w:rsidP="005079A3">
      <w:pPr>
        <w:ind w:left="284"/>
        <w:rPr>
          <w:rFonts w:eastAsia="MS PGothic"/>
          <w:lang w:val="en-US"/>
        </w:rPr>
      </w:pPr>
      <w:r>
        <w:rPr>
          <w:rFonts w:eastAsia="MS PGothic" w:cs="tt385co00"/>
          <w:lang w:val="en-US"/>
        </w:rPr>
        <w:t>PRA may be potentially applicable to the hazards of “earthquake” and/or “tsunami” if possible in Japan.</w:t>
      </w:r>
    </w:p>
    <w:p w:rsidR="008C147D" w:rsidRPr="005079A3" w:rsidRDefault="008C147D" w:rsidP="00C70893">
      <w:pPr>
        <w:rPr>
          <w:lang w:val="en-US"/>
        </w:rPr>
      </w:pPr>
    </w:p>
    <w:p w:rsidR="00737A59" w:rsidRPr="00E20701" w:rsidRDefault="00737A59" w:rsidP="00317481">
      <w:pPr>
        <w:pStyle w:val="Titre3"/>
        <w:rPr>
          <w:lang w:val="en-GB"/>
        </w:rPr>
      </w:pPr>
      <w:bookmarkStart w:id="423" w:name="_Toc473303560"/>
      <w:r w:rsidRPr="00E20701">
        <w:rPr>
          <w:lang w:val="en-GB"/>
        </w:rPr>
        <w:t>Lithuania</w:t>
      </w:r>
      <w:bookmarkEnd w:id="423"/>
    </w:p>
    <w:p w:rsidR="00834858" w:rsidRDefault="00421E2F" w:rsidP="00834858">
      <w:pPr>
        <w:rPr>
          <w:lang w:val="en-GB"/>
        </w:rPr>
      </w:pPr>
      <w:r w:rsidRPr="00E20701">
        <w:rPr>
          <w:lang w:val="en-GB"/>
        </w:rPr>
        <w:t xml:space="preserve">The </w:t>
      </w:r>
      <w:r>
        <w:rPr>
          <w:lang w:val="en-GB"/>
        </w:rPr>
        <w:t>Lithuanian</w:t>
      </w:r>
      <w:r w:rsidRPr="00E20701">
        <w:rPr>
          <w:lang w:val="en-GB"/>
        </w:rPr>
        <w:t xml:space="preserve"> practice on initiating event selection is </w:t>
      </w:r>
      <w:r w:rsidR="00A82C47">
        <w:rPr>
          <w:lang w:val="en-GB"/>
        </w:rPr>
        <w:t xml:space="preserve">in </w:t>
      </w:r>
      <w:r w:rsidR="00060FCA">
        <w:rPr>
          <w:lang w:val="en-GB"/>
        </w:rPr>
        <w:t>accordance to</w:t>
      </w:r>
      <w:r w:rsidRPr="00E20701">
        <w:rPr>
          <w:lang w:val="en-GB"/>
        </w:rPr>
        <w:t xml:space="preserve"> the methodo</w:t>
      </w:r>
      <w:r w:rsidR="00060FCA">
        <w:rPr>
          <w:lang w:val="en-GB"/>
        </w:rPr>
        <w:t xml:space="preserve">logy elaborated by the IAEA (see </w:t>
      </w:r>
      <w:r w:rsidRPr="00E20701">
        <w:rPr>
          <w:lang w:val="en-GB"/>
        </w:rPr>
        <w:t xml:space="preserve">section </w:t>
      </w:r>
      <w:r w:rsidRPr="00FA7763">
        <w:rPr>
          <w:lang w:val="en-GB"/>
        </w:rPr>
        <w:fldChar w:fldCharType="begin"/>
      </w:r>
      <w:r w:rsidRPr="00E20701">
        <w:rPr>
          <w:lang w:val="en-GB"/>
        </w:rPr>
        <w:instrText xml:space="preserve"> REF _Ref384898859 \r \h </w:instrText>
      </w:r>
      <w:r w:rsidRPr="00FA7763">
        <w:rPr>
          <w:lang w:val="en-GB"/>
        </w:rPr>
      </w:r>
      <w:r w:rsidRPr="00FA7763">
        <w:rPr>
          <w:lang w:val="en-GB"/>
        </w:rPr>
        <w:fldChar w:fldCharType="separate"/>
      </w:r>
      <w:r w:rsidR="00E62976">
        <w:rPr>
          <w:lang w:val="en-GB"/>
        </w:rPr>
        <w:t>5.1.1</w:t>
      </w:r>
      <w:r w:rsidRPr="00FA7763">
        <w:rPr>
          <w:lang w:val="en-GB"/>
        </w:rPr>
        <w:fldChar w:fldCharType="end"/>
      </w:r>
      <w:r w:rsidRPr="00E20701">
        <w:rPr>
          <w:lang w:val="en-GB"/>
        </w:rPr>
        <w:t xml:space="preserve">). </w:t>
      </w:r>
      <w:r w:rsidR="00834858" w:rsidRPr="00BF3C82">
        <w:rPr>
          <w:lang w:val="en-GB"/>
        </w:rPr>
        <w:t xml:space="preserve">While performing, updating, revising and applying PSA, to the extent not contradict to these </w:t>
      </w:r>
      <w:r w:rsidR="00834858">
        <w:rPr>
          <w:lang w:val="en-GB"/>
        </w:rPr>
        <w:t>r</w:t>
      </w:r>
      <w:r w:rsidR="00834858" w:rsidRPr="00BF3C82">
        <w:rPr>
          <w:lang w:val="en-GB"/>
        </w:rPr>
        <w:t>equirements and other legal acts of the republic of Lithuania, it is recommending to follow good practise documented in IAEA specific safety guides:</w:t>
      </w:r>
    </w:p>
    <w:p w:rsidR="00834858" w:rsidRPr="00BF3C82" w:rsidRDefault="00834858" w:rsidP="00834858">
      <w:pPr>
        <w:rPr>
          <w:lang w:val="en-GB"/>
        </w:rPr>
      </w:pPr>
      <w:r w:rsidRPr="00BF3C82">
        <w:rPr>
          <w:lang w:val="en-GB"/>
        </w:rPr>
        <w:t>1. Development and Application of Level 1 Probabilistic Safety Assessment for Nuclear Power Plants, SSG-3, Vienna, 2010;</w:t>
      </w:r>
    </w:p>
    <w:p w:rsidR="00834858" w:rsidRPr="00E20701" w:rsidRDefault="00834858" w:rsidP="00834858">
      <w:pPr>
        <w:rPr>
          <w:lang w:val="en-GB"/>
        </w:rPr>
      </w:pPr>
      <w:r w:rsidRPr="00BF3C82">
        <w:rPr>
          <w:lang w:val="en-GB"/>
        </w:rPr>
        <w:t>2. Development and Application of Level 2 Probabilistic Safety Assessment for Nuclear Power Plants, SSG-4, Vienna, 2010.</w:t>
      </w:r>
    </w:p>
    <w:p w:rsidR="00BF3C82" w:rsidRPr="00E20701" w:rsidRDefault="00A82C47" w:rsidP="00834858">
      <w:pPr>
        <w:rPr>
          <w:lang w:val="en-GB"/>
        </w:rPr>
      </w:pPr>
      <w:r>
        <w:rPr>
          <w:lang w:val="en-GB"/>
        </w:rPr>
        <w:t>Although,</w:t>
      </w:r>
      <w:r w:rsidR="00421E2F" w:rsidRPr="00E20701">
        <w:rPr>
          <w:lang w:val="en-GB"/>
        </w:rPr>
        <w:t xml:space="preserve"> </w:t>
      </w:r>
      <w:r w:rsidR="00060FCA">
        <w:rPr>
          <w:lang w:val="en-GB"/>
        </w:rPr>
        <w:t xml:space="preserve">the specific features of </w:t>
      </w:r>
      <w:r w:rsidR="00421E2F" w:rsidRPr="00E20701">
        <w:rPr>
          <w:lang w:val="en-GB"/>
        </w:rPr>
        <w:t xml:space="preserve">the </w:t>
      </w:r>
      <w:r w:rsidR="00BF3C82">
        <w:rPr>
          <w:lang w:val="en-GB"/>
        </w:rPr>
        <w:t>PSA related requirements</w:t>
      </w:r>
      <w:r>
        <w:rPr>
          <w:lang w:val="en-GB"/>
        </w:rPr>
        <w:t xml:space="preserve"> used or under the development in </w:t>
      </w:r>
      <w:r w:rsidR="00060FCA">
        <w:rPr>
          <w:lang w:val="en-GB"/>
        </w:rPr>
        <w:t>Lithuanian</w:t>
      </w:r>
      <w:r w:rsidR="00421E2F" w:rsidRPr="00E20701">
        <w:rPr>
          <w:lang w:val="en-GB"/>
        </w:rPr>
        <w:t xml:space="preserve"> </w:t>
      </w:r>
      <w:r>
        <w:rPr>
          <w:lang w:val="en-GB"/>
        </w:rPr>
        <w:t xml:space="preserve">is </w:t>
      </w:r>
      <w:r w:rsidR="00BF3C82">
        <w:rPr>
          <w:lang w:val="en-GB"/>
        </w:rPr>
        <w:t>described</w:t>
      </w:r>
      <w:r>
        <w:rPr>
          <w:lang w:val="en-GB"/>
        </w:rPr>
        <w:t xml:space="preserve"> below. The </w:t>
      </w:r>
      <w:r w:rsidR="00BF3C82">
        <w:rPr>
          <w:lang w:val="en-GB"/>
        </w:rPr>
        <w:t>large</w:t>
      </w:r>
      <w:r>
        <w:rPr>
          <w:lang w:val="en-GB"/>
        </w:rPr>
        <w:t xml:space="preserve"> </w:t>
      </w:r>
      <w:r w:rsidR="00834858">
        <w:rPr>
          <w:lang w:val="en-GB"/>
        </w:rPr>
        <w:t xml:space="preserve">part </w:t>
      </w:r>
      <w:r>
        <w:rPr>
          <w:lang w:val="en-GB"/>
        </w:rPr>
        <w:t xml:space="preserve">of the description is focusing on the </w:t>
      </w:r>
      <w:r w:rsidR="00421E2F" w:rsidRPr="00E20701">
        <w:rPr>
          <w:lang w:val="en-GB"/>
        </w:rPr>
        <w:t xml:space="preserve">external hazard </w:t>
      </w:r>
      <w:r w:rsidR="00834858">
        <w:rPr>
          <w:lang w:val="en-GB"/>
        </w:rPr>
        <w:t>consideration</w:t>
      </w:r>
      <w:r w:rsidR="00421E2F" w:rsidRPr="00E20701">
        <w:rPr>
          <w:lang w:val="en-GB"/>
        </w:rPr>
        <w:t>.</w:t>
      </w:r>
    </w:p>
    <w:p w:rsidR="00BF3C82" w:rsidRPr="00BF3C82" w:rsidRDefault="00834858" w:rsidP="00BF3C82">
      <w:pPr>
        <w:rPr>
          <w:lang w:val="en-GB"/>
        </w:rPr>
      </w:pPr>
      <w:r>
        <w:rPr>
          <w:lang w:val="en-GB"/>
        </w:rPr>
        <w:t>In Lithuania a</w:t>
      </w:r>
      <w:r w:rsidR="00BF3C82" w:rsidRPr="00BF3C82">
        <w:rPr>
          <w:lang w:val="en-GB"/>
        </w:rPr>
        <w:t xml:space="preserve">nalysing the all NPP operational states and considering uncertainty, a NPP unit at all stages in the lifetime of NPP shall meet the following </w:t>
      </w:r>
      <w:r w:rsidR="00BF3C82">
        <w:rPr>
          <w:lang w:val="en-GB"/>
        </w:rPr>
        <w:t>probabilistic safety criteria:</w:t>
      </w:r>
    </w:p>
    <w:p w:rsidR="00BF3C82" w:rsidRPr="00BF3C82" w:rsidRDefault="00BF3C82" w:rsidP="00BF3C82">
      <w:pPr>
        <w:rPr>
          <w:lang w:val="en-GB"/>
        </w:rPr>
      </w:pPr>
      <w:r w:rsidRPr="00BF3C82">
        <w:rPr>
          <w:lang w:val="en-GB"/>
        </w:rPr>
        <w:t>1. core damage frequency shall be less than 10</w:t>
      </w:r>
      <w:r w:rsidRPr="00BF3C82">
        <w:rPr>
          <w:vertAlign w:val="superscript"/>
          <w:lang w:val="en-GB"/>
        </w:rPr>
        <w:t>-5</w:t>
      </w:r>
      <w:r w:rsidR="008D75DB">
        <w:rPr>
          <w:lang w:val="en-GB"/>
        </w:rPr>
        <w:t>/a</w:t>
      </w:r>
      <w:r w:rsidRPr="00BF3C82">
        <w:rPr>
          <w:lang w:val="en-GB"/>
        </w:rPr>
        <w:t>, taking into account all the internal events, internal hazards and external hazards;</w:t>
      </w:r>
    </w:p>
    <w:p w:rsidR="00BF3C82" w:rsidRPr="00BF3C82" w:rsidRDefault="00BF3C82" w:rsidP="00BF3C82">
      <w:pPr>
        <w:rPr>
          <w:lang w:val="en-GB"/>
        </w:rPr>
      </w:pPr>
      <w:r w:rsidRPr="00BF3C82">
        <w:rPr>
          <w:lang w:val="en-GB"/>
        </w:rPr>
        <w:t>2. core damage frequency shall be less than 10</w:t>
      </w:r>
      <w:r w:rsidRPr="00BF3C82">
        <w:rPr>
          <w:vertAlign w:val="superscript"/>
          <w:lang w:val="en-GB"/>
        </w:rPr>
        <w:t>-6</w:t>
      </w:r>
      <w:r w:rsidR="008D75DB">
        <w:rPr>
          <w:lang w:val="en-GB"/>
        </w:rPr>
        <w:t>/a</w:t>
      </w:r>
      <w:r w:rsidRPr="00BF3C82">
        <w:rPr>
          <w:lang w:val="en-GB"/>
        </w:rPr>
        <w:t>, taking into account all the internal events only (internal hazards and external hazards are excluded);</w:t>
      </w:r>
    </w:p>
    <w:p w:rsidR="00BF3C82" w:rsidRPr="00BF3C82" w:rsidRDefault="00BF3C82" w:rsidP="00BF3C82">
      <w:pPr>
        <w:rPr>
          <w:lang w:val="en-GB"/>
        </w:rPr>
      </w:pPr>
      <w:r w:rsidRPr="00BF3C82">
        <w:rPr>
          <w:lang w:val="en-GB"/>
        </w:rPr>
        <w:t>3. large release frequency shall be less than 10</w:t>
      </w:r>
      <w:r w:rsidRPr="00BF3C82">
        <w:rPr>
          <w:vertAlign w:val="superscript"/>
          <w:lang w:val="en-GB"/>
        </w:rPr>
        <w:t>-6</w:t>
      </w:r>
      <w:r w:rsidR="008D75DB">
        <w:rPr>
          <w:lang w:val="en-GB"/>
        </w:rPr>
        <w:t>/a</w:t>
      </w:r>
      <w:r w:rsidRPr="00BF3C82">
        <w:rPr>
          <w:lang w:val="en-GB"/>
        </w:rPr>
        <w:t>, taking into account all the initiating events;</w:t>
      </w:r>
    </w:p>
    <w:p w:rsidR="00BF3C82" w:rsidRPr="00BF3C82" w:rsidRDefault="00BF3C82" w:rsidP="00BF3C82">
      <w:pPr>
        <w:rPr>
          <w:lang w:val="en-GB"/>
        </w:rPr>
      </w:pPr>
      <w:r w:rsidRPr="00BF3C82">
        <w:rPr>
          <w:lang w:val="en-GB"/>
        </w:rPr>
        <w:t>4. large early release frequency shall be less than 10</w:t>
      </w:r>
      <w:r w:rsidRPr="00BF3C82">
        <w:rPr>
          <w:vertAlign w:val="superscript"/>
          <w:lang w:val="en-GB"/>
        </w:rPr>
        <w:t>-7</w:t>
      </w:r>
      <w:r w:rsidR="008D75DB">
        <w:rPr>
          <w:lang w:val="en-GB"/>
        </w:rPr>
        <w:t>/a</w:t>
      </w:r>
      <w:r w:rsidRPr="00BF3C82">
        <w:rPr>
          <w:lang w:val="en-GB"/>
        </w:rPr>
        <w:t>, taking into account all the initiating events, which could lead to large early release</w:t>
      </w:r>
      <w:r w:rsidR="004621A4">
        <w:rPr>
          <w:lang w:val="en-GB"/>
        </w:rPr>
        <w:t>.</w:t>
      </w:r>
    </w:p>
    <w:p w:rsidR="00A82C47" w:rsidRDefault="00B87B7E" w:rsidP="00BF3C82">
      <w:pPr>
        <w:rPr>
          <w:lang w:val="en-GB"/>
        </w:rPr>
      </w:pPr>
      <w:r>
        <w:rPr>
          <w:lang w:val="en-GB"/>
        </w:rPr>
        <w:t xml:space="preserve">Thus, one of PSA objectives is </w:t>
      </w:r>
      <w:r w:rsidRPr="00AE3157">
        <w:rPr>
          <w:lang w:val="en-GB"/>
        </w:rPr>
        <w:t>to assess the probabilities and consequences of external hazards</w:t>
      </w:r>
      <w:r>
        <w:rPr>
          <w:lang w:val="en-GB"/>
        </w:rPr>
        <w:t xml:space="preserve">. </w:t>
      </w:r>
      <w:r w:rsidR="00BF3C82" w:rsidRPr="00BF3C82">
        <w:rPr>
          <w:lang w:val="en-GB"/>
        </w:rPr>
        <w:t>NPP unit shall be designed and operated so that the likelihood of occurrence of an accident with serious radiological consequences is low as reasonably achievable and that the radiological consequences of such an accident would be mitigated to the fullest extent practicable.</w:t>
      </w:r>
    </w:p>
    <w:p w:rsidR="00AF7F7B" w:rsidRDefault="00AF7F7B" w:rsidP="00421E2F">
      <w:pPr>
        <w:rPr>
          <w:lang w:val="en-GB"/>
        </w:rPr>
      </w:pPr>
      <w:r w:rsidRPr="00EA2701">
        <w:rPr>
          <w:lang w:val="en-GB"/>
        </w:rPr>
        <w:t xml:space="preserve">PSA shall be performed for all the potential sources of radioactive release in NPP (e.g. reactor core, spent fuel pool), which could lead </w:t>
      </w:r>
      <w:r>
        <w:rPr>
          <w:lang w:val="en-GB"/>
        </w:rPr>
        <w:t xml:space="preserve">to </w:t>
      </w:r>
      <w:r w:rsidRPr="00EA2701">
        <w:rPr>
          <w:lang w:val="en-GB"/>
        </w:rPr>
        <w:t>release from NPP to the environment exceeding the normal NPP operational limits established by legal acts and (or) normative technical document.</w:t>
      </w:r>
      <w:r>
        <w:rPr>
          <w:lang w:val="en-GB"/>
        </w:rPr>
        <w:t xml:space="preserve"> </w:t>
      </w:r>
      <w:r w:rsidRPr="00EA2701">
        <w:rPr>
          <w:lang w:val="en-GB"/>
        </w:rPr>
        <w:t>PSA shall be performed for all operational states of the NPP.</w:t>
      </w:r>
    </w:p>
    <w:p w:rsidR="00AF7F7B" w:rsidRDefault="00AF7F7B" w:rsidP="00421E2F">
      <w:pPr>
        <w:rPr>
          <w:lang w:val="en-GB"/>
        </w:rPr>
      </w:pPr>
      <w:r w:rsidRPr="00EA2701">
        <w:rPr>
          <w:lang w:val="en-GB"/>
        </w:rPr>
        <w:t>During PSA, a comprehensive list of initiating events shall be made by applying a systemic approach.</w:t>
      </w:r>
      <w:r w:rsidRPr="00AE3157">
        <w:rPr>
          <w:lang w:val="en-GB"/>
        </w:rPr>
        <w:t xml:space="preserve"> The list of initiating events (malicious acts is excluded) for all NPP operation states shall include </w:t>
      </w:r>
      <w:r w:rsidRPr="00EA2701">
        <w:rPr>
          <w:lang w:val="en-GB"/>
        </w:rPr>
        <w:t xml:space="preserve">internal events, internal hazards and external hazards, that </w:t>
      </w:r>
      <w:r>
        <w:rPr>
          <w:lang w:val="en-GB"/>
        </w:rPr>
        <w:t>could</w:t>
      </w:r>
      <w:r w:rsidRPr="00EA2701">
        <w:rPr>
          <w:lang w:val="en-GB"/>
        </w:rPr>
        <w:t xml:space="preserve"> lead </w:t>
      </w:r>
      <w:r>
        <w:rPr>
          <w:lang w:val="en-GB"/>
        </w:rPr>
        <w:t xml:space="preserve">to </w:t>
      </w:r>
      <w:r w:rsidRPr="00EA2701">
        <w:rPr>
          <w:lang w:val="en-GB"/>
        </w:rPr>
        <w:t>core damage and (or) release to the environment.</w:t>
      </w:r>
      <w:r w:rsidRPr="00AE3157">
        <w:rPr>
          <w:lang w:val="en-GB"/>
        </w:rPr>
        <w:t xml:space="preserve"> </w:t>
      </w:r>
      <w:r w:rsidRPr="00EA2701">
        <w:rPr>
          <w:lang w:val="en-GB"/>
        </w:rPr>
        <w:t>The list shall also include the</w:t>
      </w:r>
      <w:r>
        <w:rPr>
          <w:lang w:val="en-GB"/>
        </w:rPr>
        <w:t xml:space="preserve"> possible</w:t>
      </w:r>
      <w:r w:rsidRPr="00EA2701">
        <w:rPr>
          <w:lang w:val="en-GB"/>
        </w:rPr>
        <w:t xml:space="preserve"> combinations of events </w:t>
      </w:r>
      <w:r>
        <w:rPr>
          <w:lang w:val="en-GB"/>
        </w:rPr>
        <w:t xml:space="preserve">and </w:t>
      </w:r>
      <w:r w:rsidRPr="00EA2701">
        <w:rPr>
          <w:lang w:val="en-GB"/>
        </w:rPr>
        <w:t>common cause failures.</w:t>
      </w:r>
      <w:r w:rsidR="004D2279">
        <w:rPr>
          <w:lang w:val="en-GB"/>
        </w:rPr>
        <w:t xml:space="preserve"> </w:t>
      </w:r>
      <w:r w:rsidRPr="00EA2701">
        <w:rPr>
          <w:lang w:val="en-GB"/>
        </w:rPr>
        <w:t>The list of initiating events shall include events of very low frequency with potentially significant consequences on the NPP safety (for example, rupture of reactor vessel</w:t>
      </w:r>
      <w:r>
        <w:rPr>
          <w:lang w:val="en-GB"/>
        </w:rPr>
        <w:t>)</w:t>
      </w:r>
      <w:r w:rsidRPr="00EA2701">
        <w:rPr>
          <w:lang w:val="en-GB"/>
        </w:rPr>
        <w:t>.</w:t>
      </w:r>
      <w:r w:rsidRPr="00AE3157">
        <w:rPr>
          <w:lang w:val="en-GB"/>
        </w:rPr>
        <w:t xml:space="preserve"> </w:t>
      </w:r>
      <w:r w:rsidRPr="00EA2701">
        <w:rPr>
          <w:lang w:val="en-GB"/>
        </w:rPr>
        <w:t>Removal of the events from the list of initiating events subject to detailed analysis shall be justified and documented.</w:t>
      </w:r>
    </w:p>
    <w:p w:rsidR="00AF7F7B" w:rsidRDefault="00AF7F7B" w:rsidP="00421E2F">
      <w:pPr>
        <w:rPr>
          <w:lang w:val="en-GB"/>
        </w:rPr>
      </w:pPr>
      <w:r w:rsidRPr="00EA2701">
        <w:rPr>
          <w:lang w:val="en-GB"/>
        </w:rPr>
        <w:t>Internal events, internal hazards and external hazards shall be analysed (assessed) and modelled in a detailed PSA model.</w:t>
      </w:r>
      <w:r w:rsidRPr="00AE3157">
        <w:rPr>
          <w:lang w:val="en-GB"/>
        </w:rPr>
        <w:t xml:space="preserve"> </w:t>
      </w:r>
      <w:r w:rsidRPr="00EA2701">
        <w:rPr>
          <w:lang w:val="en-GB"/>
        </w:rPr>
        <w:t>PSA model can be divided into the models of full power, low power and shutdown operation.</w:t>
      </w:r>
    </w:p>
    <w:p w:rsidR="00AF7F7B" w:rsidRDefault="00AF7F7B" w:rsidP="00421E2F">
      <w:pPr>
        <w:rPr>
          <w:lang w:val="en-GB"/>
        </w:rPr>
      </w:pPr>
      <w:r w:rsidRPr="00EA2701">
        <w:rPr>
          <w:lang w:val="en-GB"/>
        </w:rPr>
        <w:t>PSA shall be based on realistic modelling of NPP response to initiating events</w:t>
      </w:r>
      <w:r>
        <w:rPr>
          <w:lang w:val="en-GB"/>
        </w:rPr>
        <w:t xml:space="preserve"> using</w:t>
      </w:r>
      <w:r w:rsidRPr="00EA2701">
        <w:rPr>
          <w:lang w:val="en-GB"/>
        </w:rPr>
        <w:t xml:space="preserve"> data relevant for the NPP design</w:t>
      </w:r>
      <w:r>
        <w:rPr>
          <w:lang w:val="en-GB"/>
        </w:rPr>
        <w:t>, and</w:t>
      </w:r>
      <w:r w:rsidRPr="00EA2701">
        <w:rPr>
          <w:lang w:val="en-GB"/>
        </w:rPr>
        <w:t xml:space="preserve"> tak</w:t>
      </w:r>
      <w:r>
        <w:rPr>
          <w:lang w:val="en-GB"/>
        </w:rPr>
        <w:t>ing</w:t>
      </w:r>
      <w:r w:rsidRPr="00EA2701">
        <w:rPr>
          <w:lang w:val="en-GB"/>
        </w:rPr>
        <w:t xml:space="preserve"> into account </w:t>
      </w:r>
      <w:r>
        <w:rPr>
          <w:lang w:val="en-GB"/>
        </w:rPr>
        <w:t xml:space="preserve">NPP personnel action </w:t>
      </w:r>
      <w:r w:rsidRPr="00EA2701">
        <w:rPr>
          <w:lang w:val="en-GB"/>
        </w:rPr>
        <w:t>to the extent assumed in NPP operati</w:t>
      </w:r>
      <w:r>
        <w:rPr>
          <w:lang w:val="en-GB"/>
        </w:rPr>
        <w:t>ng</w:t>
      </w:r>
      <w:r w:rsidRPr="00EA2701">
        <w:rPr>
          <w:lang w:val="en-GB"/>
        </w:rPr>
        <w:t xml:space="preserve"> and emergency response procedures.</w:t>
      </w:r>
    </w:p>
    <w:p w:rsidR="00AF7F7B" w:rsidRDefault="00AF7F7B" w:rsidP="00421E2F">
      <w:pPr>
        <w:rPr>
          <w:lang w:val="en-GB"/>
        </w:rPr>
      </w:pPr>
      <w:r w:rsidRPr="00EA2701">
        <w:rPr>
          <w:lang w:val="en-GB"/>
        </w:rPr>
        <w:t>At all the stages in the lifetime of NPP, PSA shall be performed taken into account to the NPP operation limits and conditions, maintenance, including tests and repairs.</w:t>
      </w:r>
      <w:r w:rsidRPr="00AF7F7B">
        <w:rPr>
          <w:lang w:val="en-GB"/>
        </w:rPr>
        <w:t xml:space="preserve"> </w:t>
      </w:r>
      <w:r w:rsidRPr="00EA2701">
        <w:rPr>
          <w:lang w:val="en-GB"/>
        </w:rPr>
        <w:t>A regularly updated, corresponding to the current NPP design, documented, verified and approved, full-scope (internal events, internal hazards and external hazards, all the NPP operation states) PSA model shall be used for PSA applications.</w:t>
      </w:r>
      <w:r w:rsidRPr="00AE3157">
        <w:rPr>
          <w:lang w:val="en-GB"/>
        </w:rPr>
        <w:t xml:space="preserve"> A justification is necessary if the full scope PSA model is not used for PSA applications.</w:t>
      </w:r>
      <w:r>
        <w:rPr>
          <w:lang w:val="en-GB"/>
        </w:rPr>
        <w:t xml:space="preserve"> </w:t>
      </w:r>
      <w:r w:rsidRPr="00EA2701">
        <w:rPr>
          <w:lang w:val="en-GB"/>
        </w:rPr>
        <w:t>Human reliability analysis shall be performed, taking into account the factors, which can influence the performance of the NPP personnel in all NPP states.</w:t>
      </w:r>
    </w:p>
    <w:p w:rsidR="00AF7F7B" w:rsidRDefault="00AF7F7B" w:rsidP="00421E2F">
      <w:pPr>
        <w:rPr>
          <w:lang w:val="en-GB"/>
        </w:rPr>
      </w:pPr>
      <w:r w:rsidRPr="00AF7F7B">
        <w:rPr>
          <w:lang w:val="en-GB"/>
        </w:rPr>
        <w:t xml:space="preserve">Contribution of the groups of initiating events, which are grouped according the same or very similar characteristics (i.e. accident progress after the initiating event, NPP response to the initiating event), to the core damage frequency (hereinafter – CDF) </w:t>
      </w:r>
      <w:r w:rsidR="00DD3CB1">
        <w:rPr>
          <w:lang w:val="en-GB"/>
        </w:rPr>
        <w:t xml:space="preserve">and </w:t>
      </w:r>
      <w:r w:rsidR="00DD3CB1" w:rsidRPr="00DD3CB1">
        <w:rPr>
          <w:lang w:val="en-GB"/>
        </w:rPr>
        <w:t>to the large radionuclides release frequency (hereinafter – LRF) and large early radionuclides release frequency (hereinafter – LERF)</w:t>
      </w:r>
      <w:r w:rsidR="00DD3CB1">
        <w:rPr>
          <w:lang w:val="en-GB"/>
        </w:rPr>
        <w:t xml:space="preserve"> </w:t>
      </w:r>
      <w:r w:rsidRPr="00AF7F7B">
        <w:rPr>
          <w:lang w:val="en-GB"/>
        </w:rPr>
        <w:t>shall be provided as part of the PSA documentation.</w:t>
      </w:r>
      <w:r>
        <w:rPr>
          <w:lang w:val="en-GB"/>
        </w:rPr>
        <w:t xml:space="preserve"> </w:t>
      </w:r>
      <w:r w:rsidRPr="00EA2701">
        <w:rPr>
          <w:lang w:val="en-GB"/>
        </w:rPr>
        <w:t xml:space="preserve">Contribution of each initiating event to the CDF </w:t>
      </w:r>
      <w:r w:rsidR="00DD3CB1">
        <w:rPr>
          <w:lang w:val="en-GB"/>
        </w:rPr>
        <w:t>and c</w:t>
      </w:r>
      <w:r w:rsidR="00DD3CB1" w:rsidRPr="00DD3CB1">
        <w:rPr>
          <w:lang w:val="en-GB"/>
        </w:rPr>
        <w:t>ontribution of plant damage states (hereinafter – PDS) (or initiating events) into the radionuclides release category (hereinafter – RC)</w:t>
      </w:r>
      <w:r w:rsidR="00DD3CB1">
        <w:rPr>
          <w:lang w:val="en-GB"/>
        </w:rPr>
        <w:t xml:space="preserve"> </w:t>
      </w:r>
      <w:r w:rsidRPr="00EA2701">
        <w:rPr>
          <w:lang w:val="en-GB"/>
        </w:rPr>
        <w:t>shall be provided as part of the PSA documentation.</w:t>
      </w:r>
    </w:p>
    <w:p w:rsidR="00AF7F7B" w:rsidRDefault="00BF5E94" w:rsidP="00421E2F">
      <w:pPr>
        <w:rPr>
          <w:lang w:val="en-GB"/>
        </w:rPr>
      </w:pPr>
      <w:r>
        <w:rPr>
          <w:lang w:val="en-GB"/>
        </w:rPr>
        <w:t xml:space="preserve">In Lithuania </w:t>
      </w:r>
      <w:r w:rsidR="00AF7F7B" w:rsidRPr="00AF7F7B">
        <w:rPr>
          <w:lang w:val="en-GB"/>
        </w:rPr>
        <w:t xml:space="preserve">PSA should be used </w:t>
      </w:r>
      <w:r>
        <w:rPr>
          <w:lang w:val="en-GB"/>
        </w:rPr>
        <w:t xml:space="preserve">for various applications, for instance </w:t>
      </w:r>
      <w:r w:rsidR="00AF7F7B" w:rsidRPr="00AF7F7B">
        <w:rPr>
          <w:lang w:val="en-GB"/>
        </w:rPr>
        <w:t xml:space="preserve">to identify vital NPP areas. This covers identification of the safety important SSCs and assessment of their impact on the NPP safety, </w:t>
      </w:r>
      <w:r w:rsidR="00AF7F7B">
        <w:rPr>
          <w:lang w:val="en-GB"/>
        </w:rPr>
        <w:t xml:space="preserve">even </w:t>
      </w:r>
      <w:r w:rsidR="00AF7F7B" w:rsidRPr="00AF7F7B">
        <w:rPr>
          <w:lang w:val="en-GB"/>
        </w:rPr>
        <w:t>assuming that initiating events are the result of malicious act.</w:t>
      </w:r>
    </w:p>
    <w:p w:rsidR="00FB3248" w:rsidRDefault="00FB3248" w:rsidP="00421E2F">
      <w:pPr>
        <w:rPr>
          <w:lang w:val="en-GB"/>
        </w:rPr>
      </w:pPr>
    </w:p>
    <w:p w:rsidR="00011CA9" w:rsidRDefault="00011CA9" w:rsidP="00421E2F">
      <w:pPr>
        <w:rPr>
          <w:lang w:val="en-GB"/>
        </w:rPr>
      </w:pPr>
      <w:r w:rsidRPr="00011CA9">
        <w:rPr>
          <w:lang w:val="en-GB"/>
        </w:rPr>
        <w:t>Initial list of external events</w:t>
      </w:r>
    </w:p>
    <w:p w:rsidR="00011CA9" w:rsidRPr="00011CA9" w:rsidRDefault="00011CA9" w:rsidP="00011CA9">
      <w:pPr>
        <w:rPr>
          <w:lang w:val="en-GB"/>
        </w:rPr>
      </w:pPr>
      <w:r>
        <w:rPr>
          <w:lang w:val="en-GB"/>
        </w:rPr>
        <w:t>The specific attention to the external events was in the analysis of site selection for new NPP</w:t>
      </w:r>
      <w:r w:rsidR="0078177B">
        <w:rPr>
          <w:lang w:val="en-GB"/>
        </w:rPr>
        <w:t xml:space="preserve"> as</w:t>
      </w:r>
      <w:r>
        <w:rPr>
          <w:lang w:val="en-GB"/>
        </w:rPr>
        <w:t xml:space="preserve"> </w:t>
      </w:r>
      <w:r w:rsidR="0078177B">
        <w:rPr>
          <w:lang w:val="en-GB"/>
        </w:rPr>
        <w:t>f</w:t>
      </w:r>
      <w:r w:rsidRPr="00011CA9">
        <w:rPr>
          <w:lang w:val="en-GB"/>
        </w:rPr>
        <w:t>requency and impact of initiating event depends on geographic position of nuclear power plant, geological and meteorological conditions of the region, and concentration of industrial and military objects in the region, different kind transport intensity and other human activities.</w:t>
      </w:r>
    </w:p>
    <w:p w:rsidR="00011CA9" w:rsidRPr="00011CA9" w:rsidRDefault="00011CA9" w:rsidP="00011CA9">
      <w:pPr>
        <w:rPr>
          <w:lang w:val="en-GB"/>
        </w:rPr>
      </w:pPr>
      <w:r w:rsidRPr="00011CA9">
        <w:rPr>
          <w:lang w:val="en-GB"/>
        </w:rPr>
        <w:t>Before defining an initial list of initiating events, which may influence common NPP risk, all possible NPP hazardous events should be analysed. General list of such events is recommended in IAEA</w:t>
      </w:r>
      <w:r>
        <w:rPr>
          <w:lang w:val="en-GB"/>
        </w:rPr>
        <w:t xml:space="preserve"> regulating documents</w:t>
      </w:r>
      <w:r w:rsidRPr="00011CA9">
        <w:rPr>
          <w:lang w:val="en-GB"/>
        </w:rPr>
        <w:t xml:space="preserve"> and NRC guide</w:t>
      </w:r>
      <w:r w:rsidR="004D2279">
        <w:rPr>
          <w:lang w:val="en-GB"/>
        </w:rPr>
        <w:t>s</w:t>
      </w:r>
      <w:r w:rsidRPr="00011CA9">
        <w:rPr>
          <w:lang w:val="en-GB"/>
        </w:rPr>
        <w:t xml:space="preserve"> </w:t>
      </w:r>
      <w:r w:rsidR="004D2279">
        <w:rPr>
          <w:lang w:val="en-GB"/>
        </w:rPr>
        <w:t xml:space="preserve">(e.g. </w:t>
      </w:r>
      <w:r w:rsidRPr="00011CA9">
        <w:rPr>
          <w:lang w:val="en-GB"/>
        </w:rPr>
        <w:t>NUREG/CR-2300</w:t>
      </w:r>
      <w:r w:rsidR="005511FE">
        <w:rPr>
          <w:lang w:val="en-GB"/>
        </w:rPr>
        <w:t xml:space="preserve"> </w:t>
      </w:r>
      <w:r w:rsidR="005511FE">
        <w:rPr>
          <w:lang w:val="en-GB"/>
        </w:rPr>
        <w:fldChar w:fldCharType="begin"/>
      </w:r>
      <w:r w:rsidR="005511FE">
        <w:rPr>
          <w:lang w:val="en-GB"/>
        </w:rPr>
        <w:instrText xml:space="preserve"> REF _Ref467064389 \w \h </w:instrText>
      </w:r>
      <w:r w:rsidR="005511FE">
        <w:rPr>
          <w:lang w:val="en-GB"/>
        </w:rPr>
      </w:r>
      <w:r w:rsidR="005511FE">
        <w:rPr>
          <w:lang w:val="en-GB"/>
        </w:rPr>
        <w:fldChar w:fldCharType="separate"/>
      </w:r>
      <w:r w:rsidR="00E62976">
        <w:rPr>
          <w:lang w:val="en-GB"/>
        </w:rPr>
        <w:t>[106]</w:t>
      </w:r>
      <w:r w:rsidR="005511FE">
        <w:rPr>
          <w:lang w:val="en-GB"/>
        </w:rPr>
        <w:fldChar w:fldCharType="end"/>
      </w:r>
      <w:r w:rsidR="004D2279">
        <w:rPr>
          <w:lang w:val="en-GB"/>
        </w:rPr>
        <w:t>)</w:t>
      </w:r>
      <w:r w:rsidRPr="00011CA9">
        <w:rPr>
          <w:lang w:val="en-GB"/>
        </w:rPr>
        <w:t xml:space="preserve"> designed for performance of probabilistic risk </w:t>
      </w:r>
      <w:r w:rsidR="004621A4">
        <w:rPr>
          <w:lang w:val="en-GB"/>
        </w:rPr>
        <w:t>a</w:t>
      </w:r>
      <w:r w:rsidR="0027255B">
        <w:rPr>
          <w:lang w:val="en-GB"/>
        </w:rPr>
        <w:t>ssessment</w:t>
      </w:r>
      <w:r w:rsidRPr="00011CA9">
        <w:rPr>
          <w:lang w:val="en-GB"/>
        </w:rPr>
        <w:t>.</w:t>
      </w:r>
      <w:r w:rsidR="004D2279">
        <w:rPr>
          <w:lang w:val="en-GB"/>
        </w:rPr>
        <w:t xml:space="preserve"> </w:t>
      </w:r>
      <w:r w:rsidRPr="00011CA9">
        <w:rPr>
          <w:lang w:val="en-GB"/>
        </w:rPr>
        <w:t>Initiating events, which obviously do not influence NPP safety, are not included into the lis</w:t>
      </w:r>
      <w:r w:rsidR="004D2279">
        <w:rPr>
          <w:lang w:val="en-GB"/>
        </w:rPr>
        <w:t>t and</w:t>
      </w:r>
      <w:r w:rsidRPr="00011CA9">
        <w:rPr>
          <w:lang w:val="en-GB"/>
        </w:rPr>
        <w:t xml:space="preserve"> the list of initiating events is divided into two groups – natural forces induced events and external events related to the human activity.</w:t>
      </w:r>
    </w:p>
    <w:p w:rsidR="00011CA9" w:rsidRDefault="00011CA9" w:rsidP="00011CA9">
      <w:pPr>
        <w:rPr>
          <w:lang w:val="en-GB"/>
        </w:rPr>
      </w:pPr>
      <w:r w:rsidRPr="00011CA9">
        <w:rPr>
          <w:lang w:val="en-GB"/>
        </w:rPr>
        <w:t>Research of external events impact on safety of NPP and other nuclear objects is carried out similarly as research of internal initiating events impact on safety. After determining frequency of external event, the biggest possible damage, induced by the event on power plant or systems, is defined. The impact of certain events on power plant safety level is analysed separately or it is included as an initiating event into corresponding deterministic or probabilistic models of NPP.</w:t>
      </w:r>
    </w:p>
    <w:p w:rsidR="00FB3248" w:rsidRDefault="00FB3248" w:rsidP="00011CA9">
      <w:pPr>
        <w:rPr>
          <w:lang w:val="en-GB"/>
        </w:rPr>
      </w:pPr>
    </w:p>
    <w:p w:rsidR="00011CA9" w:rsidRDefault="00011CA9" w:rsidP="00011CA9">
      <w:pPr>
        <w:rPr>
          <w:lang w:val="en-GB"/>
        </w:rPr>
      </w:pPr>
      <w:r w:rsidRPr="007025C9">
        <w:rPr>
          <w:lang w:val="en-GB"/>
        </w:rPr>
        <w:t>General screening criteri</w:t>
      </w:r>
      <w:r>
        <w:rPr>
          <w:lang w:val="en-GB"/>
        </w:rPr>
        <w:t>a</w:t>
      </w:r>
    </w:p>
    <w:p w:rsidR="00FB3248" w:rsidRPr="00FB3248" w:rsidRDefault="00FB3248" w:rsidP="00FB3248">
      <w:pPr>
        <w:rPr>
          <w:lang w:val="en-GB"/>
        </w:rPr>
      </w:pPr>
      <w:r w:rsidRPr="00FB3248">
        <w:rPr>
          <w:lang w:val="en-GB"/>
        </w:rPr>
        <w:t>In order to distinguish the external events, the impact of which on safety is the most significant, event selection criteria, defined in P</w:t>
      </w:r>
      <w:r>
        <w:rPr>
          <w:lang w:val="en-GB"/>
        </w:rPr>
        <w:t xml:space="preserve">SA performance procedures (based on </w:t>
      </w:r>
      <w:r w:rsidRPr="00FB3248">
        <w:rPr>
          <w:lang w:val="en-GB"/>
        </w:rPr>
        <w:t>NUREG/CR-2300</w:t>
      </w:r>
      <w:r w:rsidR="005511FE">
        <w:rPr>
          <w:lang w:val="en-GB"/>
        </w:rPr>
        <w:t xml:space="preserve"> </w:t>
      </w:r>
      <w:r w:rsidR="005511FE">
        <w:rPr>
          <w:lang w:val="en-GB"/>
        </w:rPr>
        <w:fldChar w:fldCharType="begin"/>
      </w:r>
      <w:r w:rsidR="005511FE">
        <w:rPr>
          <w:lang w:val="en-GB"/>
        </w:rPr>
        <w:instrText xml:space="preserve"> REF _Ref467064389 \w \h </w:instrText>
      </w:r>
      <w:r w:rsidR="005511FE">
        <w:rPr>
          <w:lang w:val="en-GB"/>
        </w:rPr>
      </w:r>
      <w:r w:rsidR="005511FE">
        <w:rPr>
          <w:lang w:val="en-GB"/>
        </w:rPr>
        <w:fldChar w:fldCharType="separate"/>
      </w:r>
      <w:r w:rsidR="00E62976">
        <w:rPr>
          <w:lang w:val="en-GB"/>
        </w:rPr>
        <w:t>[106]</w:t>
      </w:r>
      <w:r w:rsidR="005511FE">
        <w:rPr>
          <w:lang w:val="en-GB"/>
        </w:rPr>
        <w:fldChar w:fldCharType="end"/>
      </w:r>
      <w:r>
        <w:rPr>
          <w:lang w:val="en-GB"/>
        </w:rPr>
        <w:t>)</w:t>
      </w:r>
      <w:r w:rsidRPr="00FB3248">
        <w:rPr>
          <w:lang w:val="en-GB"/>
        </w:rPr>
        <w:t>, are used. External events are not included into further analysis if they do not meet any of the following criteria:</w:t>
      </w:r>
    </w:p>
    <w:p w:rsidR="00FB3248" w:rsidRPr="004D2279" w:rsidRDefault="00FB3248" w:rsidP="004D2279">
      <w:pPr>
        <w:ind w:left="709"/>
        <w:rPr>
          <w:lang w:val="en-GB"/>
        </w:rPr>
      </w:pPr>
      <w:r w:rsidRPr="004D2279">
        <w:rPr>
          <w:lang w:val="en-GB"/>
        </w:rPr>
        <w:t>Criterion 1. Events, which are determined during design of power plant and included into analysis of design accidents or are analogous to mentioned events, but less hazardous;</w:t>
      </w:r>
    </w:p>
    <w:p w:rsidR="00FB3248" w:rsidRPr="004D2279" w:rsidRDefault="00FB3248" w:rsidP="004D2279">
      <w:pPr>
        <w:ind w:left="709"/>
        <w:rPr>
          <w:lang w:val="en-GB"/>
        </w:rPr>
      </w:pPr>
      <w:r w:rsidRPr="004D2279">
        <w:rPr>
          <w:lang w:val="en-GB"/>
        </w:rPr>
        <w:t>Criterion 2. Event frequency is significantly smaller in comparison to frequency of other events which have similar outcomes or its outcomes are less hazardous than that of mentioned events;</w:t>
      </w:r>
    </w:p>
    <w:p w:rsidR="00FB3248" w:rsidRPr="004D2279" w:rsidRDefault="00FB3248" w:rsidP="004D2279">
      <w:pPr>
        <w:ind w:left="709"/>
        <w:rPr>
          <w:lang w:val="en-GB"/>
        </w:rPr>
      </w:pPr>
      <w:r w:rsidRPr="004D2279">
        <w:rPr>
          <w:lang w:val="en-GB"/>
        </w:rPr>
        <w:t>Criterion 3. Event cannot occur fairly close to NPP to influence its safety;</w:t>
      </w:r>
    </w:p>
    <w:p w:rsidR="00FB3248" w:rsidRPr="004D2279" w:rsidRDefault="00FB3248" w:rsidP="004D2279">
      <w:pPr>
        <w:ind w:left="709"/>
        <w:rPr>
          <w:lang w:val="en-GB"/>
        </w:rPr>
      </w:pPr>
      <w:r w:rsidRPr="004D2279">
        <w:rPr>
          <w:lang w:val="en-GB"/>
        </w:rPr>
        <w:t>Criterion 4. Event is included into the definition of other event;</w:t>
      </w:r>
    </w:p>
    <w:p w:rsidR="00FB3248" w:rsidRPr="004D2279" w:rsidRDefault="00FB3248" w:rsidP="004D2279">
      <w:pPr>
        <w:ind w:left="709"/>
        <w:rPr>
          <w:lang w:val="en-GB"/>
        </w:rPr>
      </w:pPr>
      <w:r w:rsidRPr="004D2279">
        <w:rPr>
          <w:lang w:val="en-GB"/>
        </w:rPr>
        <w:t>Criterion 5. The sequence of event development is very slow and there is enough time to eliminate a hazard source or to prepare necessary security actions.</w:t>
      </w:r>
    </w:p>
    <w:p w:rsidR="00FB3248" w:rsidRPr="004D2279" w:rsidRDefault="00FB3248" w:rsidP="00FB3248">
      <w:pPr>
        <w:rPr>
          <w:lang w:val="en-GB"/>
        </w:rPr>
      </w:pPr>
      <w:r w:rsidRPr="004D2279">
        <w:rPr>
          <w:lang w:val="en-GB"/>
        </w:rPr>
        <w:t>Application of criteria reduces probability that factors important for general risk may be omitted and enables to reduce the number of initiating events, which will not be used in detailed analysis on NPP safety.</w:t>
      </w:r>
    </w:p>
    <w:p w:rsidR="0045175D" w:rsidRDefault="0045175D" w:rsidP="00FB3248">
      <w:pPr>
        <w:rPr>
          <w:lang w:val="en-GB"/>
        </w:rPr>
      </w:pPr>
    </w:p>
    <w:p w:rsidR="0045175D" w:rsidRDefault="0045175D" w:rsidP="00FB3248">
      <w:pPr>
        <w:rPr>
          <w:lang w:val="en-GB"/>
        </w:rPr>
      </w:pPr>
      <w:r>
        <w:rPr>
          <w:lang w:val="en-GB"/>
        </w:rPr>
        <w:t>Criteria for combinations</w:t>
      </w:r>
    </w:p>
    <w:p w:rsidR="0045175D" w:rsidRPr="0045175D" w:rsidRDefault="0045175D" w:rsidP="0045175D">
      <w:pPr>
        <w:rPr>
          <w:lang w:val="en-GB"/>
        </w:rPr>
      </w:pPr>
      <w:r w:rsidRPr="0045175D">
        <w:rPr>
          <w:lang w:val="en-GB"/>
        </w:rPr>
        <w:t xml:space="preserve">The criteria for selection of events (hazards) combinations </w:t>
      </w:r>
      <w:r w:rsidR="00BD18DE">
        <w:rPr>
          <w:lang w:val="en-GB"/>
        </w:rPr>
        <w:t>were</w:t>
      </w:r>
      <w:r w:rsidR="00BD18DE" w:rsidRPr="0045175D">
        <w:rPr>
          <w:lang w:val="en-GB"/>
        </w:rPr>
        <w:t xml:space="preserve"> </w:t>
      </w:r>
      <w:r w:rsidRPr="0045175D">
        <w:rPr>
          <w:lang w:val="en-GB"/>
        </w:rPr>
        <w:t>related to the consideration of these conditions:</w:t>
      </w:r>
    </w:p>
    <w:p w:rsidR="0045175D" w:rsidRPr="0045175D" w:rsidRDefault="0045175D" w:rsidP="0045175D">
      <w:pPr>
        <w:rPr>
          <w:lang w:val="en-GB"/>
        </w:rPr>
      </w:pPr>
      <w:r w:rsidRPr="0045175D">
        <w:rPr>
          <w:lang w:val="en-GB"/>
        </w:rPr>
        <w:t>1.</w:t>
      </w:r>
      <w:r w:rsidRPr="0045175D">
        <w:rPr>
          <w:lang w:val="en-GB"/>
        </w:rPr>
        <w:tab/>
        <w:t xml:space="preserve"> More general definition of events.</w:t>
      </w:r>
    </w:p>
    <w:p w:rsidR="0045175D" w:rsidRPr="0045175D" w:rsidRDefault="0045175D" w:rsidP="0045175D">
      <w:pPr>
        <w:rPr>
          <w:lang w:val="en-GB"/>
        </w:rPr>
      </w:pPr>
      <w:r w:rsidRPr="0045175D">
        <w:rPr>
          <w:lang w:val="en-GB"/>
        </w:rPr>
        <w:t>Several external events are included in a more general definition of event.</w:t>
      </w:r>
    </w:p>
    <w:p w:rsidR="0045175D" w:rsidRPr="0045175D" w:rsidRDefault="0045175D" w:rsidP="0045175D">
      <w:pPr>
        <w:rPr>
          <w:lang w:val="en-GB"/>
        </w:rPr>
      </w:pPr>
      <w:r w:rsidRPr="0045175D">
        <w:rPr>
          <w:lang w:val="en-GB"/>
        </w:rPr>
        <w:t>2.</w:t>
      </w:r>
      <w:r w:rsidRPr="0045175D">
        <w:rPr>
          <w:lang w:val="en-GB"/>
        </w:rPr>
        <w:tab/>
        <w:t>Events interdependence.</w:t>
      </w:r>
    </w:p>
    <w:p w:rsidR="0045175D" w:rsidRPr="0045175D" w:rsidRDefault="0045175D" w:rsidP="0045175D">
      <w:pPr>
        <w:rPr>
          <w:lang w:val="en-GB"/>
        </w:rPr>
      </w:pPr>
      <w:r w:rsidRPr="0045175D">
        <w:rPr>
          <w:lang w:val="en-GB"/>
        </w:rPr>
        <w:t>Base for the definition of important external events (their combinations) is whether they are dependent or not.</w:t>
      </w:r>
    </w:p>
    <w:p w:rsidR="0045175D" w:rsidRPr="0045175D" w:rsidRDefault="0045175D" w:rsidP="0045175D">
      <w:pPr>
        <w:rPr>
          <w:lang w:val="en-GB"/>
        </w:rPr>
      </w:pPr>
      <w:r w:rsidRPr="0045175D">
        <w:rPr>
          <w:lang w:val="en-GB"/>
        </w:rPr>
        <w:t>3.</w:t>
      </w:r>
      <w:r w:rsidRPr="0045175D">
        <w:rPr>
          <w:lang w:val="en-GB"/>
        </w:rPr>
        <w:tab/>
        <w:t>Different safety functions of NPP are affected.</w:t>
      </w:r>
    </w:p>
    <w:p w:rsidR="0045175D" w:rsidRPr="0045175D" w:rsidRDefault="0045175D" w:rsidP="0045175D">
      <w:pPr>
        <w:rPr>
          <w:lang w:val="en-GB"/>
        </w:rPr>
      </w:pPr>
      <w:r w:rsidRPr="0045175D">
        <w:rPr>
          <w:lang w:val="en-GB"/>
        </w:rPr>
        <w:t xml:space="preserve">If condition 2 is satisfied, then other condition is considered: whether different NPP safety functions are affected. If events in combination affect the same function, the condition </w:t>
      </w:r>
      <w:r w:rsidR="004621A4" w:rsidRPr="0045175D">
        <w:rPr>
          <w:lang w:val="en-GB"/>
        </w:rPr>
        <w:t xml:space="preserve">4 </w:t>
      </w:r>
      <w:r w:rsidRPr="0045175D">
        <w:rPr>
          <w:lang w:val="en-GB"/>
        </w:rPr>
        <w:t>has to be applied.</w:t>
      </w:r>
    </w:p>
    <w:p w:rsidR="0045175D" w:rsidRPr="0045175D" w:rsidRDefault="0045175D" w:rsidP="0045175D">
      <w:pPr>
        <w:rPr>
          <w:lang w:val="en-GB"/>
        </w:rPr>
      </w:pPr>
      <w:r w:rsidRPr="0045175D">
        <w:rPr>
          <w:lang w:val="en-GB"/>
        </w:rPr>
        <w:t>4.</w:t>
      </w:r>
      <w:r w:rsidRPr="0045175D">
        <w:rPr>
          <w:lang w:val="en-GB"/>
        </w:rPr>
        <w:tab/>
        <w:t>The degree of impact on NPP safety functions.</w:t>
      </w:r>
    </w:p>
    <w:p w:rsidR="0045175D" w:rsidRPr="0045175D" w:rsidRDefault="0045175D" w:rsidP="0045175D">
      <w:pPr>
        <w:rPr>
          <w:lang w:val="en-GB"/>
        </w:rPr>
      </w:pPr>
      <w:r w:rsidRPr="0045175D">
        <w:rPr>
          <w:lang w:val="en-GB"/>
        </w:rPr>
        <w:t>If two dependent external events affect the same safety function, these events still might make an important combination. The effect in combination may be more severe than effect of separate events.</w:t>
      </w:r>
    </w:p>
    <w:p w:rsidR="0045175D" w:rsidRPr="0045175D" w:rsidRDefault="0045175D" w:rsidP="0045175D">
      <w:pPr>
        <w:rPr>
          <w:lang w:val="en-GB"/>
        </w:rPr>
      </w:pPr>
      <w:r w:rsidRPr="0045175D">
        <w:rPr>
          <w:lang w:val="en-GB"/>
        </w:rPr>
        <w:t>5.</w:t>
      </w:r>
      <w:r w:rsidRPr="0045175D">
        <w:rPr>
          <w:lang w:val="en-GB"/>
        </w:rPr>
        <w:tab/>
        <w:t>Individual external events criteria.</w:t>
      </w:r>
    </w:p>
    <w:p w:rsidR="0045175D" w:rsidRDefault="0045175D" w:rsidP="0045175D">
      <w:pPr>
        <w:rPr>
          <w:lang w:val="en-GB"/>
        </w:rPr>
      </w:pPr>
      <w:r w:rsidRPr="0045175D">
        <w:rPr>
          <w:lang w:val="en-GB"/>
        </w:rPr>
        <w:t>If a combination is judged to be important even after the application of all the above rules, then individual external events criteria has to be applied for the combination as well.</w:t>
      </w:r>
    </w:p>
    <w:p w:rsidR="0078177B" w:rsidRDefault="0078177B" w:rsidP="0045175D">
      <w:pPr>
        <w:rPr>
          <w:lang w:val="en-GB"/>
        </w:rPr>
      </w:pPr>
    </w:p>
    <w:p w:rsidR="0045175D" w:rsidRPr="00281A20" w:rsidRDefault="0045175D" w:rsidP="0078177B">
      <w:pPr>
        <w:rPr>
          <w:lang w:val="en-GB"/>
        </w:rPr>
      </w:pPr>
      <w:r w:rsidRPr="00E57E9B">
        <w:rPr>
          <w:lang w:val="en-GB"/>
        </w:rPr>
        <w:t xml:space="preserve">For the considered combinations of independent events (hazards), one could obtain probabilities of those combinations. </w:t>
      </w:r>
      <w:r w:rsidR="0078177B" w:rsidRPr="00E57E9B">
        <w:rPr>
          <w:lang w:val="en-GB"/>
        </w:rPr>
        <w:t>If events in combination are independent</w:t>
      </w:r>
      <w:r w:rsidR="009C6022" w:rsidRPr="00E57E9B">
        <w:rPr>
          <w:lang w:val="en-GB"/>
        </w:rPr>
        <w:t>,</w:t>
      </w:r>
      <w:r w:rsidR="0078177B" w:rsidRPr="00E57E9B">
        <w:rPr>
          <w:lang w:val="en-GB"/>
        </w:rPr>
        <w:t xml:space="preserve"> then probability that they will occur at the same time is equal to the product of each event probabilities. </w:t>
      </w:r>
      <w:r w:rsidRPr="00E57E9B">
        <w:rPr>
          <w:lang w:val="en-GB"/>
        </w:rPr>
        <w:t xml:space="preserve">Larger number of independent events in combination and more severe consequences of events with small frequencies lead to the smaller combination annual frequency (becomes </w:t>
      </w:r>
      <w:r w:rsidRPr="00281A20">
        <w:rPr>
          <w:lang w:val="en-GB"/>
        </w:rPr>
        <w:t>closer and closer to the incomparable values, which due to errors may be considered as equal to zero). Annual frequency of combination of dependent or partially dependent events is higher than what one would obtain if independence is assumed.</w:t>
      </w:r>
    </w:p>
    <w:p w:rsidR="0045175D" w:rsidRPr="00281A20" w:rsidRDefault="0078177B" w:rsidP="0045175D">
      <w:pPr>
        <w:spacing w:before="120"/>
        <w:rPr>
          <w:lang w:val="en-GB"/>
        </w:rPr>
      </w:pPr>
      <w:r w:rsidRPr="00281A20">
        <w:rPr>
          <w:lang w:val="en-GB"/>
        </w:rPr>
        <w:t xml:space="preserve">As mentioned above in Lithuania the IAEA methodology and international best practice is mainly used. </w:t>
      </w:r>
      <w:r w:rsidR="0045175D" w:rsidRPr="00281A20">
        <w:rPr>
          <w:lang w:val="en-GB"/>
        </w:rPr>
        <w:t>According to the IAEA, combinations of hazards may be excluded from the analysis, if they satisfy the following conditions:</w:t>
      </w:r>
    </w:p>
    <w:p w:rsidR="0045175D" w:rsidRPr="00281A20" w:rsidRDefault="0045175D" w:rsidP="00E62976">
      <w:pPr>
        <w:numPr>
          <w:ilvl w:val="0"/>
          <w:numId w:val="92"/>
        </w:numPr>
        <w:spacing w:before="120" w:line="360" w:lineRule="auto"/>
        <w:ind w:left="924" w:hanging="357"/>
        <w:rPr>
          <w:lang w:val="en-GB"/>
        </w:rPr>
      </w:pPr>
      <w:r w:rsidRPr="00281A20">
        <w:rPr>
          <w:lang w:val="en-GB"/>
        </w:rPr>
        <w:t>Hazards combination is not physically possible.</w:t>
      </w:r>
    </w:p>
    <w:p w:rsidR="0045175D" w:rsidRPr="00281A20" w:rsidRDefault="0045175D" w:rsidP="00E62976">
      <w:pPr>
        <w:numPr>
          <w:ilvl w:val="0"/>
          <w:numId w:val="92"/>
        </w:numPr>
        <w:spacing w:line="360" w:lineRule="auto"/>
        <w:rPr>
          <w:lang w:val="en-GB"/>
        </w:rPr>
      </w:pPr>
      <w:r w:rsidRPr="00281A20">
        <w:rPr>
          <w:lang w:val="en-GB"/>
        </w:rPr>
        <w:t>Hazards in combination does not have any different joint effect on NPP;</w:t>
      </w:r>
    </w:p>
    <w:p w:rsidR="0045175D" w:rsidRPr="00281A20" w:rsidRDefault="0045175D" w:rsidP="00E62976">
      <w:pPr>
        <w:numPr>
          <w:ilvl w:val="0"/>
          <w:numId w:val="92"/>
        </w:numPr>
        <w:spacing w:line="360" w:lineRule="auto"/>
        <w:rPr>
          <w:lang w:val="en-GB"/>
        </w:rPr>
      </w:pPr>
      <w:r w:rsidRPr="00281A20">
        <w:rPr>
          <w:lang w:val="en-GB"/>
        </w:rPr>
        <w:t>The annual frequency of hazards combination is equal to or less that a threshold.</w:t>
      </w:r>
    </w:p>
    <w:p w:rsidR="0045175D" w:rsidRPr="00FB3248" w:rsidRDefault="0045175D" w:rsidP="0045175D">
      <w:pPr>
        <w:rPr>
          <w:lang w:val="en-GB"/>
        </w:rPr>
      </w:pPr>
      <w:r w:rsidRPr="0045175D">
        <w:rPr>
          <w:lang w:val="en-GB"/>
        </w:rPr>
        <w:t>It is important to note that</w:t>
      </w:r>
      <w:r w:rsidR="0078177B">
        <w:rPr>
          <w:lang w:val="en-GB"/>
        </w:rPr>
        <w:t>,</w:t>
      </w:r>
      <w:r w:rsidRPr="0045175D">
        <w:rPr>
          <w:lang w:val="en-GB"/>
        </w:rPr>
        <w:t xml:space="preserve"> </w:t>
      </w:r>
      <w:r w:rsidR="0078177B">
        <w:rPr>
          <w:lang w:val="en-GB"/>
        </w:rPr>
        <w:t xml:space="preserve">as mentioned in various literature, </w:t>
      </w:r>
      <w:r w:rsidRPr="0045175D">
        <w:rPr>
          <w:lang w:val="en-GB"/>
        </w:rPr>
        <w:t>some individual hazards (phenomena) already are combinations of hazards, so that analysis of such compound already cover analysis of individual hazards. Once combinations of such external hazards are made and when dependencies and influences are established, one can apply previously defined criteria in order to select unimportant combinations of external hazards. Such analysis may depend on site and NPP desi</w:t>
      </w:r>
      <w:r>
        <w:rPr>
          <w:lang w:val="en-GB"/>
        </w:rPr>
        <w:t>gn characteris</w:t>
      </w:r>
      <w:r w:rsidRPr="0045175D">
        <w:rPr>
          <w:lang w:val="en-GB"/>
        </w:rPr>
        <w:t>tics and is performed at the stage, when information necessary to assess the effect of combination is known.</w:t>
      </w:r>
    </w:p>
    <w:p w:rsidR="00737A59" w:rsidRPr="00E20701" w:rsidRDefault="00737A59" w:rsidP="00317481">
      <w:pPr>
        <w:pStyle w:val="Titre3"/>
        <w:rPr>
          <w:lang w:val="en-GB"/>
        </w:rPr>
      </w:pPr>
      <w:bookmarkStart w:id="424" w:name="_Toc450206656"/>
      <w:bookmarkStart w:id="425" w:name="_Toc450207690"/>
      <w:bookmarkStart w:id="426" w:name="_Toc450206657"/>
      <w:bookmarkStart w:id="427" w:name="_Toc450207691"/>
      <w:bookmarkStart w:id="428" w:name="_Toc473303561"/>
      <w:bookmarkEnd w:id="424"/>
      <w:bookmarkEnd w:id="425"/>
      <w:bookmarkEnd w:id="426"/>
      <w:bookmarkEnd w:id="427"/>
      <w:r w:rsidRPr="00E20701">
        <w:rPr>
          <w:lang w:val="en-GB"/>
        </w:rPr>
        <w:t>Romania</w:t>
      </w:r>
      <w:bookmarkEnd w:id="428"/>
    </w:p>
    <w:p w:rsidR="00653C2B" w:rsidRDefault="00653C2B" w:rsidP="00653C2B">
      <w:pPr>
        <w:rPr>
          <w:szCs w:val="18"/>
          <w:lang w:val="en-US"/>
        </w:rPr>
      </w:pPr>
      <w:r>
        <w:rPr>
          <w:szCs w:val="18"/>
          <w:lang w:val="en-US"/>
        </w:rPr>
        <w:t xml:space="preserve">The general requirements for development and applications of PSA study level 1 and level 2 are established by the PSA study norm, issued by National Commission for Nuclear Activities Control (CNCAN) in 2006. </w:t>
      </w:r>
    </w:p>
    <w:p w:rsidR="00653C2B" w:rsidRDefault="00653C2B" w:rsidP="00653C2B">
      <w:pPr>
        <w:rPr>
          <w:szCs w:val="18"/>
          <w:lang w:val="en-US"/>
        </w:rPr>
      </w:pPr>
      <w:r>
        <w:rPr>
          <w:szCs w:val="18"/>
          <w:lang w:val="en-US"/>
        </w:rPr>
        <w:t xml:space="preserve">Concerning PSA development, the following is stated </w:t>
      </w:r>
      <w:r w:rsidR="00352955">
        <w:rPr>
          <w:szCs w:val="18"/>
          <w:lang w:val="en-US"/>
        </w:rPr>
        <w:fldChar w:fldCharType="begin"/>
      </w:r>
      <w:r w:rsidR="00352955">
        <w:rPr>
          <w:szCs w:val="18"/>
          <w:lang w:val="en-US"/>
        </w:rPr>
        <w:instrText xml:space="preserve"> REF _Ref408822709 \w \h </w:instrText>
      </w:r>
      <w:r w:rsidR="00352955">
        <w:rPr>
          <w:szCs w:val="18"/>
          <w:lang w:val="en-US"/>
        </w:rPr>
      </w:r>
      <w:r w:rsidR="00352955">
        <w:rPr>
          <w:szCs w:val="18"/>
          <w:lang w:val="en-US"/>
        </w:rPr>
        <w:fldChar w:fldCharType="separate"/>
      </w:r>
      <w:r w:rsidR="00E62976">
        <w:rPr>
          <w:szCs w:val="18"/>
          <w:lang w:val="en-US"/>
        </w:rPr>
        <w:t>[46]</w:t>
      </w:r>
      <w:r w:rsidR="00352955">
        <w:rPr>
          <w:szCs w:val="18"/>
          <w:lang w:val="en-US"/>
        </w:rPr>
        <w:fldChar w:fldCharType="end"/>
      </w:r>
      <w:r>
        <w:rPr>
          <w:szCs w:val="18"/>
          <w:lang w:val="en-US"/>
        </w:rPr>
        <w:t>:</w:t>
      </w:r>
    </w:p>
    <w:p w:rsidR="00653C2B" w:rsidRDefault="00653C2B" w:rsidP="00E62976">
      <w:pPr>
        <w:numPr>
          <w:ilvl w:val="0"/>
          <w:numId w:val="38"/>
        </w:numPr>
        <w:rPr>
          <w:szCs w:val="18"/>
        </w:rPr>
      </w:pPr>
      <w:r>
        <w:rPr>
          <w:szCs w:val="18"/>
          <w:lang w:val="en-US"/>
        </w:rPr>
        <w:t xml:space="preserve">all initiating events relevant for the plant, including internal fires, internal flooding, seismic events and severe weather conditions shall be considered in the PSA. </w:t>
      </w:r>
      <w:r>
        <w:rPr>
          <w:szCs w:val="18"/>
        </w:rPr>
        <w:t>PSA</w:t>
      </w:r>
      <w:r w:rsidRPr="00352955">
        <w:rPr>
          <w:szCs w:val="18"/>
          <w:lang w:val="en-GB"/>
        </w:rPr>
        <w:t xml:space="preserve"> shall be developed </w:t>
      </w:r>
      <w:r>
        <w:rPr>
          <w:szCs w:val="18"/>
        </w:rPr>
        <w:t>for all plant operating modes</w:t>
      </w:r>
      <w:r w:rsidR="00352955">
        <w:rPr>
          <w:szCs w:val="18"/>
        </w:rPr>
        <w:t>;</w:t>
      </w:r>
    </w:p>
    <w:p w:rsidR="00653C2B" w:rsidRDefault="00653C2B" w:rsidP="00E62976">
      <w:pPr>
        <w:numPr>
          <w:ilvl w:val="0"/>
          <w:numId w:val="38"/>
        </w:numPr>
        <w:rPr>
          <w:szCs w:val="18"/>
          <w:lang w:val="en-US"/>
        </w:rPr>
      </w:pPr>
      <w:r>
        <w:rPr>
          <w:szCs w:val="18"/>
          <w:lang w:val="en-US"/>
        </w:rPr>
        <w:t>the initiating events can be grouped according to their consequences on performance of the safety functions. Initiating event grouping and the assumptions used for this purpose should be documented and justified;</w:t>
      </w:r>
    </w:p>
    <w:p w:rsidR="00653C2B" w:rsidRDefault="00653C2B" w:rsidP="00E62976">
      <w:pPr>
        <w:numPr>
          <w:ilvl w:val="0"/>
          <w:numId w:val="38"/>
        </w:numPr>
        <w:rPr>
          <w:szCs w:val="18"/>
          <w:lang w:val="en-US"/>
        </w:rPr>
      </w:pPr>
      <w:r>
        <w:rPr>
          <w:szCs w:val="18"/>
          <w:lang w:val="en-US"/>
        </w:rPr>
        <w:t>any exclusion of initiating events has to be justified, considering both the frequency of occurrence and their consequences.</w:t>
      </w:r>
    </w:p>
    <w:p w:rsidR="00653C2B" w:rsidRDefault="00653C2B" w:rsidP="00653C2B">
      <w:pPr>
        <w:rPr>
          <w:szCs w:val="18"/>
          <w:lang w:val="en-US"/>
        </w:rPr>
      </w:pPr>
    </w:p>
    <w:p w:rsidR="00653C2B" w:rsidRPr="001B08F4" w:rsidRDefault="00653C2B" w:rsidP="00653C2B">
      <w:pPr>
        <w:tabs>
          <w:tab w:val="left" w:pos="-720"/>
        </w:tabs>
        <w:suppressAutoHyphens/>
        <w:rPr>
          <w:spacing w:val="-3"/>
          <w:szCs w:val="18"/>
          <w:lang w:val="en-GB"/>
        </w:rPr>
      </w:pPr>
      <w:r>
        <w:rPr>
          <w:szCs w:val="18"/>
          <w:lang w:val="en-US"/>
        </w:rPr>
        <w:t xml:space="preserve">The design basis events shall include operational anticipated events, transients and accident situations, considering </w:t>
      </w:r>
      <w:r>
        <w:rPr>
          <w:spacing w:val="-3"/>
          <w:szCs w:val="18"/>
          <w:lang w:val="en-GB"/>
        </w:rPr>
        <w:t>all sources of radioactive releases (including content and form) from which accidental releases could be postulated.</w:t>
      </w:r>
    </w:p>
    <w:p w:rsidR="00653C2B" w:rsidRDefault="00653C2B" w:rsidP="00653C2B">
      <w:pPr>
        <w:rPr>
          <w:szCs w:val="18"/>
          <w:lang w:val="en-US"/>
        </w:rPr>
      </w:pPr>
      <w:r>
        <w:rPr>
          <w:szCs w:val="18"/>
          <w:lang w:val="en-US"/>
        </w:rPr>
        <w:t>Identification of postulated initiating events shall be made in a systematic way, based on the NPP’s conceptual design evaluation, operating procedures and site specific potential external influences. The list of selected events shall include all failures or credible malfunctions of components and systems, including those due to human errors, common cause initiating events and external events (both natural and human induced), which can affect the nuclear safety. The design basis events shall cover the following generic categories of events</w:t>
      </w:r>
      <w:r w:rsidR="00EE61C9">
        <w:rPr>
          <w:szCs w:val="18"/>
          <w:lang w:val="en-US"/>
        </w:rPr>
        <w:t xml:space="preserve"> </w:t>
      </w:r>
      <w:r w:rsidR="00352955">
        <w:rPr>
          <w:szCs w:val="18"/>
          <w:lang w:val="en-US"/>
        </w:rPr>
        <w:fldChar w:fldCharType="begin"/>
      </w:r>
      <w:r w:rsidR="00352955">
        <w:rPr>
          <w:szCs w:val="18"/>
          <w:lang w:val="en-US"/>
        </w:rPr>
        <w:instrText xml:space="preserve"> REF _Ref408823543 \w \h </w:instrText>
      </w:r>
      <w:r w:rsidR="00352955">
        <w:rPr>
          <w:szCs w:val="18"/>
          <w:lang w:val="en-US"/>
        </w:rPr>
      </w:r>
      <w:r w:rsidR="00352955">
        <w:rPr>
          <w:szCs w:val="18"/>
          <w:lang w:val="en-US"/>
        </w:rPr>
        <w:fldChar w:fldCharType="separate"/>
      </w:r>
      <w:r w:rsidR="00E62976">
        <w:rPr>
          <w:szCs w:val="18"/>
          <w:lang w:val="en-US"/>
        </w:rPr>
        <w:t>[47]</w:t>
      </w:r>
      <w:r w:rsidR="00352955">
        <w:rPr>
          <w:szCs w:val="18"/>
          <w:lang w:val="en-US"/>
        </w:rPr>
        <w:fldChar w:fldCharType="end"/>
      </w:r>
      <w:r>
        <w:rPr>
          <w:szCs w:val="18"/>
          <w:lang w:val="en-US"/>
        </w:rPr>
        <w:t xml:space="preserve">: </w:t>
      </w:r>
    </w:p>
    <w:p w:rsidR="00653C2B" w:rsidRDefault="00653C2B" w:rsidP="00E62976">
      <w:pPr>
        <w:numPr>
          <w:ilvl w:val="0"/>
          <w:numId w:val="39"/>
        </w:numPr>
        <w:rPr>
          <w:szCs w:val="18"/>
          <w:lang w:val="en-US"/>
        </w:rPr>
      </w:pPr>
      <w:r>
        <w:rPr>
          <w:szCs w:val="18"/>
          <w:lang w:val="en-US"/>
        </w:rPr>
        <w:t>initiating events together with all their consequences;</w:t>
      </w:r>
    </w:p>
    <w:p w:rsidR="00653C2B" w:rsidRDefault="00653C2B" w:rsidP="00E62976">
      <w:pPr>
        <w:numPr>
          <w:ilvl w:val="0"/>
          <w:numId w:val="39"/>
        </w:numPr>
        <w:rPr>
          <w:szCs w:val="18"/>
          <w:lang w:val="en-US"/>
        </w:rPr>
      </w:pPr>
      <w:r>
        <w:rPr>
          <w:szCs w:val="18"/>
          <w:lang w:val="en-US"/>
        </w:rPr>
        <w:t>credible combinations of process systems failures together with all their consequences;</w:t>
      </w:r>
    </w:p>
    <w:p w:rsidR="00653C2B" w:rsidRDefault="00653C2B" w:rsidP="00E62976">
      <w:pPr>
        <w:numPr>
          <w:ilvl w:val="0"/>
          <w:numId w:val="39"/>
        </w:numPr>
        <w:rPr>
          <w:szCs w:val="18"/>
          <w:lang w:val="en-US"/>
        </w:rPr>
      </w:pPr>
      <w:r>
        <w:rPr>
          <w:szCs w:val="18"/>
          <w:lang w:val="en-US"/>
        </w:rPr>
        <w:t>credible combinations of internal initiating events and external events together with all their consequences;</w:t>
      </w:r>
    </w:p>
    <w:p w:rsidR="00653C2B" w:rsidRDefault="00653C2B" w:rsidP="00E62976">
      <w:pPr>
        <w:numPr>
          <w:ilvl w:val="0"/>
          <w:numId w:val="39"/>
        </w:numPr>
        <w:rPr>
          <w:szCs w:val="18"/>
          <w:lang w:val="en-US"/>
        </w:rPr>
      </w:pPr>
      <w:r>
        <w:rPr>
          <w:szCs w:val="18"/>
          <w:lang w:val="en-US"/>
        </w:rPr>
        <w:t>credible combinations between events from the above categories and failures or unavailabilities of systems and equipment whose action can mitigate the consequences of these events.</w:t>
      </w:r>
    </w:p>
    <w:p w:rsidR="00653C2B" w:rsidRPr="008D75DB" w:rsidRDefault="00653C2B" w:rsidP="00653C2B">
      <w:pPr>
        <w:rPr>
          <w:szCs w:val="18"/>
          <w:lang w:val="en-US"/>
        </w:rPr>
      </w:pPr>
      <w:r>
        <w:rPr>
          <w:szCs w:val="18"/>
          <w:lang w:val="en-US"/>
        </w:rPr>
        <w:t xml:space="preserve">In defining the design basis events from accident category, those events (and their credible combinations) having the </w:t>
      </w:r>
      <w:r w:rsidRPr="008D75DB">
        <w:rPr>
          <w:szCs w:val="18"/>
          <w:lang w:val="en-US"/>
        </w:rPr>
        <w:t>most severe consequences on the fulfillment of the safety functions, respectively on each important parameter for fulfillment of safety functions, will be selected. The selection of design basis events shall be justified and supported by deterministic and probabilistic analyses. Any exclus</w:t>
      </w:r>
      <w:r w:rsidRPr="005262CB">
        <w:rPr>
          <w:szCs w:val="18"/>
          <w:lang w:val="en-US"/>
        </w:rPr>
        <w:t xml:space="preserve">ion from the design basis analysis for protective systems of some events or combinations of events having a frequency of occurrence greater than </w:t>
      </w:r>
      <w:r w:rsidR="00ED4B5B">
        <w:rPr>
          <w:szCs w:val="18"/>
          <w:lang w:val="en-US"/>
        </w:rPr>
        <w:br/>
      </w:r>
      <w:r w:rsidRPr="005262CB">
        <w:rPr>
          <w:szCs w:val="18"/>
          <w:lang w:val="en-US"/>
        </w:rPr>
        <w:t>1.E-07</w:t>
      </w:r>
      <w:r w:rsidRPr="005F1EF2">
        <w:rPr>
          <w:szCs w:val="18"/>
          <w:lang w:val="en-US"/>
        </w:rPr>
        <w:t>/</w:t>
      </w:r>
      <w:r w:rsidR="008D75DB" w:rsidRPr="008D75DB">
        <w:rPr>
          <w:szCs w:val="18"/>
          <w:lang w:val="en-US"/>
        </w:rPr>
        <w:t>a</w:t>
      </w:r>
      <w:r w:rsidRPr="008D75DB">
        <w:rPr>
          <w:szCs w:val="18"/>
          <w:lang w:val="en-US"/>
        </w:rPr>
        <w:t>, shall be justified.</w:t>
      </w:r>
    </w:p>
    <w:p w:rsidR="00653C2B" w:rsidRDefault="00653C2B" w:rsidP="00653C2B">
      <w:pPr>
        <w:pStyle w:val="Default"/>
        <w:spacing w:line="348" w:lineRule="atLeast"/>
        <w:jc w:val="both"/>
        <w:rPr>
          <w:rFonts w:ascii="Trebuchet MS" w:hAnsi="Trebuchet MS"/>
          <w:sz w:val="18"/>
          <w:szCs w:val="18"/>
        </w:rPr>
      </w:pPr>
      <w:r w:rsidRPr="005262CB">
        <w:rPr>
          <w:rFonts w:ascii="Trebuchet MS" w:hAnsi="Trebuchet MS"/>
          <w:sz w:val="18"/>
          <w:szCs w:val="18"/>
        </w:rPr>
        <w:t>Even if some external events</w:t>
      </w:r>
      <w:r>
        <w:rPr>
          <w:rFonts w:ascii="Trebuchet MS" w:hAnsi="Trebuchet MS"/>
          <w:sz w:val="18"/>
          <w:szCs w:val="18"/>
        </w:rPr>
        <w:t>, considered individually, could have been excluded, all their credible and relevant combinations should be considered in the nuclear safety analysis. Such combinations could include two or more external events, and combinations between external events and internal events (as for instance a LOCA event combined with a seism), or between external events and man-induced events. The succession of events and the combination of events having causal interdependencies, as the combinations of independent events, having individual high occurrence frequencies, should be considered.</w:t>
      </w:r>
    </w:p>
    <w:p w:rsidR="00653C2B" w:rsidRDefault="00653C2B" w:rsidP="00653C2B">
      <w:pPr>
        <w:rPr>
          <w:szCs w:val="18"/>
          <w:lang w:val="en-US"/>
        </w:rPr>
      </w:pPr>
      <w:r>
        <w:rPr>
          <w:szCs w:val="18"/>
          <w:lang w:val="en-US"/>
        </w:rPr>
        <w:t xml:space="preserve">A design basis external event could be an individual events or a combinations of independent external events or </w:t>
      </w:r>
      <w:r w:rsidRPr="008D75DB">
        <w:rPr>
          <w:szCs w:val="18"/>
          <w:lang w:val="en-US"/>
        </w:rPr>
        <w:t>causally dependent. For each design basis external event, the target value for annual probability should be lower than 1.E-04/</w:t>
      </w:r>
      <w:r w:rsidR="008D75DB" w:rsidRPr="008D75DB">
        <w:rPr>
          <w:szCs w:val="18"/>
          <w:lang w:val="en-US"/>
        </w:rPr>
        <w:t>a</w:t>
      </w:r>
      <w:r w:rsidR="00B17A98" w:rsidRPr="008D75DB">
        <w:rPr>
          <w:szCs w:val="18"/>
          <w:lang w:val="en-US"/>
        </w:rPr>
        <w:t xml:space="preserve"> </w:t>
      </w:r>
      <w:r w:rsidR="005D69A3" w:rsidRPr="008D75DB">
        <w:rPr>
          <w:szCs w:val="18"/>
          <w:lang w:val="en-US"/>
        </w:rPr>
        <w:fldChar w:fldCharType="begin"/>
      </w:r>
      <w:r w:rsidR="005D69A3" w:rsidRPr="008D75DB">
        <w:rPr>
          <w:szCs w:val="18"/>
          <w:lang w:val="en-US"/>
        </w:rPr>
        <w:instrText xml:space="preserve"> REF _Ref427682783 \r \h </w:instrText>
      </w:r>
      <w:r w:rsidR="008D75DB">
        <w:rPr>
          <w:szCs w:val="18"/>
          <w:lang w:val="en-US"/>
        </w:rPr>
        <w:instrText xml:space="preserve"> \* MERGEFORMAT </w:instrText>
      </w:r>
      <w:r w:rsidR="005D69A3" w:rsidRPr="008D75DB">
        <w:rPr>
          <w:szCs w:val="18"/>
          <w:lang w:val="en-US"/>
        </w:rPr>
      </w:r>
      <w:r w:rsidR="005D69A3" w:rsidRPr="008D75DB">
        <w:rPr>
          <w:szCs w:val="18"/>
          <w:lang w:val="en-US"/>
        </w:rPr>
        <w:fldChar w:fldCharType="separate"/>
      </w:r>
      <w:r w:rsidR="00E62976">
        <w:rPr>
          <w:szCs w:val="18"/>
          <w:lang w:val="en-US"/>
        </w:rPr>
        <w:t>[89]</w:t>
      </w:r>
      <w:r w:rsidR="005D69A3" w:rsidRPr="008D75DB">
        <w:rPr>
          <w:szCs w:val="18"/>
          <w:lang w:val="en-US"/>
        </w:rPr>
        <w:fldChar w:fldCharType="end"/>
      </w:r>
      <w:r w:rsidRPr="008D75DB">
        <w:rPr>
          <w:szCs w:val="18"/>
          <w:lang w:val="en-US"/>
        </w:rPr>
        <w:t>. In order to derive a comprehensive list of events to be considered for Cernavoda Units 1 and 2, a review of CNSC regulatory documents and guides, IAEA guides, ANSI/ANS standards, and US NRC documents and IPEEE</w:t>
      </w:r>
      <w:r>
        <w:rPr>
          <w:szCs w:val="18"/>
          <w:lang w:val="en-US"/>
        </w:rPr>
        <w:t xml:space="preserve"> experience has been performed.</w:t>
      </w:r>
    </w:p>
    <w:p w:rsidR="00653C2B" w:rsidRDefault="00653C2B" w:rsidP="00653C2B">
      <w:pPr>
        <w:rPr>
          <w:szCs w:val="18"/>
          <w:lang w:val="en-US"/>
        </w:rPr>
      </w:pPr>
      <w:r>
        <w:rPr>
          <w:szCs w:val="18"/>
          <w:lang w:val="en-US"/>
        </w:rPr>
        <w:t>The internal events list includes failures of SSC, human errors and potential consequences of equipment failures.</w:t>
      </w:r>
    </w:p>
    <w:p w:rsidR="00653C2B" w:rsidRDefault="00653C2B" w:rsidP="00653C2B">
      <w:pPr>
        <w:rPr>
          <w:szCs w:val="18"/>
          <w:lang w:val="en-US"/>
        </w:rPr>
      </w:pPr>
      <w:r>
        <w:rPr>
          <w:szCs w:val="18"/>
          <w:lang w:val="en-US"/>
        </w:rPr>
        <w:t xml:space="preserve">The external events are divided into natural and human induced events. As natural external events, the following are specified: seismotectonic events; geological events (landslides, ground settlements and collapse); hydrologic events; meteorological events (extreme temperatures; rainfalls; extreme wind; tornados; lightning; drought); biological events; fires in vicinity of the site </w:t>
      </w:r>
      <w:r w:rsidR="00291CDE">
        <w:rPr>
          <w:szCs w:val="18"/>
          <w:lang w:val="en-US"/>
        </w:rPr>
        <w:fldChar w:fldCharType="begin"/>
      </w:r>
      <w:r w:rsidR="00291CDE">
        <w:rPr>
          <w:szCs w:val="18"/>
          <w:lang w:val="en-US"/>
        </w:rPr>
        <w:instrText xml:space="preserve"> REF _Ref408823543 \w \h </w:instrText>
      </w:r>
      <w:r w:rsidR="00291CDE">
        <w:rPr>
          <w:szCs w:val="18"/>
          <w:lang w:val="en-US"/>
        </w:rPr>
      </w:r>
      <w:r w:rsidR="00291CDE">
        <w:rPr>
          <w:szCs w:val="18"/>
          <w:lang w:val="en-US"/>
        </w:rPr>
        <w:fldChar w:fldCharType="separate"/>
      </w:r>
      <w:r w:rsidR="00E62976">
        <w:rPr>
          <w:szCs w:val="18"/>
          <w:lang w:val="en-US"/>
        </w:rPr>
        <w:t>[47]</w:t>
      </w:r>
      <w:r w:rsidR="00291CDE">
        <w:rPr>
          <w:szCs w:val="18"/>
          <w:lang w:val="en-US"/>
        </w:rPr>
        <w:fldChar w:fldCharType="end"/>
      </w:r>
      <w:r>
        <w:rPr>
          <w:szCs w:val="18"/>
          <w:lang w:val="en-US"/>
        </w:rPr>
        <w:t xml:space="preserve">, </w:t>
      </w:r>
      <w:r w:rsidR="005D69A3">
        <w:rPr>
          <w:szCs w:val="18"/>
          <w:lang w:val="en-US"/>
        </w:rPr>
        <w:fldChar w:fldCharType="begin"/>
      </w:r>
      <w:r w:rsidR="005D69A3">
        <w:rPr>
          <w:szCs w:val="18"/>
          <w:lang w:val="en-US"/>
        </w:rPr>
        <w:instrText xml:space="preserve"> REF _Ref427682783 \r \h </w:instrText>
      </w:r>
      <w:r w:rsidR="005D69A3">
        <w:rPr>
          <w:szCs w:val="18"/>
          <w:lang w:val="en-US"/>
        </w:rPr>
      </w:r>
      <w:r w:rsidR="005D69A3">
        <w:rPr>
          <w:szCs w:val="18"/>
          <w:lang w:val="en-US"/>
        </w:rPr>
        <w:fldChar w:fldCharType="separate"/>
      </w:r>
      <w:r w:rsidR="00E62976">
        <w:rPr>
          <w:szCs w:val="18"/>
          <w:lang w:val="en-US"/>
        </w:rPr>
        <w:t>[89]</w:t>
      </w:r>
      <w:r w:rsidR="005D69A3">
        <w:rPr>
          <w:szCs w:val="18"/>
          <w:lang w:val="en-US"/>
        </w:rPr>
        <w:fldChar w:fldCharType="end"/>
      </w:r>
      <w:r>
        <w:rPr>
          <w:szCs w:val="18"/>
          <w:lang w:val="en-US"/>
        </w:rPr>
        <w:t>.</w:t>
      </w:r>
    </w:p>
    <w:p w:rsidR="00653C2B" w:rsidRDefault="00653C2B" w:rsidP="00653C2B">
      <w:pPr>
        <w:rPr>
          <w:szCs w:val="18"/>
          <w:lang w:val="en-US"/>
        </w:rPr>
      </w:pPr>
    </w:p>
    <w:p w:rsidR="00653C2B" w:rsidRDefault="00653C2B" w:rsidP="00653C2B">
      <w:pPr>
        <w:rPr>
          <w:szCs w:val="18"/>
          <w:lang w:val="en-US"/>
        </w:rPr>
      </w:pPr>
      <w:r>
        <w:rPr>
          <w:szCs w:val="18"/>
          <w:lang w:val="en-US"/>
        </w:rPr>
        <w:t xml:space="preserve">The human induced events include: aircraft crash; events due to activities in vicinity of the site (missiles, gases, fires, explosions); electromagnetic interference; fires on the site </w:t>
      </w:r>
      <w:r w:rsidR="00291CDE">
        <w:rPr>
          <w:szCs w:val="18"/>
          <w:lang w:val="en-US"/>
        </w:rPr>
        <w:fldChar w:fldCharType="begin"/>
      </w:r>
      <w:r w:rsidR="00291CDE">
        <w:rPr>
          <w:szCs w:val="18"/>
          <w:lang w:val="en-US"/>
        </w:rPr>
        <w:instrText xml:space="preserve"> REF _Ref408823543 \w \h </w:instrText>
      </w:r>
      <w:r w:rsidR="00291CDE">
        <w:rPr>
          <w:szCs w:val="18"/>
          <w:lang w:val="en-US"/>
        </w:rPr>
      </w:r>
      <w:r w:rsidR="00291CDE">
        <w:rPr>
          <w:szCs w:val="18"/>
          <w:lang w:val="en-US"/>
        </w:rPr>
        <w:fldChar w:fldCharType="separate"/>
      </w:r>
      <w:r w:rsidR="00E62976">
        <w:rPr>
          <w:szCs w:val="18"/>
          <w:lang w:val="en-US"/>
        </w:rPr>
        <w:t>[47]</w:t>
      </w:r>
      <w:r w:rsidR="00291CDE">
        <w:rPr>
          <w:szCs w:val="18"/>
          <w:lang w:val="en-US"/>
        </w:rPr>
        <w:fldChar w:fldCharType="end"/>
      </w:r>
      <w:r>
        <w:rPr>
          <w:szCs w:val="18"/>
          <w:lang w:val="en-US"/>
        </w:rPr>
        <w:t>.</w:t>
      </w:r>
    </w:p>
    <w:p w:rsidR="00653C2B" w:rsidRDefault="00653C2B" w:rsidP="00653C2B">
      <w:pPr>
        <w:tabs>
          <w:tab w:val="left" w:pos="-720"/>
        </w:tabs>
        <w:suppressAutoHyphens/>
        <w:rPr>
          <w:spacing w:val="-3"/>
          <w:szCs w:val="18"/>
          <w:lang w:val="en-US"/>
        </w:rPr>
      </w:pPr>
    </w:p>
    <w:p w:rsidR="00653C2B" w:rsidRDefault="00653C2B" w:rsidP="00653C2B">
      <w:pPr>
        <w:tabs>
          <w:tab w:val="left" w:pos="-720"/>
        </w:tabs>
        <w:suppressAutoHyphens/>
        <w:rPr>
          <w:spacing w:val="-3"/>
          <w:szCs w:val="18"/>
          <w:lang w:val="en-US"/>
        </w:rPr>
      </w:pPr>
      <w:r>
        <w:rPr>
          <w:spacing w:val="-3"/>
          <w:szCs w:val="18"/>
          <w:lang w:val="en-US"/>
        </w:rPr>
        <w:t xml:space="preserve">As quantitative safety objectives, the following acceptance criteria </w:t>
      </w:r>
      <w:r w:rsidR="00625421">
        <w:rPr>
          <w:spacing w:val="-3"/>
          <w:szCs w:val="18"/>
          <w:lang w:val="en-US"/>
        </w:rPr>
        <w:t xml:space="preserve">on the effective dose vs. frequency of the PSA Level 3 scenarios (event) </w:t>
      </w:r>
      <w:r>
        <w:rPr>
          <w:spacing w:val="-3"/>
          <w:szCs w:val="18"/>
          <w:lang w:val="en-US"/>
        </w:rPr>
        <w:t xml:space="preserve">are used </w:t>
      </w:r>
      <w:r w:rsidR="009E5FDC">
        <w:rPr>
          <w:szCs w:val="18"/>
          <w:lang w:val="en-US"/>
        </w:rPr>
        <w:fldChar w:fldCharType="begin"/>
      </w:r>
      <w:r w:rsidR="009E5FDC">
        <w:rPr>
          <w:szCs w:val="18"/>
          <w:lang w:val="en-US"/>
        </w:rPr>
        <w:instrText xml:space="preserve"> REF _Ref408823543 \w \h </w:instrText>
      </w:r>
      <w:r w:rsidR="009E5FDC">
        <w:rPr>
          <w:szCs w:val="18"/>
          <w:lang w:val="en-US"/>
        </w:rPr>
      </w:r>
      <w:r w:rsidR="009E5FDC">
        <w:rPr>
          <w:szCs w:val="18"/>
          <w:lang w:val="en-US"/>
        </w:rPr>
        <w:fldChar w:fldCharType="separate"/>
      </w:r>
      <w:r w:rsidR="00E62976">
        <w:rPr>
          <w:szCs w:val="18"/>
          <w:lang w:val="en-US"/>
        </w:rPr>
        <w:t>[47]</w:t>
      </w:r>
      <w:r w:rsidR="009E5FDC">
        <w:rPr>
          <w:szCs w:val="18"/>
          <w:lang w:val="en-US"/>
        </w:rPr>
        <w:fldChar w:fldCharType="end"/>
      </w:r>
      <w:r w:rsidR="00625421">
        <w:rPr>
          <w:szCs w:val="18"/>
          <w:lang w:val="en-US"/>
        </w:rPr>
        <w:t>. The calculation of effective dose assumes the most exposed person who is situated outside the exclusion zone of the plant and impacts are integrated over 30 days after initial accident release and over all exposure pathways</w:t>
      </w:r>
      <w:r>
        <w:rPr>
          <w:spacing w:val="-3"/>
          <w:szCs w:val="18"/>
          <w:lang w:val="en-US"/>
        </w:rPr>
        <w:t>:</w:t>
      </w:r>
    </w:p>
    <w:p w:rsidR="00653C2B" w:rsidRDefault="00653C2B" w:rsidP="00ED4B5B">
      <w:pPr>
        <w:pageBreakBefore/>
        <w:tabs>
          <w:tab w:val="left" w:pos="-720"/>
        </w:tabs>
        <w:suppressAutoHyphens/>
        <w:rPr>
          <w:spacing w:val="-3"/>
          <w:szCs w:val="18"/>
          <w:lang w:val="en-US"/>
        </w:rPr>
      </w:pPr>
      <w:r>
        <w:rPr>
          <w:spacing w:val="-3"/>
          <w:szCs w:val="18"/>
          <w:lang w:val="en-US"/>
        </w:rPr>
        <w:tab/>
      </w:r>
    </w:p>
    <w:tbl>
      <w:tblPr>
        <w:tblW w:w="0" w:type="auto"/>
        <w:jc w:val="center"/>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3402"/>
        <w:gridCol w:w="3191"/>
      </w:tblGrid>
      <w:tr w:rsidR="00653C2B" w:rsidRPr="00304D8A" w:rsidTr="00ED4B5B">
        <w:trPr>
          <w:jc w:val="center"/>
        </w:trPr>
        <w:tc>
          <w:tcPr>
            <w:tcW w:w="1492" w:type="dxa"/>
            <w:tcBorders>
              <w:top w:val="single" w:sz="4" w:space="0" w:color="auto"/>
              <w:left w:val="single" w:sz="4" w:space="0" w:color="auto"/>
              <w:bottom w:val="single" w:sz="4" w:space="0" w:color="auto"/>
              <w:right w:val="single" w:sz="4" w:space="0" w:color="auto"/>
            </w:tcBorders>
            <w:hideMark/>
          </w:tcPr>
          <w:p w:rsidR="00653C2B" w:rsidRDefault="00653C2B">
            <w:pPr>
              <w:tabs>
                <w:tab w:val="left" w:pos="-720"/>
              </w:tabs>
              <w:suppressAutoHyphens/>
              <w:rPr>
                <w:b/>
                <w:spacing w:val="-3"/>
                <w:szCs w:val="18"/>
                <w:lang w:val="en-GB"/>
              </w:rPr>
            </w:pPr>
            <w:r>
              <w:rPr>
                <w:b/>
                <w:spacing w:val="-3"/>
                <w:szCs w:val="18"/>
                <w:lang w:val="en-GB"/>
              </w:rPr>
              <w:t>Event Group</w:t>
            </w:r>
          </w:p>
        </w:tc>
        <w:tc>
          <w:tcPr>
            <w:tcW w:w="3402" w:type="dxa"/>
            <w:tcBorders>
              <w:top w:val="single" w:sz="4" w:space="0" w:color="auto"/>
              <w:left w:val="single" w:sz="4" w:space="0" w:color="auto"/>
              <w:bottom w:val="single" w:sz="4" w:space="0" w:color="auto"/>
              <w:right w:val="single" w:sz="4" w:space="0" w:color="auto"/>
            </w:tcBorders>
            <w:hideMark/>
          </w:tcPr>
          <w:p w:rsidR="00653C2B" w:rsidRDefault="00653C2B">
            <w:pPr>
              <w:tabs>
                <w:tab w:val="left" w:pos="-720"/>
              </w:tabs>
              <w:suppressAutoHyphens/>
              <w:spacing w:line="240" w:lineRule="auto"/>
              <w:rPr>
                <w:b/>
                <w:spacing w:val="-3"/>
                <w:szCs w:val="18"/>
                <w:lang w:val="en-GB"/>
              </w:rPr>
            </w:pPr>
            <w:r>
              <w:rPr>
                <w:b/>
                <w:spacing w:val="-3"/>
                <w:szCs w:val="18"/>
                <w:lang w:val="en-GB"/>
              </w:rPr>
              <w:t>Effective dose (</w:t>
            </w:r>
            <w:r>
              <w:rPr>
                <w:spacing w:val="-3"/>
                <w:szCs w:val="18"/>
                <w:lang w:val="en-GB"/>
              </w:rPr>
              <w:t xml:space="preserve">for </w:t>
            </w:r>
            <w:r>
              <w:rPr>
                <w:lang w:val="en-US"/>
              </w:rPr>
              <w:t>the most exposed person, situated outside the exclusion zone, at 30 days after emission, calculated for all paths of exposure)</w:t>
            </w:r>
          </w:p>
        </w:tc>
        <w:tc>
          <w:tcPr>
            <w:tcW w:w="3191" w:type="dxa"/>
            <w:tcBorders>
              <w:top w:val="single" w:sz="4" w:space="0" w:color="auto"/>
              <w:left w:val="single" w:sz="4" w:space="0" w:color="auto"/>
              <w:bottom w:val="single" w:sz="4" w:space="0" w:color="auto"/>
              <w:right w:val="single" w:sz="4" w:space="0" w:color="auto"/>
            </w:tcBorders>
            <w:hideMark/>
          </w:tcPr>
          <w:p w:rsidR="00653C2B" w:rsidRDefault="00653C2B">
            <w:pPr>
              <w:tabs>
                <w:tab w:val="left" w:pos="-720"/>
              </w:tabs>
              <w:suppressAutoHyphens/>
              <w:rPr>
                <w:b/>
                <w:spacing w:val="-3"/>
                <w:szCs w:val="18"/>
                <w:lang w:val="en-GB"/>
              </w:rPr>
            </w:pPr>
            <w:r>
              <w:rPr>
                <w:b/>
                <w:spacing w:val="-3"/>
                <w:szCs w:val="18"/>
                <w:lang w:val="en-GB"/>
              </w:rPr>
              <w:t>Total annual frequency for events that could induce these effects</w:t>
            </w:r>
          </w:p>
        </w:tc>
      </w:tr>
      <w:tr w:rsidR="00653C2B" w:rsidTr="00ED4B5B">
        <w:trPr>
          <w:jc w:val="center"/>
        </w:trPr>
        <w:tc>
          <w:tcPr>
            <w:tcW w:w="1492" w:type="dxa"/>
            <w:tcBorders>
              <w:top w:val="single" w:sz="4" w:space="0" w:color="auto"/>
              <w:left w:val="single" w:sz="4" w:space="0" w:color="auto"/>
              <w:bottom w:val="single" w:sz="4" w:space="0" w:color="auto"/>
              <w:right w:val="single" w:sz="4" w:space="0" w:color="auto"/>
            </w:tcBorders>
            <w:hideMark/>
          </w:tcPr>
          <w:p w:rsidR="00653C2B" w:rsidRDefault="00653C2B">
            <w:pPr>
              <w:tabs>
                <w:tab w:val="left" w:pos="-720"/>
              </w:tabs>
              <w:suppressAutoHyphens/>
              <w:rPr>
                <w:spacing w:val="-3"/>
                <w:szCs w:val="18"/>
                <w:lang w:val="en-GB"/>
              </w:rPr>
            </w:pPr>
            <w:r>
              <w:rPr>
                <w:spacing w:val="-3"/>
                <w:szCs w:val="18"/>
                <w:lang w:val="en-GB"/>
              </w:rPr>
              <w:t>Group no. 1</w:t>
            </w:r>
          </w:p>
        </w:tc>
        <w:tc>
          <w:tcPr>
            <w:tcW w:w="3402" w:type="dxa"/>
            <w:tcBorders>
              <w:top w:val="single" w:sz="4" w:space="0" w:color="auto"/>
              <w:left w:val="single" w:sz="4" w:space="0" w:color="auto"/>
              <w:bottom w:val="single" w:sz="4" w:space="0" w:color="auto"/>
              <w:right w:val="single" w:sz="4" w:space="0" w:color="auto"/>
            </w:tcBorders>
            <w:hideMark/>
          </w:tcPr>
          <w:p w:rsidR="00653C2B" w:rsidRDefault="00653C2B">
            <w:pPr>
              <w:tabs>
                <w:tab w:val="left" w:pos="-720"/>
              </w:tabs>
              <w:suppressAutoHyphens/>
              <w:rPr>
                <w:spacing w:val="-3"/>
                <w:szCs w:val="18"/>
                <w:lang w:val="en-GB"/>
              </w:rPr>
            </w:pPr>
            <w:r>
              <w:rPr>
                <w:spacing w:val="-3"/>
                <w:szCs w:val="18"/>
                <w:lang w:val="en-GB"/>
              </w:rPr>
              <w:t>0.1-1 mSv</w:t>
            </w:r>
          </w:p>
        </w:tc>
        <w:tc>
          <w:tcPr>
            <w:tcW w:w="3191" w:type="dxa"/>
            <w:tcBorders>
              <w:top w:val="single" w:sz="4" w:space="0" w:color="auto"/>
              <w:left w:val="single" w:sz="4" w:space="0" w:color="auto"/>
              <w:bottom w:val="single" w:sz="4" w:space="0" w:color="auto"/>
              <w:right w:val="single" w:sz="4" w:space="0" w:color="auto"/>
            </w:tcBorders>
            <w:hideMark/>
          </w:tcPr>
          <w:p w:rsidR="00653C2B" w:rsidRDefault="00653C2B">
            <w:pPr>
              <w:tabs>
                <w:tab w:val="left" w:pos="-720"/>
              </w:tabs>
              <w:suppressAutoHyphens/>
              <w:rPr>
                <w:spacing w:val="-3"/>
                <w:szCs w:val="18"/>
                <w:lang w:val="en-GB"/>
              </w:rPr>
            </w:pPr>
            <w:r>
              <w:rPr>
                <w:spacing w:val="-3"/>
                <w:szCs w:val="18"/>
                <w:lang w:val="en-GB"/>
              </w:rPr>
              <w:t>&lt;1.E-2</w:t>
            </w:r>
          </w:p>
        </w:tc>
      </w:tr>
      <w:tr w:rsidR="00653C2B" w:rsidTr="00ED4B5B">
        <w:trPr>
          <w:jc w:val="center"/>
        </w:trPr>
        <w:tc>
          <w:tcPr>
            <w:tcW w:w="1492" w:type="dxa"/>
            <w:tcBorders>
              <w:top w:val="single" w:sz="4" w:space="0" w:color="auto"/>
              <w:left w:val="single" w:sz="4" w:space="0" w:color="auto"/>
              <w:bottom w:val="single" w:sz="4" w:space="0" w:color="auto"/>
              <w:right w:val="single" w:sz="4" w:space="0" w:color="auto"/>
            </w:tcBorders>
            <w:hideMark/>
          </w:tcPr>
          <w:p w:rsidR="00653C2B" w:rsidRDefault="00653C2B">
            <w:pPr>
              <w:tabs>
                <w:tab w:val="left" w:pos="-720"/>
              </w:tabs>
              <w:suppressAutoHyphens/>
              <w:rPr>
                <w:spacing w:val="-3"/>
                <w:szCs w:val="18"/>
                <w:lang w:val="en-GB"/>
              </w:rPr>
            </w:pPr>
            <w:r>
              <w:rPr>
                <w:spacing w:val="-3"/>
                <w:szCs w:val="18"/>
                <w:lang w:val="en-GB"/>
              </w:rPr>
              <w:t>Group no. 2</w:t>
            </w:r>
          </w:p>
        </w:tc>
        <w:tc>
          <w:tcPr>
            <w:tcW w:w="3402" w:type="dxa"/>
            <w:tcBorders>
              <w:top w:val="single" w:sz="4" w:space="0" w:color="auto"/>
              <w:left w:val="single" w:sz="4" w:space="0" w:color="auto"/>
              <w:bottom w:val="single" w:sz="4" w:space="0" w:color="auto"/>
              <w:right w:val="single" w:sz="4" w:space="0" w:color="auto"/>
            </w:tcBorders>
            <w:hideMark/>
          </w:tcPr>
          <w:p w:rsidR="00653C2B" w:rsidRDefault="00653C2B">
            <w:pPr>
              <w:tabs>
                <w:tab w:val="left" w:pos="-720"/>
              </w:tabs>
              <w:suppressAutoHyphens/>
              <w:rPr>
                <w:spacing w:val="-3"/>
                <w:szCs w:val="18"/>
                <w:lang w:val="en-GB"/>
              </w:rPr>
            </w:pPr>
            <w:r>
              <w:rPr>
                <w:spacing w:val="-3"/>
                <w:szCs w:val="18"/>
                <w:lang w:val="en-GB"/>
              </w:rPr>
              <w:t>1-10 mSv</w:t>
            </w:r>
          </w:p>
        </w:tc>
        <w:tc>
          <w:tcPr>
            <w:tcW w:w="3191" w:type="dxa"/>
            <w:tcBorders>
              <w:top w:val="single" w:sz="4" w:space="0" w:color="auto"/>
              <w:left w:val="single" w:sz="4" w:space="0" w:color="auto"/>
              <w:bottom w:val="single" w:sz="4" w:space="0" w:color="auto"/>
              <w:right w:val="single" w:sz="4" w:space="0" w:color="auto"/>
            </w:tcBorders>
            <w:hideMark/>
          </w:tcPr>
          <w:p w:rsidR="00653C2B" w:rsidRDefault="00653C2B">
            <w:pPr>
              <w:tabs>
                <w:tab w:val="left" w:pos="-720"/>
              </w:tabs>
              <w:suppressAutoHyphens/>
              <w:rPr>
                <w:spacing w:val="-3"/>
                <w:szCs w:val="18"/>
                <w:lang w:val="en-GB"/>
              </w:rPr>
            </w:pPr>
            <w:r>
              <w:rPr>
                <w:spacing w:val="-3"/>
                <w:szCs w:val="18"/>
                <w:lang w:val="en-GB"/>
              </w:rPr>
              <w:t>&lt;1.E-3</w:t>
            </w:r>
          </w:p>
        </w:tc>
      </w:tr>
      <w:tr w:rsidR="00653C2B" w:rsidTr="00ED4B5B">
        <w:trPr>
          <w:jc w:val="center"/>
        </w:trPr>
        <w:tc>
          <w:tcPr>
            <w:tcW w:w="1492" w:type="dxa"/>
            <w:tcBorders>
              <w:top w:val="single" w:sz="4" w:space="0" w:color="auto"/>
              <w:left w:val="single" w:sz="4" w:space="0" w:color="auto"/>
              <w:bottom w:val="single" w:sz="4" w:space="0" w:color="auto"/>
              <w:right w:val="single" w:sz="4" w:space="0" w:color="auto"/>
            </w:tcBorders>
            <w:hideMark/>
          </w:tcPr>
          <w:p w:rsidR="00653C2B" w:rsidRDefault="00653C2B">
            <w:pPr>
              <w:tabs>
                <w:tab w:val="left" w:pos="-720"/>
              </w:tabs>
              <w:suppressAutoHyphens/>
              <w:rPr>
                <w:spacing w:val="-3"/>
                <w:szCs w:val="18"/>
                <w:lang w:val="en-GB"/>
              </w:rPr>
            </w:pPr>
            <w:r>
              <w:rPr>
                <w:spacing w:val="-3"/>
                <w:szCs w:val="18"/>
                <w:lang w:val="en-GB"/>
              </w:rPr>
              <w:t>Group no. 3</w:t>
            </w:r>
          </w:p>
        </w:tc>
        <w:tc>
          <w:tcPr>
            <w:tcW w:w="3402" w:type="dxa"/>
            <w:tcBorders>
              <w:top w:val="single" w:sz="4" w:space="0" w:color="auto"/>
              <w:left w:val="single" w:sz="4" w:space="0" w:color="auto"/>
              <w:bottom w:val="single" w:sz="4" w:space="0" w:color="auto"/>
              <w:right w:val="single" w:sz="4" w:space="0" w:color="auto"/>
            </w:tcBorders>
            <w:hideMark/>
          </w:tcPr>
          <w:p w:rsidR="00653C2B" w:rsidRDefault="00653C2B">
            <w:pPr>
              <w:tabs>
                <w:tab w:val="left" w:pos="-720"/>
              </w:tabs>
              <w:suppressAutoHyphens/>
              <w:rPr>
                <w:spacing w:val="-3"/>
                <w:szCs w:val="18"/>
                <w:lang w:val="en-GB"/>
              </w:rPr>
            </w:pPr>
            <w:r>
              <w:rPr>
                <w:spacing w:val="-3"/>
                <w:szCs w:val="18"/>
                <w:lang w:val="en-GB"/>
              </w:rPr>
              <w:t>10-100 mSv</w:t>
            </w:r>
          </w:p>
        </w:tc>
        <w:tc>
          <w:tcPr>
            <w:tcW w:w="3191" w:type="dxa"/>
            <w:tcBorders>
              <w:top w:val="single" w:sz="4" w:space="0" w:color="auto"/>
              <w:left w:val="single" w:sz="4" w:space="0" w:color="auto"/>
              <w:bottom w:val="single" w:sz="4" w:space="0" w:color="auto"/>
              <w:right w:val="single" w:sz="4" w:space="0" w:color="auto"/>
            </w:tcBorders>
            <w:hideMark/>
          </w:tcPr>
          <w:p w:rsidR="00653C2B" w:rsidRDefault="00653C2B">
            <w:pPr>
              <w:tabs>
                <w:tab w:val="left" w:pos="-720"/>
              </w:tabs>
              <w:suppressAutoHyphens/>
              <w:rPr>
                <w:spacing w:val="-3"/>
                <w:szCs w:val="18"/>
                <w:lang w:val="en-GB"/>
              </w:rPr>
            </w:pPr>
            <w:r>
              <w:rPr>
                <w:spacing w:val="-3"/>
                <w:szCs w:val="18"/>
                <w:lang w:val="en-GB"/>
              </w:rPr>
              <w:t>&lt;1.E-4</w:t>
            </w:r>
          </w:p>
        </w:tc>
      </w:tr>
      <w:tr w:rsidR="00653C2B" w:rsidTr="00ED4B5B">
        <w:trPr>
          <w:jc w:val="center"/>
        </w:trPr>
        <w:tc>
          <w:tcPr>
            <w:tcW w:w="1492" w:type="dxa"/>
            <w:tcBorders>
              <w:top w:val="single" w:sz="4" w:space="0" w:color="auto"/>
              <w:left w:val="single" w:sz="4" w:space="0" w:color="auto"/>
              <w:bottom w:val="single" w:sz="4" w:space="0" w:color="auto"/>
              <w:right w:val="single" w:sz="4" w:space="0" w:color="auto"/>
            </w:tcBorders>
            <w:hideMark/>
          </w:tcPr>
          <w:p w:rsidR="00653C2B" w:rsidRDefault="00653C2B">
            <w:pPr>
              <w:tabs>
                <w:tab w:val="left" w:pos="-720"/>
              </w:tabs>
              <w:suppressAutoHyphens/>
              <w:rPr>
                <w:spacing w:val="-3"/>
                <w:szCs w:val="18"/>
                <w:lang w:val="en-GB"/>
              </w:rPr>
            </w:pPr>
            <w:r>
              <w:rPr>
                <w:spacing w:val="-3"/>
                <w:szCs w:val="18"/>
                <w:lang w:val="en-GB"/>
              </w:rPr>
              <w:t>Group no. 4</w:t>
            </w:r>
          </w:p>
        </w:tc>
        <w:tc>
          <w:tcPr>
            <w:tcW w:w="3402" w:type="dxa"/>
            <w:tcBorders>
              <w:top w:val="single" w:sz="4" w:space="0" w:color="auto"/>
              <w:left w:val="single" w:sz="4" w:space="0" w:color="auto"/>
              <w:bottom w:val="single" w:sz="4" w:space="0" w:color="auto"/>
              <w:right w:val="single" w:sz="4" w:space="0" w:color="auto"/>
            </w:tcBorders>
            <w:hideMark/>
          </w:tcPr>
          <w:p w:rsidR="00653C2B" w:rsidRDefault="00653C2B">
            <w:pPr>
              <w:tabs>
                <w:tab w:val="left" w:pos="-720"/>
              </w:tabs>
              <w:suppressAutoHyphens/>
              <w:rPr>
                <w:spacing w:val="-3"/>
                <w:szCs w:val="18"/>
                <w:lang w:val="en-GB"/>
              </w:rPr>
            </w:pPr>
            <w:r>
              <w:rPr>
                <w:spacing w:val="-3"/>
                <w:szCs w:val="18"/>
                <w:lang w:val="en-GB"/>
              </w:rPr>
              <w:t>100-250 mSv</w:t>
            </w:r>
          </w:p>
        </w:tc>
        <w:tc>
          <w:tcPr>
            <w:tcW w:w="3191" w:type="dxa"/>
            <w:tcBorders>
              <w:top w:val="single" w:sz="4" w:space="0" w:color="auto"/>
              <w:left w:val="single" w:sz="4" w:space="0" w:color="auto"/>
              <w:bottom w:val="single" w:sz="4" w:space="0" w:color="auto"/>
              <w:right w:val="single" w:sz="4" w:space="0" w:color="auto"/>
            </w:tcBorders>
            <w:hideMark/>
          </w:tcPr>
          <w:p w:rsidR="00653C2B" w:rsidRDefault="00653C2B">
            <w:pPr>
              <w:tabs>
                <w:tab w:val="left" w:pos="-720"/>
              </w:tabs>
              <w:suppressAutoHyphens/>
              <w:rPr>
                <w:spacing w:val="-3"/>
                <w:szCs w:val="18"/>
                <w:lang w:val="en-GB"/>
              </w:rPr>
            </w:pPr>
            <w:r>
              <w:rPr>
                <w:spacing w:val="-3"/>
                <w:szCs w:val="18"/>
                <w:lang w:val="en-GB"/>
              </w:rPr>
              <w:t>&lt;1.E-5</w:t>
            </w:r>
          </w:p>
        </w:tc>
      </w:tr>
      <w:tr w:rsidR="00653C2B" w:rsidTr="00ED4B5B">
        <w:trPr>
          <w:jc w:val="center"/>
        </w:trPr>
        <w:tc>
          <w:tcPr>
            <w:tcW w:w="1492" w:type="dxa"/>
            <w:tcBorders>
              <w:top w:val="single" w:sz="4" w:space="0" w:color="auto"/>
              <w:left w:val="single" w:sz="4" w:space="0" w:color="auto"/>
              <w:bottom w:val="single" w:sz="4" w:space="0" w:color="auto"/>
              <w:right w:val="single" w:sz="4" w:space="0" w:color="auto"/>
            </w:tcBorders>
            <w:hideMark/>
          </w:tcPr>
          <w:p w:rsidR="00653C2B" w:rsidRDefault="00653C2B">
            <w:pPr>
              <w:tabs>
                <w:tab w:val="left" w:pos="-720"/>
              </w:tabs>
              <w:suppressAutoHyphens/>
              <w:rPr>
                <w:spacing w:val="-3"/>
                <w:szCs w:val="18"/>
                <w:lang w:val="en-GB"/>
              </w:rPr>
            </w:pPr>
            <w:r>
              <w:rPr>
                <w:spacing w:val="-3"/>
                <w:szCs w:val="18"/>
                <w:lang w:val="en-GB"/>
              </w:rPr>
              <w:t>Group no. 5</w:t>
            </w:r>
          </w:p>
        </w:tc>
        <w:tc>
          <w:tcPr>
            <w:tcW w:w="3402" w:type="dxa"/>
            <w:tcBorders>
              <w:top w:val="single" w:sz="4" w:space="0" w:color="auto"/>
              <w:left w:val="single" w:sz="4" w:space="0" w:color="auto"/>
              <w:bottom w:val="single" w:sz="4" w:space="0" w:color="auto"/>
              <w:right w:val="single" w:sz="4" w:space="0" w:color="auto"/>
            </w:tcBorders>
            <w:hideMark/>
          </w:tcPr>
          <w:p w:rsidR="00653C2B" w:rsidRDefault="00653C2B">
            <w:pPr>
              <w:tabs>
                <w:tab w:val="left" w:pos="-720"/>
              </w:tabs>
              <w:suppressAutoHyphens/>
              <w:rPr>
                <w:spacing w:val="-3"/>
                <w:szCs w:val="18"/>
                <w:lang w:val="en-GB"/>
              </w:rPr>
            </w:pPr>
            <w:r>
              <w:rPr>
                <w:spacing w:val="-3"/>
                <w:szCs w:val="18"/>
                <w:lang w:val="en-GB"/>
              </w:rPr>
              <w:t>250-500 mSv</w:t>
            </w:r>
          </w:p>
        </w:tc>
        <w:tc>
          <w:tcPr>
            <w:tcW w:w="3191" w:type="dxa"/>
            <w:tcBorders>
              <w:top w:val="single" w:sz="4" w:space="0" w:color="auto"/>
              <w:left w:val="single" w:sz="4" w:space="0" w:color="auto"/>
              <w:bottom w:val="single" w:sz="4" w:space="0" w:color="auto"/>
              <w:right w:val="single" w:sz="4" w:space="0" w:color="auto"/>
            </w:tcBorders>
            <w:hideMark/>
          </w:tcPr>
          <w:p w:rsidR="00653C2B" w:rsidRDefault="00653C2B">
            <w:pPr>
              <w:tabs>
                <w:tab w:val="left" w:pos="-720"/>
              </w:tabs>
              <w:suppressAutoHyphens/>
              <w:rPr>
                <w:spacing w:val="-3"/>
                <w:szCs w:val="18"/>
                <w:lang w:val="en-GB"/>
              </w:rPr>
            </w:pPr>
            <w:r>
              <w:rPr>
                <w:spacing w:val="-3"/>
                <w:szCs w:val="18"/>
                <w:lang w:val="en-GB"/>
              </w:rPr>
              <w:t>&lt;1.E-6</w:t>
            </w:r>
          </w:p>
        </w:tc>
      </w:tr>
      <w:tr w:rsidR="00653C2B" w:rsidTr="00ED4B5B">
        <w:trPr>
          <w:jc w:val="center"/>
        </w:trPr>
        <w:tc>
          <w:tcPr>
            <w:tcW w:w="1492" w:type="dxa"/>
            <w:tcBorders>
              <w:top w:val="single" w:sz="4" w:space="0" w:color="auto"/>
              <w:left w:val="single" w:sz="4" w:space="0" w:color="auto"/>
              <w:bottom w:val="single" w:sz="4" w:space="0" w:color="auto"/>
              <w:right w:val="single" w:sz="4" w:space="0" w:color="auto"/>
            </w:tcBorders>
            <w:hideMark/>
          </w:tcPr>
          <w:p w:rsidR="00653C2B" w:rsidRDefault="00653C2B">
            <w:pPr>
              <w:tabs>
                <w:tab w:val="left" w:pos="-720"/>
              </w:tabs>
              <w:suppressAutoHyphens/>
              <w:rPr>
                <w:spacing w:val="-3"/>
                <w:szCs w:val="18"/>
                <w:lang w:val="en-GB"/>
              </w:rPr>
            </w:pPr>
            <w:r>
              <w:rPr>
                <w:spacing w:val="-3"/>
                <w:szCs w:val="18"/>
                <w:lang w:val="en-GB"/>
              </w:rPr>
              <w:t>Group no. 6</w:t>
            </w:r>
          </w:p>
        </w:tc>
        <w:tc>
          <w:tcPr>
            <w:tcW w:w="3402" w:type="dxa"/>
            <w:tcBorders>
              <w:top w:val="single" w:sz="4" w:space="0" w:color="auto"/>
              <w:left w:val="single" w:sz="4" w:space="0" w:color="auto"/>
              <w:bottom w:val="single" w:sz="4" w:space="0" w:color="auto"/>
              <w:right w:val="single" w:sz="4" w:space="0" w:color="auto"/>
            </w:tcBorders>
            <w:hideMark/>
          </w:tcPr>
          <w:p w:rsidR="00653C2B" w:rsidRDefault="00653C2B">
            <w:pPr>
              <w:tabs>
                <w:tab w:val="left" w:pos="-720"/>
              </w:tabs>
              <w:suppressAutoHyphens/>
              <w:rPr>
                <w:spacing w:val="-3"/>
                <w:szCs w:val="18"/>
                <w:lang w:val="en-GB"/>
              </w:rPr>
            </w:pPr>
            <w:r>
              <w:rPr>
                <w:spacing w:val="-3"/>
                <w:szCs w:val="18"/>
                <w:lang w:val="en-GB"/>
              </w:rPr>
              <w:t>&gt;500 mSv</w:t>
            </w:r>
          </w:p>
        </w:tc>
        <w:tc>
          <w:tcPr>
            <w:tcW w:w="3191" w:type="dxa"/>
            <w:tcBorders>
              <w:top w:val="single" w:sz="4" w:space="0" w:color="auto"/>
              <w:left w:val="single" w:sz="4" w:space="0" w:color="auto"/>
              <w:bottom w:val="single" w:sz="4" w:space="0" w:color="auto"/>
              <w:right w:val="single" w:sz="4" w:space="0" w:color="auto"/>
            </w:tcBorders>
            <w:hideMark/>
          </w:tcPr>
          <w:p w:rsidR="00653C2B" w:rsidRDefault="00653C2B">
            <w:pPr>
              <w:tabs>
                <w:tab w:val="left" w:pos="-720"/>
              </w:tabs>
              <w:suppressAutoHyphens/>
              <w:rPr>
                <w:spacing w:val="-3"/>
                <w:szCs w:val="18"/>
                <w:lang w:val="en-GB"/>
              </w:rPr>
            </w:pPr>
            <w:r>
              <w:rPr>
                <w:spacing w:val="-3"/>
                <w:szCs w:val="18"/>
                <w:lang w:val="en-GB"/>
              </w:rPr>
              <w:t>&lt;1.E-7</w:t>
            </w:r>
          </w:p>
        </w:tc>
      </w:tr>
    </w:tbl>
    <w:p w:rsidR="00653C2B" w:rsidRPr="001B08F4" w:rsidRDefault="00653C2B" w:rsidP="00653C2B">
      <w:pPr>
        <w:tabs>
          <w:tab w:val="left" w:pos="-720"/>
        </w:tabs>
        <w:suppressAutoHyphens/>
        <w:rPr>
          <w:spacing w:val="-3"/>
          <w:szCs w:val="18"/>
          <w:lang w:val="en-GB"/>
        </w:rPr>
      </w:pPr>
    </w:p>
    <w:p w:rsidR="00653C2B" w:rsidRDefault="00653C2B" w:rsidP="00653C2B">
      <w:pPr>
        <w:pStyle w:val="Default"/>
        <w:spacing w:line="348" w:lineRule="atLeast"/>
        <w:jc w:val="both"/>
        <w:rPr>
          <w:rFonts w:ascii="Trebuchet MS" w:hAnsi="Trebuchet MS"/>
          <w:sz w:val="18"/>
          <w:szCs w:val="18"/>
        </w:rPr>
      </w:pPr>
      <w:r>
        <w:rPr>
          <w:rFonts w:ascii="Trebuchet MS" w:hAnsi="Trebuchet MS"/>
          <w:sz w:val="18"/>
          <w:szCs w:val="18"/>
        </w:rPr>
        <w:t>The preliminary screening criteria, established in accordance with internationally recognized standards, consist of the following (any one of these criteria is considered to be sufficient to screen out the event)</w:t>
      </w:r>
      <w:r w:rsidR="00B17A98">
        <w:rPr>
          <w:rFonts w:ascii="Trebuchet MS" w:hAnsi="Trebuchet MS"/>
          <w:sz w:val="18"/>
          <w:szCs w:val="18"/>
        </w:rPr>
        <w:t xml:space="preserve"> </w:t>
      </w:r>
      <w:r w:rsidR="00B01031">
        <w:rPr>
          <w:rFonts w:ascii="Trebuchet MS" w:hAnsi="Trebuchet MS"/>
          <w:sz w:val="18"/>
          <w:szCs w:val="18"/>
        </w:rPr>
        <w:fldChar w:fldCharType="begin"/>
      </w:r>
      <w:r w:rsidR="00B01031">
        <w:rPr>
          <w:rFonts w:ascii="Trebuchet MS" w:hAnsi="Trebuchet MS"/>
          <w:sz w:val="18"/>
          <w:szCs w:val="18"/>
        </w:rPr>
        <w:instrText xml:space="preserve"> REF _Ref408823862 \w \h </w:instrText>
      </w:r>
      <w:r w:rsidR="00B01031">
        <w:rPr>
          <w:rFonts w:ascii="Trebuchet MS" w:hAnsi="Trebuchet MS"/>
          <w:sz w:val="18"/>
          <w:szCs w:val="18"/>
        </w:rPr>
      </w:r>
      <w:r w:rsidR="00B01031">
        <w:rPr>
          <w:rFonts w:ascii="Trebuchet MS" w:hAnsi="Trebuchet MS"/>
          <w:sz w:val="18"/>
          <w:szCs w:val="18"/>
        </w:rPr>
        <w:fldChar w:fldCharType="separate"/>
      </w:r>
      <w:r w:rsidR="00E62976">
        <w:rPr>
          <w:rFonts w:ascii="Trebuchet MS" w:hAnsi="Trebuchet MS"/>
          <w:sz w:val="18"/>
          <w:szCs w:val="18"/>
        </w:rPr>
        <w:t>[48]</w:t>
      </w:r>
      <w:r w:rsidR="00B01031">
        <w:rPr>
          <w:rFonts w:ascii="Trebuchet MS" w:hAnsi="Trebuchet MS"/>
          <w:sz w:val="18"/>
          <w:szCs w:val="18"/>
        </w:rPr>
        <w:fldChar w:fldCharType="end"/>
      </w:r>
      <w:r>
        <w:rPr>
          <w:rFonts w:ascii="Trebuchet MS" w:hAnsi="Trebuchet MS"/>
          <w:sz w:val="18"/>
          <w:szCs w:val="18"/>
        </w:rPr>
        <w:t xml:space="preserve">: </w:t>
      </w:r>
    </w:p>
    <w:p w:rsidR="00653C2B" w:rsidRDefault="00653C2B" w:rsidP="00E62976">
      <w:pPr>
        <w:pStyle w:val="Default"/>
        <w:numPr>
          <w:ilvl w:val="0"/>
          <w:numId w:val="40"/>
        </w:numPr>
        <w:spacing w:line="348" w:lineRule="atLeast"/>
        <w:jc w:val="both"/>
        <w:rPr>
          <w:rFonts w:ascii="Trebuchet MS" w:hAnsi="Trebuchet MS"/>
          <w:sz w:val="18"/>
          <w:szCs w:val="18"/>
        </w:rPr>
      </w:pPr>
      <w:r>
        <w:rPr>
          <w:rFonts w:ascii="Trebuchet MS" w:hAnsi="Trebuchet MS"/>
          <w:sz w:val="18"/>
          <w:szCs w:val="18"/>
        </w:rPr>
        <w:t>The event is of equal or lesser damage potential than the events for which the plant has been designed. This requires an evaluation of plant design basis in order to estimate the resistance of plant structures and systems to a particular external event.</w:t>
      </w:r>
    </w:p>
    <w:p w:rsidR="00653C2B" w:rsidRDefault="00653C2B" w:rsidP="00E62976">
      <w:pPr>
        <w:pStyle w:val="Default"/>
        <w:numPr>
          <w:ilvl w:val="0"/>
          <w:numId w:val="40"/>
        </w:numPr>
        <w:spacing w:line="348" w:lineRule="atLeast"/>
        <w:jc w:val="both"/>
        <w:rPr>
          <w:rFonts w:ascii="Trebuchet MS" w:hAnsi="Trebuchet MS"/>
          <w:sz w:val="18"/>
          <w:szCs w:val="18"/>
        </w:rPr>
      </w:pPr>
      <w:r>
        <w:rPr>
          <w:rFonts w:ascii="Trebuchet MS" w:hAnsi="Trebuchet MS"/>
          <w:sz w:val="18"/>
          <w:szCs w:val="18"/>
        </w:rPr>
        <w:t>The event has a significantly lower mean frequency of occurrence than another event taking into account the uncertainties in the estimates of both frequencies. The event in question could not result in worse consequences than the consequences from the other event.</w:t>
      </w:r>
    </w:p>
    <w:p w:rsidR="00653C2B" w:rsidRDefault="00653C2B" w:rsidP="00E62976">
      <w:pPr>
        <w:pStyle w:val="Default"/>
        <w:numPr>
          <w:ilvl w:val="0"/>
          <w:numId w:val="40"/>
        </w:numPr>
        <w:spacing w:line="348" w:lineRule="atLeast"/>
        <w:jc w:val="both"/>
        <w:rPr>
          <w:rFonts w:ascii="Trebuchet MS" w:hAnsi="Trebuchet MS"/>
          <w:sz w:val="18"/>
          <w:szCs w:val="18"/>
        </w:rPr>
      </w:pPr>
      <w:r>
        <w:rPr>
          <w:rFonts w:ascii="Trebuchet MS" w:hAnsi="Trebuchet MS"/>
          <w:sz w:val="18"/>
          <w:szCs w:val="18"/>
        </w:rPr>
        <w:t>The event cannot occur close enough to the plant to affect it. This criterion must be applied taking into account the range of magnitudes of the events considered.</w:t>
      </w:r>
    </w:p>
    <w:p w:rsidR="00653C2B" w:rsidRDefault="00653C2B" w:rsidP="00E62976">
      <w:pPr>
        <w:pStyle w:val="Default"/>
        <w:numPr>
          <w:ilvl w:val="0"/>
          <w:numId w:val="40"/>
        </w:numPr>
        <w:spacing w:line="348" w:lineRule="atLeast"/>
        <w:jc w:val="both"/>
        <w:rPr>
          <w:rFonts w:ascii="Trebuchet MS" w:hAnsi="Trebuchet MS"/>
          <w:sz w:val="18"/>
          <w:szCs w:val="18"/>
        </w:rPr>
      </w:pPr>
      <w:r>
        <w:rPr>
          <w:rFonts w:ascii="Trebuchet MS" w:hAnsi="Trebuchet MS"/>
          <w:sz w:val="18"/>
          <w:szCs w:val="18"/>
        </w:rPr>
        <w:t>The event is included in the definition of another event.</w:t>
      </w:r>
    </w:p>
    <w:p w:rsidR="00653C2B" w:rsidRDefault="00653C2B" w:rsidP="00E62976">
      <w:pPr>
        <w:pStyle w:val="Default"/>
        <w:numPr>
          <w:ilvl w:val="0"/>
          <w:numId w:val="40"/>
        </w:numPr>
        <w:spacing w:line="348" w:lineRule="atLeast"/>
        <w:jc w:val="both"/>
        <w:rPr>
          <w:rFonts w:ascii="Trebuchet MS" w:hAnsi="Trebuchet MS"/>
          <w:sz w:val="18"/>
          <w:szCs w:val="18"/>
        </w:rPr>
      </w:pPr>
      <w:r>
        <w:rPr>
          <w:rFonts w:ascii="Trebuchet MS" w:hAnsi="Trebuchet MS"/>
          <w:sz w:val="18"/>
          <w:szCs w:val="18"/>
        </w:rPr>
        <w:t>The event is slow in developing and it can be demonstrated that there is sufficient time to eliminate the source of the threat or to provide an adequate response.</w:t>
      </w:r>
    </w:p>
    <w:p w:rsidR="00653C2B" w:rsidRDefault="00653C2B" w:rsidP="00653C2B">
      <w:pPr>
        <w:pStyle w:val="Default"/>
        <w:spacing w:line="348" w:lineRule="atLeast"/>
        <w:jc w:val="both"/>
        <w:rPr>
          <w:rFonts w:ascii="Trebuchet MS" w:hAnsi="Trebuchet MS"/>
          <w:sz w:val="18"/>
          <w:szCs w:val="18"/>
        </w:rPr>
      </w:pPr>
    </w:p>
    <w:p w:rsidR="00653C2B" w:rsidRDefault="00653C2B" w:rsidP="00653C2B">
      <w:pPr>
        <w:rPr>
          <w:szCs w:val="18"/>
          <w:lang w:val="en-US"/>
        </w:rPr>
      </w:pPr>
      <w:r>
        <w:rPr>
          <w:szCs w:val="18"/>
          <w:lang w:val="en-US"/>
        </w:rPr>
        <w:t>The initiating events can be grouped according to their effects on the safety functions affected by their occurrences. If more protective systems contribute to the recovery of the respective safety function, the initiating events can be grouped according to the expected response of the protective systems.</w:t>
      </w:r>
    </w:p>
    <w:p w:rsidR="00653C2B" w:rsidRDefault="00653C2B" w:rsidP="00653C2B">
      <w:pPr>
        <w:tabs>
          <w:tab w:val="left" w:pos="-720"/>
        </w:tabs>
        <w:suppressAutoHyphens/>
        <w:rPr>
          <w:spacing w:val="-3"/>
          <w:szCs w:val="18"/>
          <w:lang w:val="en-GB"/>
        </w:rPr>
      </w:pPr>
      <w:r>
        <w:rPr>
          <w:spacing w:val="-3"/>
          <w:szCs w:val="18"/>
          <w:lang w:val="en-GB"/>
        </w:rPr>
        <w:t>The initiating events have to be grouped in such a way that all events in the same group impose essentially the same success criteria on the front line systems as well as the same special conditions (challenges to the operator, to automatic plant responses, etc.) and thus can be modelled using the same event/fault tree analysis.</w:t>
      </w:r>
    </w:p>
    <w:p w:rsidR="00653C2B" w:rsidRDefault="00653C2B" w:rsidP="00653C2B">
      <w:pPr>
        <w:tabs>
          <w:tab w:val="left" w:pos="-720"/>
        </w:tabs>
        <w:suppressAutoHyphens/>
        <w:rPr>
          <w:spacing w:val="-3"/>
          <w:szCs w:val="18"/>
          <w:lang w:val="en-GB"/>
        </w:rPr>
      </w:pPr>
    </w:p>
    <w:p w:rsidR="00653C2B" w:rsidRDefault="00653C2B" w:rsidP="00653C2B">
      <w:pPr>
        <w:pStyle w:val="Default"/>
        <w:spacing w:line="348" w:lineRule="atLeast"/>
        <w:jc w:val="both"/>
        <w:rPr>
          <w:rFonts w:ascii="Trebuchet MS" w:hAnsi="Trebuchet MS"/>
          <w:sz w:val="18"/>
          <w:szCs w:val="18"/>
        </w:rPr>
      </w:pPr>
      <w:r>
        <w:rPr>
          <w:rFonts w:ascii="Trebuchet MS" w:hAnsi="Trebuchet MS"/>
          <w:color w:val="auto"/>
          <w:sz w:val="18"/>
          <w:szCs w:val="18"/>
        </w:rPr>
        <w:t xml:space="preserve">After the Fukushima Daiichi accident, a complex safety review of the protection against external events for Cernavoda NPP was undertaken in the context of the European "stress tests". </w:t>
      </w:r>
      <w:r>
        <w:rPr>
          <w:rFonts w:ascii="Trebuchet MS" w:hAnsi="Trebuchet MS"/>
          <w:sz w:val="18"/>
          <w:szCs w:val="18"/>
        </w:rPr>
        <w:t>The natural and man-made external hazards analy</w:t>
      </w:r>
      <w:r w:rsidR="001B44C9">
        <w:rPr>
          <w:rFonts w:ascii="Trebuchet MS" w:hAnsi="Trebuchet MS"/>
          <w:sz w:val="18"/>
          <w:szCs w:val="18"/>
        </w:rPr>
        <w:t>s</w:t>
      </w:r>
      <w:r>
        <w:rPr>
          <w:rFonts w:ascii="Trebuchet MS" w:hAnsi="Trebuchet MS"/>
          <w:sz w:val="18"/>
          <w:szCs w:val="18"/>
        </w:rPr>
        <w:t xml:space="preserve">ed for the Cernavoda site included the following: earthquake, flooding, extreme temperatures, high winds, lightning, low Danube level, snow fall, explosions and releases of toxic and explosive gases, fires, missiles, aircraft crashes </w:t>
      </w:r>
      <w:r w:rsidR="00B01031">
        <w:rPr>
          <w:rFonts w:ascii="Trebuchet MS" w:hAnsi="Trebuchet MS"/>
          <w:sz w:val="18"/>
          <w:szCs w:val="18"/>
        </w:rPr>
        <w:fldChar w:fldCharType="begin"/>
      </w:r>
      <w:r w:rsidR="00B01031">
        <w:rPr>
          <w:rFonts w:ascii="Trebuchet MS" w:hAnsi="Trebuchet MS"/>
          <w:sz w:val="18"/>
          <w:szCs w:val="18"/>
        </w:rPr>
        <w:instrText xml:space="preserve"> REF _Ref408823862 \w \h </w:instrText>
      </w:r>
      <w:r w:rsidR="00B01031">
        <w:rPr>
          <w:rFonts w:ascii="Trebuchet MS" w:hAnsi="Trebuchet MS"/>
          <w:sz w:val="18"/>
          <w:szCs w:val="18"/>
        </w:rPr>
      </w:r>
      <w:r w:rsidR="00B01031">
        <w:rPr>
          <w:rFonts w:ascii="Trebuchet MS" w:hAnsi="Trebuchet MS"/>
          <w:sz w:val="18"/>
          <w:szCs w:val="18"/>
        </w:rPr>
        <w:fldChar w:fldCharType="separate"/>
      </w:r>
      <w:r w:rsidR="00E62976">
        <w:rPr>
          <w:rFonts w:ascii="Trebuchet MS" w:hAnsi="Trebuchet MS"/>
          <w:sz w:val="18"/>
          <w:szCs w:val="18"/>
        </w:rPr>
        <w:t>[48]</w:t>
      </w:r>
      <w:r w:rsidR="00B01031">
        <w:rPr>
          <w:rFonts w:ascii="Trebuchet MS" w:hAnsi="Trebuchet MS"/>
          <w:sz w:val="18"/>
          <w:szCs w:val="18"/>
        </w:rPr>
        <w:fldChar w:fldCharType="end"/>
      </w:r>
      <w:r>
        <w:rPr>
          <w:rFonts w:ascii="Trebuchet MS" w:hAnsi="Trebuchet MS"/>
          <w:sz w:val="18"/>
          <w:szCs w:val="18"/>
        </w:rPr>
        <w:t xml:space="preserve">. </w:t>
      </w:r>
    </w:p>
    <w:p w:rsidR="00653C2B" w:rsidRDefault="00653C2B" w:rsidP="00653C2B">
      <w:pPr>
        <w:pStyle w:val="Default"/>
        <w:spacing w:line="348" w:lineRule="atLeast"/>
        <w:jc w:val="both"/>
        <w:rPr>
          <w:rFonts w:ascii="Trebuchet MS" w:hAnsi="Trebuchet MS"/>
          <w:sz w:val="18"/>
          <w:szCs w:val="18"/>
        </w:rPr>
      </w:pPr>
    </w:p>
    <w:p w:rsidR="00653C2B" w:rsidRDefault="00653C2B" w:rsidP="00653C2B">
      <w:pPr>
        <w:pStyle w:val="Default"/>
        <w:spacing w:line="348" w:lineRule="atLeast"/>
        <w:jc w:val="both"/>
        <w:rPr>
          <w:rFonts w:ascii="Trebuchet MS" w:hAnsi="Trebuchet MS"/>
          <w:sz w:val="18"/>
          <w:szCs w:val="18"/>
        </w:rPr>
      </w:pPr>
      <w:r>
        <w:rPr>
          <w:rFonts w:ascii="Trebuchet MS" w:hAnsi="Trebuchet MS"/>
          <w:sz w:val="18"/>
          <w:szCs w:val="18"/>
        </w:rPr>
        <w:t>As part of the “stress test” assessment, a screening and bounding analysis for Cernavoda NPP response under severe weather conditions has been performed.</w:t>
      </w:r>
    </w:p>
    <w:p w:rsidR="00C971D1" w:rsidRPr="00E20701" w:rsidRDefault="00C971D1" w:rsidP="00C971D1">
      <w:pPr>
        <w:pStyle w:val="Titre3"/>
        <w:rPr>
          <w:lang w:val="en-GB"/>
        </w:rPr>
      </w:pPr>
      <w:bookmarkStart w:id="429" w:name="_Toc473303562"/>
      <w:r w:rsidRPr="00E20701">
        <w:rPr>
          <w:lang w:val="en-GB"/>
        </w:rPr>
        <w:t>Russia</w:t>
      </w:r>
      <w:bookmarkEnd w:id="429"/>
      <w:r w:rsidRPr="00E20701">
        <w:rPr>
          <w:lang w:val="en-GB"/>
        </w:rPr>
        <w:t xml:space="preserve"> </w:t>
      </w:r>
    </w:p>
    <w:p w:rsidR="00C971D1" w:rsidRPr="006E363D" w:rsidRDefault="00C971D1" w:rsidP="00C971D1">
      <w:pPr>
        <w:rPr>
          <w:lang w:val="en-GB"/>
        </w:rPr>
      </w:pPr>
      <w:r w:rsidRPr="00E20701">
        <w:rPr>
          <w:lang w:val="en-GB"/>
        </w:rPr>
        <w:t xml:space="preserve">The main regulatory basis of the IE identification procedure, as well as for other PSA technical elements is RB-032-04 “Main recommendations on NPP PSA execution” (issued in 2004) with basic requirements for performing probabilistic safety assessment; and NP-064-05 “Accounting of impact of natural and man-made external hazards on nuclear facilities” (issued in 2006). The </w:t>
      </w:r>
      <w:r w:rsidRPr="006E363D">
        <w:rPr>
          <w:lang w:val="en-GB"/>
        </w:rPr>
        <w:t>following screening criterion is established in NP-064-05: all external hazards with frequency equal or more than 10</w:t>
      </w:r>
      <w:r w:rsidRPr="006E363D">
        <w:rPr>
          <w:vertAlign w:val="superscript"/>
          <w:lang w:val="en-GB"/>
        </w:rPr>
        <w:t>-6</w:t>
      </w:r>
      <w:r w:rsidRPr="006E363D">
        <w:rPr>
          <w:lang w:val="en-GB"/>
        </w:rPr>
        <w:t xml:space="preserve"> 1/</w:t>
      </w:r>
      <w:r w:rsidR="006E363D" w:rsidRPr="006E363D">
        <w:rPr>
          <w:lang w:val="en-GB"/>
        </w:rPr>
        <w:t>a</w:t>
      </w:r>
      <w:r w:rsidRPr="006E363D">
        <w:rPr>
          <w:lang w:val="en-GB"/>
        </w:rPr>
        <w:t xml:space="preserve"> should be accounted in nuclear facility design.</w:t>
      </w:r>
    </w:p>
    <w:p w:rsidR="00C971D1" w:rsidRPr="00E20701" w:rsidRDefault="00C971D1" w:rsidP="00C971D1">
      <w:pPr>
        <w:tabs>
          <w:tab w:val="num" w:pos="1440"/>
        </w:tabs>
        <w:rPr>
          <w:lang w:val="en-GB"/>
        </w:rPr>
      </w:pPr>
      <w:r w:rsidRPr="006E363D">
        <w:rPr>
          <w:lang w:val="en-GB"/>
        </w:rPr>
        <w:t>Approach for development of External Hazards PSA for Russian</w:t>
      </w:r>
      <w:r w:rsidRPr="00E20701">
        <w:rPr>
          <w:lang w:val="en-GB"/>
        </w:rPr>
        <w:t xml:space="preserve"> NPP (in the frameworks of SWISSRUS project) was in line with IAEA recommendations, taking into account national regulations. To develop plant-specific list of hazards an extensive review of information for Plant-Unique External Hazards was fulfilled (plant layout and design documentation; site meteorological and hydrological information; data on potential sources of external events including their location, content of hazardous materials, location of air ways and airports within 50 km from site) and the screening walkdown performed. For screening purposes the following screening criteria were used:</w:t>
      </w:r>
    </w:p>
    <w:p w:rsidR="00C971D1" w:rsidRPr="00E20701" w:rsidRDefault="00C971D1" w:rsidP="00C971D1">
      <w:pPr>
        <w:rPr>
          <w:lang w:val="en-GB"/>
        </w:rPr>
      </w:pPr>
      <w:r w:rsidRPr="00E20701">
        <w:rPr>
          <w:bCs/>
          <w:lang w:val="en-GB"/>
        </w:rPr>
        <w:t>Qualitative Screening Criteria</w:t>
      </w:r>
    </w:p>
    <w:p w:rsidR="00C971D1" w:rsidRPr="00E20701" w:rsidRDefault="00C971D1" w:rsidP="00C971D1">
      <w:pPr>
        <w:rPr>
          <w:lang w:val="en-GB"/>
        </w:rPr>
      </w:pPr>
      <w:r w:rsidRPr="00E20701">
        <w:rPr>
          <w:bCs/>
          <w:lang w:val="en-GB"/>
        </w:rPr>
        <w:t>(A)</w:t>
      </w:r>
      <w:r w:rsidRPr="00E20701">
        <w:rPr>
          <w:bCs/>
          <w:lang w:val="en-GB"/>
        </w:rPr>
        <w:tab/>
        <w:t>The event cannot occur close enough to the plant to affect it.</w:t>
      </w:r>
    </w:p>
    <w:p w:rsidR="00C971D1" w:rsidRPr="00E20701" w:rsidRDefault="00C971D1" w:rsidP="00C971D1">
      <w:pPr>
        <w:rPr>
          <w:lang w:val="en-GB"/>
        </w:rPr>
      </w:pPr>
      <w:r w:rsidRPr="00E20701">
        <w:rPr>
          <w:bCs/>
          <w:lang w:val="en-GB"/>
        </w:rPr>
        <w:t>(B)</w:t>
      </w:r>
      <w:r w:rsidRPr="00E20701">
        <w:rPr>
          <w:bCs/>
          <w:lang w:val="en-GB"/>
        </w:rPr>
        <w:tab/>
        <w:t>The event is included in the definition of another event</w:t>
      </w:r>
    </w:p>
    <w:p w:rsidR="00C971D1" w:rsidRPr="00E20701" w:rsidRDefault="00C971D1" w:rsidP="00C971D1">
      <w:pPr>
        <w:rPr>
          <w:lang w:val="en-GB"/>
        </w:rPr>
      </w:pPr>
      <w:r w:rsidRPr="00E20701">
        <w:rPr>
          <w:bCs/>
          <w:lang w:val="en-GB"/>
        </w:rPr>
        <w:t>(C)</w:t>
      </w:r>
      <w:r w:rsidRPr="00E20701">
        <w:rPr>
          <w:bCs/>
          <w:lang w:val="en-GB"/>
        </w:rPr>
        <w:tab/>
        <w:t>The event is slow in developing and there is sufficient time to eliminate the source of the threat or to provide an adequate response.</w:t>
      </w:r>
      <w:r w:rsidRPr="00E20701">
        <w:rPr>
          <w:lang w:val="en-GB"/>
        </w:rPr>
        <w:t xml:space="preserve"> The criterion C was used to screen out such events as drought, river diversion, loss of coolant lake, soil shrink, low winter temperature.</w:t>
      </w:r>
    </w:p>
    <w:p w:rsidR="00C971D1" w:rsidRPr="00E20701" w:rsidRDefault="00C971D1" w:rsidP="00C971D1">
      <w:pPr>
        <w:ind w:left="720"/>
        <w:rPr>
          <w:lang w:val="en-GB"/>
        </w:rPr>
      </w:pPr>
    </w:p>
    <w:p w:rsidR="00C971D1" w:rsidRPr="00E20701" w:rsidRDefault="00C971D1" w:rsidP="00C971D1">
      <w:pPr>
        <w:rPr>
          <w:lang w:val="en-GB"/>
        </w:rPr>
      </w:pPr>
      <w:r w:rsidRPr="00E20701">
        <w:rPr>
          <w:bCs/>
          <w:lang w:val="en-GB"/>
        </w:rPr>
        <w:t>Quantitative Screening Criteria</w:t>
      </w:r>
    </w:p>
    <w:p w:rsidR="00C971D1" w:rsidRPr="006E363D" w:rsidRDefault="00C971D1" w:rsidP="00C971D1">
      <w:pPr>
        <w:rPr>
          <w:lang w:val="en-GB"/>
        </w:rPr>
      </w:pPr>
      <w:r w:rsidRPr="00E20701">
        <w:rPr>
          <w:bCs/>
          <w:lang w:val="en-GB"/>
        </w:rPr>
        <w:t>(D)</w:t>
      </w:r>
      <w:r w:rsidRPr="00E20701">
        <w:rPr>
          <w:bCs/>
          <w:lang w:val="en-GB"/>
        </w:rPr>
        <w:tab/>
        <w:t xml:space="preserve">The event either has a very </w:t>
      </w:r>
      <w:r w:rsidRPr="006E363D">
        <w:rPr>
          <w:bCs/>
          <w:lang w:val="en-GB"/>
        </w:rPr>
        <w:t>low (&lt;1E-6/</w:t>
      </w:r>
      <w:r w:rsidR="006E363D" w:rsidRPr="006E363D">
        <w:rPr>
          <w:bCs/>
          <w:lang w:val="en-GB"/>
        </w:rPr>
        <w:t>a</w:t>
      </w:r>
      <w:r w:rsidRPr="006E363D">
        <w:rPr>
          <w:bCs/>
          <w:lang w:val="en-GB"/>
        </w:rPr>
        <w:t>) mean frequency of occurrence or has a significantly lower mean frequency of occurrence than other events with similar uncertainties and could not result in worse consequences than those events. The uncertainty in the frequency estimate for the excluded event is judged as not significantly influencing the total risk.</w:t>
      </w:r>
    </w:p>
    <w:p w:rsidR="00C971D1" w:rsidRPr="00E20701" w:rsidRDefault="00C971D1" w:rsidP="00C971D1">
      <w:pPr>
        <w:rPr>
          <w:lang w:val="en-GB"/>
        </w:rPr>
      </w:pPr>
      <w:r w:rsidRPr="006E363D">
        <w:rPr>
          <w:bCs/>
          <w:lang w:val="en-GB"/>
        </w:rPr>
        <w:t>(E)</w:t>
      </w:r>
      <w:r w:rsidRPr="006E363D">
        <w:rPr>
          <w:bCs/>
          <w:lang w:val="en-GB"/>
        </w:rPr>
        <w:tab/>
        <w:t>The event is of equal or lesser damage potential than the events for which the plant has been designed or the event severity required to affect the plant has a frequency less than about 1E-6</w:t>
      </w:r>
      <w:r w:rsidR="006E363D">
        <w:rPr>
          <w:bCs/>
          <w:lang w:val="en-GB"/>
        </w:rPr>
        <w:t>/</w:t>
      </w:r>
      <w:r w:rsidR="006E363D" w:rsidRPr="006E363D">
        <w:rPr>
          <w:bCs/>
          <w:lang w:val="en-GB"/>
        </w:rPr>
        <w:t>a</w:t>
      </w:r>
      <w:r w:rsidRPr="006E363D">
        <w:rPr>
          <w:bCs/>
          <w:lang w:val="en-GB"/>
        </w:rPr>
        <w:t>.</w:t>
      </w:r>
    </w:p>
    <w:p w:rsidR="00C971D1" w:rsidRPr="00E20701" w:rsidRDefault="00C971D1" w:rsidP="00C971D1">
      <w:pPr>
        <w:rPr>
          <w:lang w:val="en-GB"/>
        </w:rPr>
      </w:pPr>
    </w:p>
    <w:p w:rsidR="00C971D1" w:rsidRPr="00E20701" w:rsidRDefault="00C971D1" w:rsidP="00C971D1">
      <w:pPr>
        <w:rPr>
          <w:lang w:val="en-GB"/>
        </w:rPr>
      </w:pPr>
      <w:r w:rsidRPr="00E20701">
        <w:rPr>
          <w:lang w:val="en-GB"/>
        </w:rPr>
        <w:t>Bounding analysis for non-screened events was based mainly on assumption that core damage conditional probability given a hazard with high magnitude is equal to unity.</w:t>
      </w:r>
    </w:p>
    <w:p w:rsidR="00C971D1" w:rsidRPr="00E20701" w:rsidRDefault="00C971D1" w:rsidP="009F09C4">
      <w:pPr>
        <w:rPr>
          <w:lang w:val="en-GB"/>
        </w:rPr>
      </w:pPr>
    </w:p>
    <w:p w:rsidR="00737A59" w:rsidRPr="00E20701" w:rsidRDefault="00737A59" w:rsidP="00317481">
      <w:pPr>
        <w:pStyle w:val="Titre3"/>
        <w:rPr>
          <w:lang w:val="en-GB"/>
        </w:rPr>
      </w:pPr>
      <w:bookmarkStart w:id="430" w:name="_Toc473303563"/>
      <w:r w:rsidRPr="00E20701">
        <w:rPr>
          <w:lang w:val="en-GB"/>
        </w:rPr>
        <w:t>Sweden</w:t>
      </w:r>
      <w:bookmarkEnd w:id="430"/>
    </w:p>
    <w:p w:rsidR="00D71A4E" w:rsidRPr="00E20701" w:rsidRDefault="00D71A4E" w:rsidP="00D71A4E">
      <w:pPr>
        <w:rPr>
          <w:lang w:val="en-GB"/>
        </w:rPr>
      </w:pPr>
      <w:r w:rsidRPr="00E20701">
        <w:rPr>
          <w:lang w:val="en-GB"/>
        </w:rPr>
        <w:t>The Swedish Radiation Safety Authority (SSM) publication SSMFS 2008:1 provides SSM regulations and general advice concerning safety in nuclear facilities.</w:t>
      </w:r>
    </w:p>
    <w:p w:rsidR="00D71A4E" w:rsidRPr="00E20701" w:rsidRDefault="00D71A4E" w:rsidP="00D71A4E">
      <w:pPr>
        <w:rPr>
          <w:lang w:val="en-GB"/>
        </w:rPr>
      </w:pPr>
    </w:p>
    <w:p w:rsidR="00D71A4E" w:rsidRPr="00E20701" w:rsidRDefault="00D71A4E" w:rsidP="00D71A4E">
      <w:pPr>
        <w:rPr>
          <w:lang w:val="en-GB"/>
        </w:rPr>
      </w:pPr>
      <w:r w:rsidRPr="00E20701">
        <w:rPr>
          <w:lang w:val="en-GB"/>
        </w:rPr>
        <w:t xml:space="preserve">With this SKI report 2003:48 (in Swedish) </w:t>
      </w:r>
      <w:r w:rsidR="00E22F24">
        <w:rPr>
          <w:lang w:val="en-GB"/>
        </w:rPr>
        <w:fldChar w:fldCharType="begin"/>
      </w:r>
      <w:r w:rsidR="00E22F24">
        <w:rPr>
          <w:lang w:val="en-GB"/>
        </w:rPr>
        <w:instrText xml:space="preserve"> REF _Ref469068336 \w \h </w:instrText>
      </w:r>
      <w:r w:rsidR="00E22F24">
        <w:rPr>
          <w:lang w:val="en-GB"/>
        </w:rPr>
      </w:r>
      <w:r w:rsidR="00E22F24">
        <w:rPr>
          <w:lang w:val="en-GB"/>
        </w:rPr>
        <w:fldChar w:fldCharType="separate"/>
      </w:r>
      <w:r w:rsidR="00E62976">
        <w:rPr>
          <w:lang w:val="en-GB"/>
        </w:rPr>
        <w:t>[108]</w:t>
      </w:r>
      <w:r w:rsidR="00E22F24">
        <w:rPr>
          <w:lang w:val="en-GB"/>
        </w:rPr>
        <w:fldChar w:fldCharType="end"/>
      </w:r>
      <w:r w:rsidR="00E22F24">
        <w:rPr>
          <w:lang w:val="en-GB"/>
        </w:rPr>
        <w:t xml:space="preserve"> </w:t>
      </w:r>
      <w:r w:rsidRPr="00E20701">
        <w:rPr>
          <w:lang w:val="en-GB"/>
        </w:rPr>
        <w:t>is used as 'PSA Review Handbook' and provides requirements on the performance of PSAs, as well as control of the PSA activities of the licensees. This review handbook presents important aspects to be considered when judging whether a licensee fulfils the requirements on PSA activities, including the performance of PSA's or PSA applications. The handbook is also guidance for the review of PSAs; however it is not a handbook for how a PSA is performed. The PSA review handbook is applicable to all types of initiating events and all operating conditions, and has been structured in a way, which stresses the integrated characteristics of PSA in the creating of the risk picture of a plant.</w:t>
      </w:r>
    </w:p>
    <w:p w:rsidR="00D71A4E" w:rsidRPr="00E20701" w:rsidRDefault="00D71A4E" w:rsidP="00D71A4E">
      <w:pPr>
        <w:rPr>
          <w:lang w:val="en-GB"/>
        </w:rPr>
      </w:pPr>
    </w:p>
    <w:p w:rsidR="00D71A4E" w:rsidRPr="00E20701" w:rsidRDefault="00D71A4E" w:rsidP="00D71A4E">
      <w:pPr>
        <w:rPr>
          <w:lang w:val="en-GB"/>
        </w:rPr>
      </w:pPr>
      <w:r w:rsidRPr="00E20701">
        <w:rPr>
          <w:lang w:val="en-GB"/>
        </w:rPr>
        <w:t>In Sweden initially, initiating events were defined independently within each PSA, based on IEEE and IAEA lists. As a part of the project SUPER-ASAR (As-operated Safety Analysis Report) (in Swedish), SKI Technical Report 90:3, 90:4, a common classification of initiating events was developed for all BWR and all PWR. This classification was also required in order to make possible a common approach towards the analysis of transient data, and ultimately resulted in the development of the 'I-Book' (SKI Report 94:12, 2nd edition – in Swedish</w:t>
      </w:r>
      <w:r w:rsidR="00E22F24">
        <w:rPr>
          <w:lang w:val="en-GB"/>
        </w:rPr>
        <w:t xml:space="preserve"> </w:t>
      </w:r>
      <w:r w:rsidR="00E22F24">
        <w:rPr>
          <w:lang w:val="en-GB"/>
        </w:rPr>
        <w:fldChar w:fldCharType="begin"/>
      </w:r>
      <w:r w:rsidR="00E22F24">
        <w:rPr>
          <w:lang w:val="en-GB"/>
        </w:rPr>
        <w:instrText xml:space="preserve"> REF _Ref469068081 \w \h </w:instrText>
      </w:r>
      <w:r w:rsidR="00E22F24">
        <w:rPr>
          <w:lang w:val="en-GB"/>
        </w:rPr>
      </w:r>
      <w:r w:rsidR="00E22F24">
        <w:rPr>
          <w:lang w:val="en-GB"/>
        </w:rPr>
        <w:fldChar w:fldCharType="separate"/>
      </w:r>
      <w:r w:rsidR="00E62976">
        <w:rPr>
          <w:lang w:val="en-GB"/>
        </w:rPr>
        <w:t>[107]</w:t>
      </w:r>
      <w:r w:rsidR="00E22F24">
        <w:rPr>
          <w:lang w:val="en-GB"/>
        </w:rPr>
        <w:fldChar w:fldCharType="end"/>
      </w:r>
      <w:r w:rsidRPr="00E20701">
        <w:rPr>
          <w:lang w:val="en-GB"/>
        </w:rPr>
        <w:t>), presenting frequencies of initiating events. However, I-Book is not utilised the way it was supposed to be used by PSA practitioners.</w:t>
      </w:r>
    </w:p>
    <w:p w:rsidR="00D71A4E" w:rsidRPr="00E20701" w:rsidRDefault="00D71A4E" w:rsidP="00D71A4E">
      <w:pPr>
        <w:rPr>
          <w:lang w:val="en-GB"/>
        </w:rPr>
      </w:pPr>
    </w:p>
    <w:p w:rsidR="00D71A4E" w:rsidRPr="00E20701" w:rsidRDefault="00D71A4E" w:rsidP="00D71A4E">
      <w:pPr>
        <w:rPr>
          <w:lang w:val="en-GB"/>
        </w:rPr>
      </w:pPr>
      <w:r w:rsidRPr="00E20701">
        <w:rPr>
          <w:lang w:val="en-GB"/>
        </w:rPr>
        <w:t xml:space="preserve">The method for the analysis of external events was developed as a part of the ASAR 90 programme. The aim of the project was to evaluate the state of the art within the field of external events and to propose an analysis approach (excluding seismic events). The work concerning 'selection of relevant external events' represented an overview of available methods for screening of initiating events. </w:t>
      </w:r>
      <w:r w:rsidRPr="00E20701">
        <w:rPr>
          <w:szCs w:val="18"/>
          <w:lang w:val="en-GB" w:eastAsia="sv-SE"/>
        </w:rPr>
        <w:t>The recommended approach was iterative. A complete identification of potentially relevant initiating events was crucial. Thereafter, simplified frequency and consequence estimates were made in order to screen out non-critical initiators. Increasingly sophisticated methods were used for the screening of the remaining initiators, in order to arrive at a final set of relevant initiators that will be included in the PSA.</w:t>
      </w:r>
    </w:p>
    <w:p w:rsidR="00D71A4E" w:rsidRPr="00E20701" w:rsidRDefault="00D71A4E" w:rsidP="00D71A4E">
      <w:pPr>
        <w:rPr>
          <w:b/>
          <w:u w:val="single"/>
          <w:lang w:val="en-GB"/>
        </w:rPr>
      </w:pPr>
    </w:p>
    <w:p w:rsidR="00D71A4E" w:rsidRPr="00E20701" w:rsidRDefault="00D71A4E" w:rsidP="00D71A4E">
      <w:pPr>
        <w:suppressAutoHyphens/>
        <w:autoSpaceDE w:val="0"/>
        <w:autoSpaceDN w:val="0"/>
        <w:adjustRightInd w:val="0"/>
        <w:spacing w:line="360" w:lineRule="auto"/>
        <w:rPr>
          <w:szCs w:val="18"/>
          <w:lang w:val="en-GB"/>
        </w:rPr>
      </w:pPr>
      <w:r w:rsidRPr="00E20701">
        <w:rPr>
          <w:szCs w:val="18"/>
          <w:lang w:val="en-GB"/>
        </w:rPr>
        <w:t xml:space="preserve">The SKI Report 02:27 (2003) “Guidance for External Events Analysis” </w:t>
      </w:r>
      <w:r w:rsidR="00F12A40">
        <w:rPr>
          <w:szCs w:val="18"/>
          <w:lang w:val="en-GB"/>
        </w:rPr>
        <w:fldChar w:fldCharType="begin"/>
      </w:r>
      <w:r w:rsidR="00F12A40">
        <w:rPr>
          <w:szCs w:val="18"/>
          <w:lang w:val="en-GB"/>
        </w:rPr>
        <w:instrText xml:space="preserve"> REF _Ref418687543 \w \h </w:instrText>
      </w:r>
      <w:r w:rsidR="00F12A40">
        <w:rPr>
          <w:szCs w:val="18"/>
          <w:lang w:val="en-GB"/>
        </w:rPr>
      </w:r>
      <w:r w:rsidR="00F12A40">
        <w:rPr>
          <w:szCs w:val="18"/>
          <w:lang w:val="en-GB"/>
        </w:rPr>
        <w:fldChar w:fldCharType="separate"/>
      </w:r>
      <w:r w:rsidR="00E62976">
        <w:rPr>
          <w:szCs w:val="18"/>
          <w:lang w:val="en-GB"/>
        </w:rPr>
        <w:t>[71]</w:t>
      </w:r>
      <w:r w:rsidR="00F12A40">
        <w:rPr>
          <w:szCs w:val="18"/>
          <w:lang w:val="en-GB"/>
        </w:rPr>
        <w:fldChar w:fldCharType="end"/>
      </w:r>
      <w:r w:rsidR="00F12A40">
        <w:rPr>
          <w:szCs w:val="18"/>
          <w:lang w:val="en-GB"/>
        </w:rPr>
        <w:t xml:space="preserve"> </w:t>
      </w:r>
      <w:r w:rsidRPr="00E20701">
        <w:rPr>
          <w:szCs w:val="18"/>
          <w:lang w:val="en-GB"/>
        </w:rPr>
        <w:t>is summarised in ASAMPSA_E WP 22 deliverable D22.1</w:t>
      </w:r>
      <w:r w:rsidR="002F25DB">
        <w:rPr>
          <w:szCs w:val="18"/>
          <w:lang w:val="en-GB"/>
        </w:rPr>
        <w:t xml:space="preserve"> </w:t>
      </w:r>
      <w:r w:rsidR="002F25DB">
        <w:rPr>
          <w:szCs w:val="18"/>
          <w:lang w:val="en-GB"/>
        </w:rPr>
        <w:fldChar w:fldCharType="begin"/>
      </w:r>
      <w:r w:rsidR="002F25DB">
        <w:rPr>
          <w:szCs w:val="18"/>
          <w:lang w:val="en-GB"/>
        </w:rPr>
        <w:instrText xml:space="preserve"> REF _Ref433376606 \w \h </w:instrText>
      </w:r>
      <w:r w:rsidR="002F25DB">
        <w:rPr>
          <w:szCs w:val="18"/>
          <w:lang w:val="en-GB"/>
        </w:rPr>
      </w:r>
      <w:r w:rsidR="002F25DB">
        <w:rPr>
          <w:szCs w:val="18"/>
          <w:lang w:val="en-GB"/>
        </w:rPr>
        <w:fldChar w:fldCharType="separate"/>
      </w:r>
      <w:r w:rsidR="00E62976">
        <w:rPr>
          <w:szCs w:val="18"/>
          <w:lang w:val="en-GB"/>
        </w:rPr>
        <w:t>[96]</w:t>
      </w:r>
      <w:r w:rsidR="002F25DB">
        <w:rPr>
          <w:szCs w:val="18"/>
          <w:lang w:val="en-GB"/>
        </w:rPr>
        <w:fldChar w:fldCharType="end"/>
      </w:r>
      <w:r w:rsidRPr="00E20701">
        <w:rPr>
          <w:szCs w:val="18"/>
          <w:lang w:val="en-GB"/>
        </w:rPr>
        <w:t xml:space="preserve"> and relevant summary is repeated here again. This SKI report includes four phases, addressing project planning, identification of external events, screening of events, and probabilistic analysis. The aim is first to do as a complete identification of potential single and combined external events as possible. Thereafter, as many external events as possible are screened out as early as possible. This documents aims at creating a common framework for analysis of external events as part of Probabilistic Safety Assessment study for a nuclear power plant. The guidance does not cover seismic events or events originating from acts of sabotage or terrorism.</w:t>
      </w:r>
    </w:p>
    <w:p w:rsidR="00D71A4E" w:rsidRPr="00E20701" w:rsidRDefault="00D71A4E" w:rsidP="00D71A4E">
      <w:pPr>
        <w:suppressAutoHyphens/>
        <w:autoSpaceDE w:val="0"/>
        <w:autoSpaceDN w:val="0"/>
        <w:adjustRightInd w:val="0"/>
        <w:spacing w:line="360" w:lineRule="auto"/>
        <w:rPr>
          <w:szCs w:val="18"/>
          <w:lang w:val="en-GB"/>
        </w:rPr>
      </w:pPr>
    </w:p>
    <w:p w:rsidR="00D71A4E" w:rsidRPr="00E20701" w:rsidRDefault="00D71A4E" w:rsidP="00D71A4E">
      <w:pPr>
        <w:suppressAutoHyphens/>
        <w:autoSpaceDE w:val="0"/>
        <w:autoSpaceDN w:val="0"/>
        <w:adjustRightInd w:val="0"/>
        <w:spacing w:line="360" w:lineRule="auto"/>
        <w:rPr>
          <w:szCs w:val="18"/>
          <w:lang w:val="en-GB"/>
        </w:rPr>
      </w:pPr>
      <w:r w:rsidRPr="00E20701">
        <w:rPr>
          <w:szCs w:val="18"/>
          <w:lang w:val="en-GB"/>
        </w:rPr>
        <w:t>The main elements presented are as follows:</w:t>
      </w:r>
    </w:p>
    <w:p w:rsidR="00D71A4E" w:rsidRPr="00E20701" w:rsidRDefault="00D71A4E" w:rsidP="00D71A4E">
      <w:pPr>
        <w:suppressAutoHyphens/>
        <w:spacing w:line="360" w:lineRule="auto"/>
        <w:rPr>
          <w:szCs w:val="18"/>
          <w:lang w:val="en-GB"/>
        </w:rPr>
      </w:pPr>
    </w:p>
    <w:p w:rsidR="00D71A4E" w:rsidRPr="00E20701" w:rsidRDefault="00D71A4E" w:rsidP="00E62976">
      <w:pPr>
        <w:numPr>
          <w:ilvl w:val="0"/>
          <w:numId w:val="31"/>
        </w:numPr>
        <w:suppressAutoHyphens/>
        <w:spacing w:line="360" w:lineRule="auto"/>
        <w:ind w:left="360"/>
        <w:rPr>
          <w:szCs w:val="18"/>
          <w:lang w:val="en-GB"/>
        </w:rPr>
      </w:pPr>
      <w:r w:rsidRPr="00E20701">
        <w:rPr>
          <w:szCs w:val="18"/>
          <w:lang w:val="en-GB"/>
        </w:rPr>
        <w:t>The procedure for the identification of a complete set of potential single external events is described, using a categorization of external events in accordance to main group, cause of event (air based, ground based, water based) and relevant deviations. An additional classification of events into natural and man-made external events is made.</w:t>
      </w:r>
    </w:p>
    <w:p w:rsidR="00D71A4E" w:rsidRPr="00E20701" w:rsidRDefault="00D71A4E" w:rsidP="00D71A4E">
      <w:pPr>
        <w:suppressAutoHyphens/>
        <w:spacing w:line="360" w:lineRule="auto"/>
        <w:ind w:left="360"/>
        <w:rPr>
          <w:szCs w:val="18"/>
          <w:lang w:val="en-GB"/>
        </w:rPr>
      </w:pPr>
      <w:r w:rsidRPr="00E20701">
        <w:rPr>
          <w:szCs w:val="18"/>
          <w:lang w:val="en-GB"/>
        </w:rPr>
        <w:t xml:space="preserve"> </w:t>
      </w:r>
    </w:p>
    <w:p w:rsidR="00D71A4E" w:rsidRPr="00E20701" w:rsidRDefault="00D71A4E" w:rsidP="00E62976">
      <w:pPr>
        <w:numPr>
          <w:ilvl w:val="0"/>
          <w:numId w:val="31"/>
        </w:numPr>
        <w:suppressAutoHyphens/>
        <w:spacing w:line="360" w:lineRule="auto"/>
        <w:ind w:left="360"/>
        <w:rPr>
          <w:szCs w:val="18"/>
          <w:lang w:val="en-GB"/>
        </w:rPr>
      </w:pPr>
      <w:r w:rsidRPr="00E20701">
        <w:rPr>
          <w:szCs w:val="18"/>
          <w:lang w:val="en-GB"/>
        </w:rPr>
        <w:t>A procedure for the identification of a complete set of potential combined external events is given, together with the used selection criteria (definition of events; different safety functions affected; degree of impact on plant safety functions; single external events criteria).</w:t>
      </w:r>
    </w:p>
    <w:p w:rsidR="00D71A4E" w:rsidRPr="00E20701" w:rsidRDefault="00D71A4E" w:rsidP="00D71A4E">
      <w:pPr>
        <w:suppressAutoHyphens/>
        <w:spacing w:line="360" w:lineRule="auto"/>
        <w:rPr>
          <w:szCs w:val="18"/>
          <w:lang w:val="en-GB"/>
        </w:rPr>
      </w:pPr>
      <w:r w:rsidRPr="00E20701">
        <w:rPr>
          <w:szCs w:val="18"/>
          <w:lang w:val="en-GB"/>
        </w:rPr>
        <w:t xml:space="preserve">     </w:t>
      </w:r>
    </w:p>
    <w:p w:rsidR="00D71A4E" w:rsidRPr="00E20701" w:rsidRDefault="00D71A4E" w:rsidP="00E62976">
      <w:pPr>
        <w:numPr>
          <w:ilvl w:val="0"/>
          <w:numId w:val="31"/>
        </w:numPr>
        <w:suppressAutoHyphens/>
        <w:spacing w:line="360" w:lineRule="auto"/>
        <w:ind w:left="360"/>
        <w:rPr>
          <w:szCs w:val="18"/>
          <w:lang w:val="en-GB"/>
        </w:rPr>
      </w:pPr>
      <w:r w:rsidRPr="00E20701">
        <w:rPr>
          <w:szCs w:val="18"/>
          <w:lang w:val="en-GB"/>
        </w:rPr>
        <w:t>The main screening criteria are presented and their use is described with some examples. A relevancy screening should be performed, to obtain a list of site relevant external events. Afterwards, to obtain a list of potential plant relevant external events, an impact screening should be performed (when the maximal strength imaginable at the site will not even have a minor effects on the plant structures cooling, electrical transmission or on the plant operation, the event should be eliminated). The deterministic screening eliminates such plant relevant external events, either single or combined, which do not cause any initiating event model</w:t>
      </w:r>
      <w:r w:rsidR="00BA42FB">
        <w:rPr>
          <w:szCs w:val="18"/>
          <w:lang w:val="en-GB"/>
        </w:rPr>
        <w:t>l</w:t>
      </w:r>
      <w:r w:rsidRPr="00E20701">
        <w:rPr>
          <w:szCs w:val="18"/>
          <w:lang w:val="en-GB"/>
        </w:rPr>
        <w:t>ed in PSA and loss of safety systems needed after the initiating event. The aim of probabilistic screening is to evaluate which events represent an acceptable risk.</w:t>
      </w:r>
    </w:p>
    <w:p w:rsidR="00D71A4E" w:rsidRPr="00E20701" w:rsidRDefault="00D71A4E" w:rsidP="00D71A4E">
      <w:pPr>
        <w:suppressAutoHyphens/>
        <w:spacing w:line="360" w:lineRule="auto"/>
        <w:ind w:left="360"/>
        <w:rPr>
          <w:szCs w:val="18"/>
          <w:lang w:val="en-GB"/>
        </w:rPr>
      </w:pPr>
    </w:p>
    <w:p w:rsidR="00D71A4E" w:rsidRPr="00E20701" w:rsidRDefault="00D71A4E" w:rsidP="00E62976">
      <w:pPr>
        <w:numPr>
          <w:ilvl w:val="0"/>
          <w:numId w:val="31"/>
        </w:numPr>
        <w:suppressAutoHyphens/>
        <w:spacing w:line="360" w:lineRule="auto"/>
        <w:ind w:left="360"/>
        <w:rPr>
          <w:szCs w:val="18"/>
          <w:lang w:val="en-GB"/>
        </w:rPr>
      </w:pPr>
      <w:r w:rsidRPr="00E20701">
        <w:rPr>
          <w:szCs w:val="18"/>
          <w:lang w:val="en-GB"/>
        </w:rPr>
        <w:t>An introduction to some deterministic analysis methods that use analysis experience data for external event, and data sources discussion is given.</w:t>
      </w:r>
    </w:p>
    <w:p w:rsidR="00D71A4E" w:rsidRPr="00E20701" w:rsidRDefault="00D71A4E" w:rsidP="00D71A4E">
      <w:pPr>
        <w:suppressAutoHyphens/>
        <w:spacing w:line="360" w:lineRule="auto"/>
        <w:rPr>
          <w:szCs w:val="18"/>
          <w:lang w:val="en-GB"/>
        </w:rPr>
      </w:pPr>
    </w:p>
    <w:p w:rsidR="00D71A4E" w:rsidRPr="00E20701" w:rsidRDefault="00D71A4E" w:rsidP="00E62976">
      <w:pPr>
        <w:numPr>
          <w:ilvl w:val="0"/>
          <w:numId w:val="31"/>
        </w:numPr>
        <w:suppressAutoHyphens/>
        <w:spacing w:line="360" w:lineRule="auto"/>
        <w:ind w:left="360"/>
        <w:rPr>
          <w:szCs w:val="18"/>
          <w:lang w:val="en-GB"/>
        </w:rPr>
      </w:pPr>
      <w:r w:rsidRPr="00E20701">
        <w:rPr>
          <w:szCs w:val="18"/>
          <w:lang w:val="en-GB"/>
        </w:rPr>
        <w:t>The information needed on plant response to the external events remaining after the impact screening is defined and a work procedure for performing a plant response analysis is given.</w:t>
      </w:r>
    </w:p>
    <w:p w:rsidR="00D71A4E" w:rsidRPr="00E20701" w:rsidRDefault="00D71A4E" w:rsidP="00D71A4E">
      <w:pPr>
        <w:suppressAutoHyphens/>
        <w:spacing w:line="360" w:lineRule="auto"/>
        <w:rPr>
          <w:szCs w:val="18"/>
          <w:lang w:val="en-GB"/>
        </w:rPr>
      </w:pPr>
    </w:p>
    <w:p w:rsidR="00D71A4E" w:rsidRPr="00E20701" w:rsidRDefault="00D71A4E" w:rsidP="00E62976">
      <w:pPr>
        <w:numPr>
          <w:ilvl w:val="0"/>
          <w:numId w:val="31"/>
        </w:numPr>
        <w:suppressAutoHyphens/>
        <w:spacing w:line="360" w:lineRule="auto"/>
        <w:ind w:left="360"/>
        <w:rPr>
          <w:szCs w:val="18"/>
          <w:lang w:val="en-GB"/>
        </w:rPr>
      </w:pPr>
      <w:r w:rsidRPr="00E20701">
        <w:rPr>
          <w:szCs w:val="18"/>
          <w:lang w:val="en-GB"/>
        </w:rPr>
        <w:t>The model</w:t>
      </w:r>
      <w:r w:rsidR="00BA42FB">
        <w:rPr>
          <w:szCs w:val="18"/>
          <w:lang w:val="en-GB"/>
        </w:rPr>
        <w:t>l</w:t>
      </w:r>
      <w:r w:rsidRPr="00E20701">
        <w:rPr>
          <w:szCs w:val="18"/>
          <w:lang w:val="en-GB"/>
        </w:rPr>
        <w:t>ing and quantification of external events using an internal events PSA model is described, as well as how a PSA model can be used in order to estimate the importance of a specific external event.</w:t>
      </w:r>
    </w:p>
    <w:p w:rsidR="00D71A4E" w:rsidRPr="00E20701" w:rsidRDefault="00D71A4E" w:rsidP="00D71A4E">
      <w:pPr>
        <w:autoSpaceDE w:val="0"/>
        <w:autoSpaceDN w:val="0"/>
        <w:adjustRightInd w:val="0"/>
        <w:rPr>
          <w:szCs w:val="18"/>
          <w:lang w:val="en-GB"/>
        </w:rPr>
      </w:pPr>
      <w:r w:rsidRPr="00E20701">
        <w:rPr>
          <w:szCs w:val="18"/>
          <w:lang w:val="en-GB"/>
        </w:rPr>
        <w:t>Concerning human activities, it is stated that if they are performed within the relevant surroundings, they may impact the plant via man-made external events. The natural environment may impact the plant itself directly or by affecting man-made activities, the site or other plants on the site.</w:t>
      </w:r>
    </w:p>
    <w:p w:rsidR="00D71A4E" w:rsidRPr="00E20701" w:rsidRDefault="00D71A4E" w:rsidP="00D71A4E">
      <w:pPr>
        <w:autoSpaceDE w:val="0"/>
        <w:autoSpaceDN w:val="0"/>
        <w:adjustRightInd w:val="0"/>
        <w:rPr>
          <w:szCs w:val="18"/>
          <w:lang w:val="en-GB"/>
        </w:rPr>
      </w:pPr>
    </w:p>
    <w:p w:rsidR="00D71A4E" w:rsidRPr="00E20701" w:rsidRDefault="00D71A4E" w:rsidP="00D71A4E">
      <w:pPr>
        <w:autoSpaceDE w:val="0"/>
        <w:autoSpaceDN w:val="0"/>
        <w:adjustRightInd w:val="0"/>
        <w:rPr>
          <w:szCs w:val="18"/>
          <w:lang w:val="en-GB"/>
        </w:rPr>
      </w:pPr>
      <w:r w:rsidRPr="00E20701">
        <w:rPr>
          <w:szCs w:val="18"/>
          <w:lang w:val="en-GB"/>
        </w:rPr>
        <w:t>The plant response information regarding an external event consists of relevant design characteristics, concerning plant characteristics, and protective or mitigating human interactions. The analysis must decide what kind of impact the external events will have on the plant, and how the plant is protected against the impact. The protection may include both structural characteristics, characteristics of active or passive safety functions and protective or mitigating human actions, as defined in safety and operating procedures.</w:t>
      </w:r>
    </w:p>
    <w:p w:rsidR="00D71A4E" w:rsidRPr="00C70893" w:rsidRDefault="00D71A4E" w:rsidP="00D71A4E">
      <w:pPr>
        <w:rPr>
          <w:lang w:val="en-GB"/>
        </w:rPr>
      </w:pPr>
    </w:p>
    <w:p w:rsidR="00737A59" w:rsidRPr="00E20701" w:rsidRDefault="00737A59" w:rsidP="00317481">
      <w:pPr>
        <w:pStyle w:val="Titre3"/>
        <w:rPr>
          <w:lang w:val="en-GB"/>
        </w:rPr>
      </w:pPr>
      <w:bookmarkStart w:id="431" w:name="_Toc473303564"/>
      <w:r w:rsidRPr="00E20701">
        <w:rPr>
          <w:lang w:val="en-GB"/>
        </w:rPr>
        <w:t>Slovakia</w:t>
      </w:r>
      <w:bookmarkEnd w:id="431"/>
    </w:p>
    <w:p w:rsidR="00E34E2B" w:rsidRPr="00E20701" w:rsidRDefault="00E34E2B" w:rsidP="00E34E2B">
      <w:pPr>
        <w:rPr>
          <w:lang w:val="en-GB"/>
        </w:rPr>
      </w:pPr>
      <w:r w:rsidRPr="00E20701">
        <w:rPr>
          <w:lang w:val="en-GB"/>
        </w:rPr>
        <w:t xml:space="preserve">The UJD SR decree “Safety documentation of nuclear installations” </w:t>
      </w:r>
      <w:r w:rsidR="00BA42FB">
        <w:rPr>
          <w:lang w:val="en-GB"/>
        </w:rPr>
        <w:fldChar w:fldCharType="begin"/>
      </w:r>
      <w:r w:rsidR="00BA42FB">
        <w:rPr>
          <w:lang w:val="en-GB"/>
        </w:rPr>
        <w:instrText xml:space="preserve"> REF _Ref394482085 \w \h </w:instrText>
      </w:r>
      <w:r w:rsidR="00BA42FB">
        <w:rPr>
          <w:lang w:val="en-GB"/>
        </w:rPr>
      </w:r>
      <w:r w:rsidR="00BA42FB">
        <w:rPr>
          <w:lang w:val="en-GB"/>
        </w:rPr>
        <w:fldChar w:fldCharType="separate"/>
      </w:r>
      <w:r w:rsidR="00E62976">
        <w:rPr>
          <w:lang w:val="en-GB"/>
        </w:rPr>
        <w:t>[29]</w:t>
      </w:r>
      <w:r w:rsidR="00BA42FB">
        <w:rPr>
          <w:lang w:val="en-GB"/>
        </w:rPr>
        <w:fldChar w:fldCharType="end"/>
      </w:r>
      <w:r w:rsidRPr="00E20701">
        <w:rPr>
          <w:lang w:val="en-GB"/>
        </w:rPr>
        <w:t xml:space="preserve"> and UJD SR guideline on “Application of PSA methodology in the regulatory process” </w:t>
      </w:r>
      <w:r w:rsidR="00BA42FB">
        <w:rPr>
          <w:lang w:val="en-GB"/>
        </w:rPr>
        <w:fldChar w:fldCharType="begin"/>
      </w:r>
      <w:r w:rsidR="00BA42FB">
        <w:rPr>
          <w:lang w:val="en-GB"/>
        </w:rPr>
        <w:instrText xml:space="preserve"> REF _Ref394482203 \w \h </w:instrText>
      </w:r>
      <w:r w:rsidR="00BA42FB">
        <w:rPr>
          <w:lang w:val="en-GB"/>
        </w:rPr>
      </w:r>
      <w:r w:rsidR="00BA42FB">
        <w:rPr>
          <w:lang w:val="en-GB"/>
        </w:rPr>
        <w:fldChar w:fldCharType="separate"/>
      </w:r>
      <w:r w:rsidR="00E62976">
        <w:rPr>
          <w:lang w:val="en-GB"/>
        </w:rPr>
        <w:t>[30]</w:t>
      </w:r>
      <w:r w:rsidR="00BA42FB">
        <w:rPr>
          <w:lang w:val="en-GB"/>
        </w:rPr>
        <w:fldChar w:fldCharType="end"/>
      </w:r>
      <w:r w:rsidRPr="00E20701">
        <w:rPr>
          <w:lang w:val="en-GB"/>
        </w:rPr>
        <w:t xml:space="preserve"> are main documents, which formulate general approach and utility obligations to the PSA.</w:t>
      </w:r>
    </w:p>
    <w:p w:rsidR="00E34E2B" w:rsidRPr="00E20701" w:rsidRDefault="00E34E2B" w:rsidP="00E34E2B">
      <w:pPr>
        <w:rPr>
          <w:lang w:val="en-GB"/>
        </w:rPr>
      </w:pPr>
      <w:r w:rsidRPr="00E20701">
        <w:rPr>
          <w:lang w:val="en-GB"/>
        </w:rPr>
        <w:t>The UJD SR recognizes the PSA methodology and requires performing internal event level-1 and level-2 PSA for full power, low power and shutdown operational states for any plant in the site (including internal fires and floods). If relevant, external hazards (as seismic event, extreme temperature, aircraft crash, etc.) must be incorporated into the assessment.</w:t>
      </w:r>
    </w:p>
    <w:p w:rsidR="00E34E2B" w:rsidRPr="00E20701" w:rsidRDefault="00E34E2B" w:rsidP="003257A9">
      <w:pPr>
        <w:rPr>
          <w:lang w:val="en-GB"/>
        </w:rPr>
      </w:pPr>
    </w:p>
    <w:p w:rsidR="00737A59" w:rsidRPr="00E20701" w:rsidRDefault="00737A59" w:rsidP="00317481">
      <w:pPr>
        <w:pStyle w:val="Titre3"/>
        <w:rPr>
          <w:lang w:val="en-GB"/>
        </w:rPr>
      </w:pPr>
      <w:bookmarkStart w:id="432" w:name="_Toc473303565"/>
      <w:r w:rsidRPr="00E20701">
        <w:rPr>
          <w:lang w:val="en-GB"/>
        </w:rPr>
        <w:t>Slovenia</w:t>
      </w:r>
      <w:bookmarkEnd w:id="432"/>
    </w:p>
    <w:p w:rsidR="00E34E2B" w:rsidRPr="00E20701" w:rsidRDefault="00E34E2B" w:rsidP="00E34E2B">
      <w:pPr>
        <w:rPr>
          <w:lang w:val="en-GB"/>
        </w:rPr>
      </w:pPr>
      <w:r w:rsidRPr="00E20701">
        <w:rPr>
          <w:lang w:val="en-GB"/>
        </w:rPr>
        <w:t xml:space="preserve">The Regulation JV 9 </w:t>
      </w:r>
      <w:r w:rsidR="00F869CD">
        <w:rPr>
          <w:lang w:val="en-GB"/>
        </w:rPr>
        <w:fldChar w:fldCharType="begin"/>
      </w:r>
      <w:r w:rsidR="00F869CD">
        <w:rPr>
          <w:lang w:val="en-GB"/>
        </w:rPr>
        <w:instrText xml:space="preserve"> REF _Ref394394547 \w \h </w:instrText>
      </w:r>
      <w:r w:rsidR="00F869CD">
        <w:rPr>
          <w:lang w:val="en-GB"/>
        </w:rPr>
      </w:r>
      <w:r w:rsidR="00F869CD">
        <w:rPr>
          <w:lang w:val="en-GB"/>
        </w:rPr>
        <w:fldChar w:fldCharType="separate"/>
      </w:r>
      <w:r w:rsidR="00E62976">
        <w:rPr>
          <w:lang w:val="en-GB"/>
        </w:rPr>
        <w:t>[31]</w:t>
      </w:r>
      <w:r w:rsidR="00F869CD">
        <w:rPr>
          <w:lang w:val="en-GB"/>
        </w:rPr>
        <w:fldChar w:fldCharType="end"/>
      </w:r>
      <w:r w:rsidRPr="00E20701">
        <w:rPr>
          <w:lang w:val="en-GB"/>
        </w:rPr>
        <w:t xml:space="preserve"> sets requirements for preparation of the Probabilistic safety analyses: Article 40 specifies the application of PSA in assessment of modifications, Article 49 requires PSA model and all necessary data to be provided to the regulator, Article 50 describes the required content of the PSA, Article 51 defines the requirements considering PSA quality and maintenance, Article</w:t>
      </w:r>
      <w:r w:rsidR="00FE152F">
        <w:rPr>
          <w:lang w:val="en-GB"/>
        </w:rPr>
        <w:t>s</w:t>
      </w:r>
      <w:r w:rsidRPr="00E20701">
        <w:rPr>
          <w:lang w:val="en-GB"/>
        </w:rPr>
        <w:t xml:space="preserve"> 52 and 53 specify the scope and applicability of PSA results.</w:t>
      </w:r>
    </w:p>
    <w:p w:rsidR="00E34E2B" w:rsidRPr="00E20701" w:rsidRDefault="00E34E2B" w:rsidP="00E34E2B">
      <w:pPr>
        <w:rPr>
          <w:lang w:val="en-GB"/>
        </w:rPr>
      </w:pPr>
      <w:r w:rsidRPr="00E20701">
        <w:rPr>
          <w:lang w:val="en-GB"/>
        </w:rPr>
        <w:t xml:space="preserve">Article 50 of the Regulation JV 9 </w:t>
      </w:r>
      <w:r w:rsidR="00FE152F">
        <w:rPr>
          <w:lang w:val="en-GB"/>
        </w:rPr>
        <w:fldChar w:fldCharType="begin"/>
      </w:r>
      <w:r w:rsidR="00FE152F">
        <w:rPr>
          <w:lang w:val="en-GB"/>
        </w:rPr>
        <w:instrText xml:space="preserve"> REF _Ref394394547 \w \h </w:instrText>
      </w:r>
      <w:r w:rsidR="00FE152F">
        <w:rPr>
          <w:lang w:val="en-GB"/>
        </w:rPr>
      </w:r>
      <w:r w:rsidR="00FE152F">
        <w:rPr>
          <w:lang w:val="en-GB"/>
        </w:rPr>
        <w:fldChar w:fldCharType="separate"/>
      </w:r>
      <w:r w:rsidR="00E62976">
        <w:rPr>
          <w:lang w:val="en-GB"/>
        </w:rPr>
        <w:t>[31]</w:t>
      </w:r>
      <w:r w:rsidR="00FE152F">
        <w:rPr>
          <w:lang w:val="en-GB"/>
        </w:rPr>
        <w:fldChar w:fldCharType="end"/>
      </w:r>
      <w:r w:rsidRPr="00E20701">
        <w:rPr>
          <w:lang w:val="en-GB"/>
        </w:rPr>
        <w:t xml:space="preserve"> states that probabilistic safety analysis shall cover:</w:t>
      </w:r>
    </w:p>
    <w:p w:rsidR="00E34E2B" w:rsidRPr="00E20701" w:rsidRDefault="00E34E2B" w:rsidP="00E34E2B">
      <w:pPr>
        <w:rPr>
          <w:lang w:val="en-GB"/>
        </w:rPr>
      </w:pPr>
      <w:r w:rsidRPr="00E20701">
        <w:rPr>
          <w:lang w:val="en-GB"/>
        </w:rPr>
        <w:t xml:space="preserve">1. all the relevant operational modes of the facility; in the case of a nuclear power plant, these operational modes include, in particular, modes ranging from refueling and operation at low power levels up to the full power operation; </w:t>
      </w:r>
    </w:p>
    <w:p w:rsidR="00E34E2B" w:rsidRPr="00E20701" w:rsidRDefault="00E34E2B" w:rsidP="00E34E2B">
      <w:pPr>
        <w:rPr>
          <w:lang w:val="en-GB"/>
        </w:rPr>
      </w:pPr>
      <w:r w:rsidRPr="00E20701">
        <w:rPr>
          <w:lang w:val="en-GB"/>
        </w:rPr>
        <w:t>2. all the relevant initiating events and potential hazards, including fire, flooding, severe weather conditions and seismic events;</w:t>
      </w:r>
    </w:p>
    <w:p w:rsidR="00E34E2B" w:rsidRPr="00E20701" w:rsidRDefault="00E34E2B" w:rsidP="00E34E2B">
      <w:pPr>
        <w:rPr>
          <w:lang w:val="en-GB"/>
        </w:rPr>
      </w:pPr>
      <w:r w:rsidRPr="00E20701">
        <w:rPr>
          <w:lang w:val="en-GB"/>
        </w:rPr>
        <w:t>3. all the relevant dependencies, including functional dependencies based on the physical location of components and common cause dependencies;</w:t>
      </w:r>
    </w:p>
    <w:p w:rsidR="00E34E2B" w:rsidRPr="00E20701" w:rsidRDefault="00E34E2B" w:rsidP="00E34E2B">
      <w:pPr>
        <w:rPr>
          <w:lang w:val="en-GB"/>
        </w:rPr>
      </w:pPr>
      <w:r w:rsidRPr="00E20701">
        <w:rPr>
          <w:lang w:val="en-GB"/>
        </w:rPr>
        <w:t>4. an analysis of uncertainties and sensitivity analyses of a level 1 probabilistic safety analysis, and a sensitivity or uncertainty analyses of a level 2 probabilistic safety analysis;</w:t>
      </w:r>
    </w:p>
    <w:p w:rsidR="00E34E2B" w:rsidRPr="00E20701" w:rsidRDefault="00E34E2B" w:rsidP="00E34E2B">
      <w:pPr>
        <w:rPr>
          <w:lang w:val="en-GB"/>
        </w:rPr>
      </w:pPr>
      <w:r w:rsidRPr="00E20701">
        <w:rPr>
          <w:lang w:val="en-GB"/>
        </w:rPr>
        <w:t>5. analyses of human reliability, taking into account the factors which can influence the performance of the operators and other personnel in all the analysed plant operational modes.</w:t>
      </w:r>
    </w:p>
    <w:p w:rsidR="00E34E2B" w:rsidRPr="00E20701" w:rsidRDefault="00E34E2B" w:rsidP="00E34E2B">
      <w:pPr>
        <w:rPr>
          <w:lang w:val="en-GB"/>
        </w:rPr>
      </w:pPr>
      <w:r w:rsidRPr="00E20701">
        <w:rPr>
          <w:lang w:val="en-GB"/>
        </w:rPr>
        <w:t xml:space="preserve">For the review of the nuclear power plant Krsko PSA within the second periodic review </w:t>
      </w:r>
      <w:r w:rsidR="00FE152F">
        <w:rPr>
          <w:lang w:val="en-GB"/>
        </w:rPr>
        <w:fldChar w:fldCharType="begin"/>
      </w:r>
      <w:r w:rsidR="00FE152F">
        <w:rPr>
          <w:lang w:val="en-GB"/>
        </w:rPr>
        <w:instrText xml:space="preserve"> REF _Ref394397153 \w \h </w:instrText>
      </w:r>
      <w:r w:rsidR="00FE152F">
        <w:rPr>
          <w:lang w:val="en-GB"/>
        </w:rPr>
      </w:r>
      <w:r w:rsidR="00FE152F">
        <w:rPr>
          <w:lang w:val="en-GB"/>
        </w:rPr>
        <w:fldChar w:fldCharType="separate"/>
      </w:r>
      <w:r w:rsidR="00E62976">
        <w:rPr>
          <w:lang w:val="en-GB"/>
        </w:rPr>
        <w:t>[32]</w:t>
      </w:r>
      <w:r w:rsidR="00FE152F">
        <w:rPr>
          <w:lang w:val="en-GB"/>
        </w:rPr>
        <w:fldChar w:fldCharType="end"/>
      </w:r>
      <w:r w:rsidRPr="00E20701">
        <w:rPr>
          <w:lang w:val="en-GB"/>
        </w:rPr>
        <w:t xml:space="preserve"> the ASME RA-Sb-2005 </w:t>
      </w:r>
      <w:r w:rsidR="00FE152F">
        <w:rPr>
          <w:lang w:val="en-GB"/>
        </w:rPr>
        <w:fldChar w:fldCharType="begin"/>
      </w:r>
      <w:r w:rsidR="00FE152F">
        <w:rPr>
          <w:lang w:val="en-GB"/>
        </w:rPr>
        <w:instrText xml:space="preserve"> REF _Ref394394731 \w \h </w:instrText>
      </w:r>
      <w:r w:rsidR="00FE152F">
        <w:rPr>
          <w:lang w:val="en-GB"/>
        </w:rPr>
      </w:r>
      <w:r w:rsidR="00FE152F">
        <w:rPr>
          <w:lang w:val="en-GB"/>
        </w:rPr>
        <w:fldChar w:fldCharType="separate"/>
      </w:r>
      <w:r w:rsidR="00E62976">
        <w:rPr>
          <w:lang w:val="en-GB"/>
        </w:rPr>
        <w:t>[33]</w:t>
      </w:r>
      <w:r w:rsidR="00FE152F">
        <w:rPr>
          <w:lang w:val="en-GB"/>
        </w:rPr>
        <w:fldChar w:fldCharType="end"/>
      </w:r>
      <w:r w:rsidRPr="00E20701">
        <w:rPr>
          <w:lang w:val="en-GB"/>
        </w:rPr>
        <w:t xml:space="preserve"> for internal events and ANSI/ANS-58.21-2003 </w:t>
      </w:r>
      <w:r w:rsidR="00FE152F">
        <w:rPr>
          <w:lang w:val="en-GB"/>
        </w:rPr>
        <w:fldChar w:fldCharType="begin"/>
      </w:r>
      <w:r w:rsidR="00FE152F">
        <w:rPr>
          <w:lang w:val="en-GB"/>
        </w:rPr>
        <w:instrText xml:space="preserve"> REF _Ref394394788 \w \h </w:instrText>
      </w:r>
      <w:r w:rsidR="00FE152F">
        <w:rPr>
          <w:lang w:val="en-GB"/>
        </w:rPr>
      </w:r>
      <w:r w:rsidR="00FE152F">
        <w:rPr>
          <w:lang w:val="en-GB"/>
        </w:rPr>
        <w:fldChar w:fldCharType="separate"/>
      </w:r>
      <w:r w:rsidR="00E62976">
        <w:rPr>
          <w:lang w:val="en-GB"/>
        </w:rPr>
        <w:t>[34]</w:t>
      </w:r>
      <w:r w:rsidR="00FE152F">
        <w:rPr>
          <w:lang w:val="en-GB"/>
        </w:rPr>
        <w:fldChar w:fldCharType="end"/>
      </w:r>
      <w:r w:rsidRPr="00E20701">
        <w:rPr>
          <w:lang w:val="en-GB"/>
        </w:rPr>
        <w:t xml:space="preserve"> for external events including seismic were applied.</w:t>
      </w:r>
    </w:p>
    <w:p w:rsidR="00E34E2B" w:rsidRDefault="00E34E2B" w:rsidP="00E34E2B">
      <w:pPr>
        <w:rPr>
          <w:lang w:val="en-GB"/>
        </w:rPr>
      </w:pPr>
      <w:r w:rsidRPr="00E20701">
        <w:rPr>
          <w:lang w:val="en-GB"/>
        </w:rPr>
        <w:t xml:space="preserve">The ANSI/ANS standard </w:t>
      </w:r>
      <w:r w:rsidR="00FE152F">
        <w:rPr>
          <w:lang w:val="en-GB"/>
        </w:rPr>
        <w:fldChar w:fldCharType="begin"/>
      </w:r>
      <w:r w:rsidR="00FE152F">
        <w:rPr>
          <w:lang w:val="en-GB"/>
        </w:rPr>
        <w:instrText xml:space="preserve"> REF _Ref394394788 \w \h </w:instrText>
      </w:r>
      <w:r w:rsidR="00FE152F">
        <w:rPr>
          <w:lang w:val="en-GB"/>
        </w:rPr>
      </w:r>
      <w:r w:rsidR="00FE152F">
        <w:rPr>
          <w:lang w:val="en-GB"/>
        </w:rPr>
        <w:fldChar w:fldCharType="separate"/>
      </w:r>
      <w:r w:rsidR="00E62976">
        <w:rPr>
          <w:lang w:val="en-GB"/>
        </w:rPr>
        <w:t>[34]</w:t>
      </w:r>
      <w:r w:rsidR="00FE152F">
        <w:rPr>
          <w:lang w:val="en-GB"/>
        </w:rPr>
        <w:fldChar w:fldCharType="end"/>
      </w:r>
      <w:r w:rsidR="00FE152F">
        <w:rPr>
          <w:lang w:val="en-GB"/>
        </w:rPr>
        <w:t xml:space="preserve"> </w:t>
      </w:r>
      <w:r w:rsidRPr="00E20701">
        <w:rPr>
          <w:lang w:val="en-GB"/>
        </w:rPr>
        <w:t>requires that potential external events that may affect the site shall be considered and shall be subjected to either screening, bounding demonstrably conservative analysis, or detailed analysis. The ANSI/ANS standard requires for demonstrably conservative analysis to be performed using defined quantitative screening criteria. The ANSI/ANS standard requires for a walkdown of the plant and its surroundings to be performed as a basis for the screening out of an external event. The ANSI/ANS standard also requires for documenting the screening out of an external event in a manner that facilitates applying the PRA and updating it and that enables peer review.</w:t>
      </w:r>
    </w:p>
    <w:p w:rsidR="00B1514D" w:rsidRDefault="00B1514D" w:rsidP="00E34E2B">
      <w:pPr>
        <w:rPr>
          <w:lang w:val="en-GB"/>
        </w:rPr>
      </w:pPr>
      <w:r>
        <w:rPr>
          <w:lang w:val="en-GB"/>
        </w:rPr>
        <w:t xml:space="preserve">Finally, it should be noted that new revision of regulations JV5 </w:t>
      </w:r>
      <w:r>
        <w:rPr>
          <w:lang w:val="en-GB"/>
        </w:rPr>
        <w:fldChar w:fldCharType="begin"/>
      </w:r>
      <w:r>
        <w:rPr>
          <w:lang w:val="en-GB"/>
        </w:rPr>
        <w:instrText xml:space="preserve"> REF _Ref447725420 \w \h </w:instrText>
      </w:r>
      <w:r>
        <w:rPr>
          <w:lang w:val="en-GB"/>
        </w:rPr>
      </w:r>
      <w:r>
        <w:rPr>
          <w:lang w:val="en-GB"/>
        </w:rPr>
        <w:fldChar w:fldCharType="separate"/>
      </w:r>
      <w:r w:rsidR="00E62976">
        <w:rPr>
          <w:lang w:val="en-GB"/>
        </w:rPr>
        <w:t>[57]</w:t>
      </w:r>
      <w:r>
        <w:rPr>
          <w:lang w:val="en-GB"/>
        </w:rPr>
        <w:fldChar w:fldCharType="end"/>
      </w:r>
      <w:r>
        <w:rPr>
          <w:lang w:val="en-GB"/>
        </w:rPr>
        <w:t xml:space="preserve"> and JV9 </w:t>
      </w:r>
      <w:r w:rsidR="00FE152F">
        <w:rPr>
          <w:lang w:val="en-GB"/>
        </w:rPr>
        <w:fldChar w:fldCharType="begin"/>
      </w:r>
      <w:r w:rsidR="00FE152F">
        <w:rPr>
          <w:lang w:val="en-GB"/>
        </w:rPr>
        <w:instrText xml:space="preserve"> REF _Ref464312524 \w \h </w:instrText>
      </w:r>
      <w:r w:rsidR="00FE152F">
        <w:rPr>
          <w:lang w:val="en-GB"/>
        </w:rPr>
      </w:r>
      <w:r w:rsidR="00FE152F">
        <w:rPr>
          <w:lang w:val="en-GB"/>
        </w:rPr>
        <w:fldChar w:fldCharType="separate"/>
      </w:r>
      <w:r w:rsidR="00E62976">
        <w:rPr>
          <w:lang w:val="en-GB"/>
        </w:rPr>
        <w:t>[38]</w:t>
      </w:r>
      <w:r w:rsidR="00FE152F">
        <w:rPr>
          <w:lang w:val="en-GB"/>
        </w:rPr>
        <w:fldChar w:fldCharType="end"/>
      </w:r>
      <w:r w:rsidR="00AD4CAF">
        <w:rPr>
          <w:lang w:val="en-GB"/>
        </w:rPr>
        <w:t xml:space="preserve"> </w:t>
      </w:r>
      <w:r>
        <w:rPr>
          <w:lang w:val="en-GB"/>
        </w:rPr>
        <w:t xml:space="preserve">have been prepared in draft form in December 2015 for public hearing. Both draft regulations follow the newest WENRA RL for operating reactors </w:t>
      </w:r>
      <w:r>
        <w:rPr>
          <w:lang w:val="en-GB"/>
        </w:rPr>
        <w:fldChar w:fldCharType="begin"/>
      </w:r>
      <w:r>
        <w:rPr>
          <w:lang w:val="en-GB"/>
        </w:rPr>
        <w:instrText xml:space="preserve"> REF _Ref384812549 \w \h </w:instrText>
      </w:r>
      <w:r>
        <w:rPr>
          <w:lang w:val="en-GB"/>
        </w:rPr>
      </w:r>
      <w:r>
        <w:rPr>
          <w:lang w:val="en-GB"/>
        </w:rPr>
        <w:fldChar w:fldCharType="separate"/>
      </w:r>
      <w:r w:rsidR="00E62976">
        <w:rPr>
          <w:lang w:val="en-GB"/>
        </w:rPr>
        <w:t>[11]</w:t>
      </w:r>
      <w:r>
        <w:rPr>
          <w:lang w:val="en-GB"/>
        </w:rPr>
        <w:fldChar w:fldCharType="end"/>
      </w:r>
      <w:r>
        <w:rPr>
          <w:lang w:val="en-GB"/>
        </w:rPr>
        <w:t xml:space="preserve">. Per draft JV9 proposal </w:t>
      </w:r>
      <w:r w:rsidR="00FE152F">
        <w:rPr>
          <w:lang w:val="en-GB"/>
        </w:rPr>
        <w:fldChar w:fldCharType="begin"/>
      </w:r>
      <w:r w:rsidR="00FE152F">
        <w:rPr>
          <w:lang w:val="en-GB"/>
        </w:rPr>
        <w:instrText xml:space="preserve"> REF _Ref464312524 \w \h </w:instrText>
      </w:r>
      <w:r w:rsidR="00FE152F">
        <w:rPr>
          <w:lang w:val="en-GB"/>
        </w:rPr>
      </w:r>
      <w:r w:rsidR="00FE152F">
        <w:rPr>
          <w:lang w:val="en-GB"/>
        </w:rPr>
        <w:fldChar w:fldCharType="separate"/>
      </w:r>
      <w:r w:rsidR="00E62976">
        <w:rPr>
          <w:lang w:val="en-GB"/>
        </w:rPr>
        <w:t>[38]</w:t>
      </w:r>
      <w:r w:rsidR="00FE152F">
        <w:rPr>
          <w:lang w:val="en-GB"/>
        </w:rPr>
        <w:fldChar w:fldCharType="end"/>
      </w:r>
      <w:r w:rsidR="00AD4CAF">
        <w:rPr>
          <w:lang w:val="en-GB"/>
        </w:rPr>
        <w:t xml:space="preserve"> </w:t>
      </w:r>
      <w:r>
        <w:rPr>
          <w:lang w:val="en-GB"/>
        </w:rPr>
        <w:t>the scope of PSA analyses should include</w:t>
      </w:r>
      <w:r w:rsidRPr="00807561">
        <w:rPr>
          <w:lang w:val="en-GB"/>
        </w:rPr>
        <w:t xml:space="preserve"> fuel in the core and in the spent fuel storage</w:t>
      </w:r>
      <w:r>
        <w:rPr>
          <w:lang w:val="en-GB"/>
        </w:rPr>
        <w:t xml:space="preserve"> (WENRA RL O1.1).</w:t>
      </w:r>
      <w:r w:rsidDel="00FA2865">
        <w:rPr>
          <w:lang w:val="en-GB"/>
        </w:rPr>
        <w:t xml:space="preserve"> </w:t>
      </w:r>
      <w:r>
        <w:rPr>
          <w:lang w:val="en-GB"/>
        </w:rPr>
        <w:t xml:space="preserve">Regarding natural hazards the whole WENRA issue T was adopted in the proposed draft of JV5 </w:t>
      </w:r>
      <w:r>
        <w:rPr>
          <w:lang w:val="en-GB"/>
        </w:rPr>
        <w:fldChar w:fldCharType="begin"/>
      </w:r>
      <w:r>
        <w:rPr>
          <w:lang w:val="en-GB"/>
        </w:rPr>
        <w:instrText xml:space="preserve"> REF _Ref447725420 \w \h </w:instrText>
      </w:r>
      <w:r>
        <w:rPr>
          <w:lang w:val="en-GB"/>
        </w:rPr>
      </w:r>
      <w:r>
        <w:rPr>
          <w:lang w:val="en-GB"/>
        </w:rPr>
        <w:fldChar w:fldCharType="separate"/>
      </w:r>
      <w:r w:rsidR="00E62976">
        <w:rPr>
          <w:lang w:val="en-GB"/>
        </w:rPr>
        <w:t>[57]</w:t>
      </w:r>
      <w:r>
        <w:rPr>
          <w:lang w:val="en-GB"/>
        </w:rPr>
        <w:fldChar w:fldCharType="end"/>
      </w:r>
      <w:r>
        <w:rPr>
          <w:lang w:val="en-GB"/>
        </w:rPr>
        <w:t>. The proposed exceedance frequencies of design basis events shall be low enough. A common target value of frequency, not higher than 10-4 per annum, is proposed to be used for design basis event (individual natural hazards or combinations of hazards).</w:t>
      </w:r>
    </w:p>
    <w:p w:rsidR="00C971D1" w:rsidRDefault="00C971D1" w:rsidP="00E34E2B">
      <w:pPr>
        <w:rPr>
          <w:lang w:val="en-GB"/>
        </w:rPr>
      </w:pPr>
    </w:p>
    <w:p w:rsidR="00C971D1" w:rsidRPr="00E20701" w:rsidRDefault="00C971D1" w:rsidP="00C971D1">
      <w:pPr>
        <w:pStyle w:val="Titre3"/>
        <w:rPr>
          <w:lang w:val="en-GB"/>
        </w:rPr>
      </w:pPr>
      <w:bookmarkStart w:id="433" w:name="_Toc473303566"/>
      <w:r w:rsidRPr="00E20701">
        <w:rPr>
          <w:lang w:val="en-GB"/>
        </w:rPr>
        <w:t>Switzerland</w:t>
      </w:r>
      <w:bookmarkEnd w:id="433"/>
      <w:r w:rsidRPr="00E20701">
        <w:rPr>
          <w:lang w:val="en-GB"/>
        </w:rPr>
        <w:t xml:space="preserve"> </w:t>
      </w:r>
    </w:p>
    <w:p w:rsidR="005B0542" w:rsidRPr="000436E6" w:rsidRDefault="005B0542" w:rsidP="005B0542">
      <w:pPr>
        <w:rPr>
          <w:lang w:val="en-GB"/>
        </w:rPr>
      </w:pPr>
      <w:r w:rsidRPr="000436E6">
        <w:rPr>
          <w:lang w:val="en-GB"/>
        </w:rPr>
        <w:t>The national practices strictly conform to the ENSI (Swiss authority) requirements s</w:t>
      </w:r>
      <w:r>
        <w:rPr>
          <w:lang w:val="en-GB"/>
        </w:rPr>
        <w:t>et forth in the Swiss guideline ENSI-A05</w:t>
      </w:r>
      <w:r w:rsidRPr="000436E6">
        <w:rPr>
          <w:lang w:val="en-GB"/>
        </w:rPr>
        <w:t xml:space="preserve"> </w:t>
      </w:r>
      <w:r w:rsidR="006E4220">
        <w:rPr>
          <w:lang w:val="en-GB"/>
        </w:rPr>
        <w:fldChar w:fldCharType="begin"/>
      </w:r>
      <w:r w:rsidR="006E4220">
        <w:rPr>
          <w:lang w:val="en-GB"/>
        </w:rPr>
        <w:instrText xml:space="preserve"> REF _Ref406515529 \w \h </w:instrText>
      </w:r>
      <w:r w:rsidR="006E4220">
        <w:rPr>
          <w:lang w:val="en-GB"/>
        </w:rPr>
      </w:r>
      <w:r w:rsidR="006E4220">
        <w:rPr>
          <w:lang w:val="en-GB"/>
        </w:rPr>
        <w:fldChar w:fldCharType="separate"/>
      </w:r>
      <w:r w:rsidR="00E62976">
        <w:rPr>
          <w:lang w:val="en-GB"/>
        </w:rPr>
        <w:t>[40]</w:t>
      </w:r>
      <w:r w:rsidR="006E4220">
        <w:rPr>
          <w:lang w:val="en-GB"/>
        </w:rPr>
        <w:fldChar w:fldCharType="end"/>
      </w:r>
      <w:r w:rsidRPr="000436E6">
        <w:rPr>
          <w:lang w:val="en-GB"/>
        </w:rPr>
        <w:t xml:space="preserve"> as follows.</w:t>
      </w:r>
    </w:p>
    <w:p w:rsidR="005B0542" w:rsidRPr="000436E6" w:rsidRDefault="005B0542" w:rsidP="005B0542">
      <w:pPr>
        <w:rPr>
          <w:lang w:val="en-GB"/>
        </w:rPr>
      </w:pPr>
      <w:r w:rsidRPr="000436E6">
        <w:rPr>
          <w:lang w:val="en-GB"/>
        </w:rPr>
        <w:t>Earthquakes, extreme winds, tornadoes, extreme floods and aircraft crash are required to be analysed in detail and must be incorporated in PSA, regardless of the estimated frequency of the potential initiators</w:t>
      </w:r>
      <w:r>
        <w:rPr>
          <w:lang w:val="en-GB"/>
        </w:rPr>
        <w:t>, cf</w:t>
      </w:r>
      <w:r w:rsidRPr="000436E6">
        <w:rPr>
          <w:lang w:val="en-GB"/>
        </w:rPr>
        <w:t>.</w:t>
      </w:r>
      <w:r w:rsidR="00D81803">
        <w:rPr>
          <w:lang w:val="en-GB"/>
        </w:rPr>
        <w:t xml:space="preserve"> </w:t>
      </w:r>
      <w:r>
        <w:rPr>
          <w:lang w:val="en-GB"/>
        </w:rPr>
        <w:t>sections</w:t>
      </w:r>
      <w:r w:rsidRPr="000436E6">
        <w:rPr>
          <w:lang w:val="en-GB"/>
        </w:rPr>
        <w:t xml:space="preserve"> 4.6.2-4.6.6 of </w:t>
      </w:r>
      <w:r w:rsidR="00D81803">
        <w:rPr>
          <w:lang w:val="en-GB"/>
        </w:rPr>
        <w:fldChar w:fldCharType="begin"/>
      </w:r>
      <w:r w:rsidR="00D81803">
        <w:rPr>
          <w:lang w:val="en-GB"/>
        </w:rPr>
        <w:instrText xml:space="preserve"> REF _Ref406515529 \w \h </w:instrText>
      </w:r>
      <w:r w:rsidR="00D81803">
        <w:rPr>
          <w:lang w:val="en-GB"/>
        </w:rPr>
      </w:r>
      <w:r w:rsidR="00D81803">
        <w:rPr>
          <w:lang w:val="en-GB"/>
        </w:rPr>
        <w:fldChar w:fldCharType="separate"/>
      </w:r>
      <w:r w:rsidR="00E62976">
        <w:rPr>
          <w:lang w:val="en-GB"/>
        </w:rPr>
        <w:t>[40]</w:t>
      </w:r>
      <w:r w:rsidR="00D81803">
        <w:rPr>
          <w:lang w:val="en-GB"/>
        </w:rPr>
        <w:fldChar w:fldCharType="end"/>
      </w:r>
      <w:r w:rsidRPr="000436E6">
        <w:rPr>
          <w:lang w:val="en-GB"/>
        </w:rPr>
        <w:t>.</w:t>
      </w:r>
    </w:p>
    <w:p w:rsidR="005B0542" w:rsidRPr="000436E6" w:rsidRDefault="005B0542" w:rsidP="005B0542">
      <w:pPr>
        <w:rPr>
          <w:lang w:val="en-GB"/>
        </w:rPr>
      </w:pPr>
    </w:p>
    <w:p w:rsidR="005B0542" w:rsidRPr="000436E6" w:rsidRDefault="005B0542" w:rsidP="005B0542">
      <w:pPr>
        <w:rPr>
          <w:lang w:val="en-GB"/>
        </w:rPr>
      </w:pPr>
      <w:r w:rsidRPr="000436E6">
        <w:rPr>
          <w:lang w:val="en-GB"/>
        </w:rPr>
        <w:t>All other external events need not be incorporated in the PSA models when either one of the following conditions is met (screening criteria):</w:t>
      </w:r>
    </w:p>
    <w:p w:rsidR="005B0542" w:rsidRPr="005B0542" w:rsidRDefault="005B0542" w:rsidP="00E62976">
      <w:pPr>
        <w:numPr>
          <w:ilvl w:val="0"/>
          <w:numId w:val="85"/>
        </w:numPr>
        <w:rPr>
          <w:lang w:val="en-GB"/>
        </w:rPr>
      </w:pPr>
      <w:r w:rsidRPr="005B0542">
        <w:rPr>
          <w:lang w:val="en-GB"/>
        </w:rPr>
        <w:t>It is possible to justify qualitatively that the potential risk (in terms of frequency of core damage) contributes only marginally to CDF/FDF</w:t>
      </w:r>
      <w:r>
        <w:rPr>
          <w:rStyle w:val="Appelnotedebasdep"/>
          <w:lang w:val="en-GB"/>
        </w:rPr>
        <w:footnoteReference w:id="14"/>
      </w:r>
      <w:r w:rsidRPr="005B0542">
        <w:rPr>
          <w:lang w:val="en-GB"/>
        </w:rPr>
        <w:t xml:space="preserve"> (e.g. in case when the impact on the facility does not invoke the activation of safety systems or the consequences are covered by accidents having significantly higher initial frequency of occurrence).</w:t>
      </w:r>
    </w:p>
    <w:p w:rsidR="005B0542" w:rsidRPr="005B0542" w:rsidRDefault="005B0542" w:rsidP="00E62976">
      <w:pPr>
        <w:numPr>
          <w:ilvl w:val="0"/>
          <w:numId w:val="85"/>
        </w:numPr>
        <w:rPr>
          <w:lang w:val="en-GB"/>
        </w:rPr>
      </w:pPr>
      <w:r w:rsidRPr="005B0542">
        <w:rPr>
          <w:lang w:val="en-GB"/>
        </w:rPr>
        <w:t>A quantitative assessment demonstrates that the potential contribution to CDF/FDF is not expected to exceed the value of 10</w:t>
      </w:r>
      <w:r w:rsidRPr="005079A3">
        <w:rPr>
          <w:vertAlign w:val="superscript"/>
          <w:lang w:val="en-GB"/>
        </w:rPr>
        <w:t>-9</w:t>
      </w:r>
      <w:r w:rsidR="006E363D">
        <w:rPr>
          <w:lang w:val="en-GB"/>
        </w:rPr>
        <w:t>/a</w:t>
      </w:r>
      <w:r w:rsidRPr="005B0542">
        <w:rPr>
          <w:lang w:val="en-GB"/>
        </w:rPr>
        <w:t>.</w:t>
      </w:r>
    </w:p>
    <w:p w:rsidR="005B0542" w:rsidRPr="000436E6" w:rsidRDefault="005B0542" w:rsidP="005B0542">
      <w:pPr>
        <w:rPr>
          <w:lang w:val="en-GB"/>
        </w:rPr>
      </w:pPr>
    </w:p>
    <w:p w:rsidR="005B0542" w:rsidRPr="000436E6" w:rsidRDefault="005B0542" w:rsidP="005B0542">
      <w:pPr>
        <w:rPr>
          <w:lang w:val="en-GB"/>
        </w:rPr>
      </w:pPr>
      <w:r w:rsidRPr="000436E6">
        <w:rPr>
          <w:lang w:val="en-GB"/>
        </w:rPr>
        <w:t xml:space="preserve">This is done using the conditional probabilities of </w:t>
      </w:r>
      <w:r>
        <w:rPr>
          <w:lang w:val="en-GB"/>
        </w:rPr>
        <w:t>core damage or fuel damage</w:t>
      </w:r>
      <w:r w:rsidRPr="000436E6">
        <w:rPr>
          <w:lang w:val="en-GB"/>
        </w:rPr>
        <w:t xml:space="preserve"> from internal initiating events that have similar consequences or impact on systems and components as the external initiating event under consideration, multiplied by the estimated frequency of occurrence of the external initiating event.</w:t>
      </w:r>
    </w:p>
    <w:p w:rsidR="00C971D1" w:rsidRPr="00E20701" w:rsidRDefault="00C971D1" w:rsidP="00E34E2B">
      <w:pPr>
        <w:rPr>
          <w:lang w:val="en-GB"/>
        </w:rPr>
      </w:pPr>
    </w:p>
    <w:p w:rsidR="00737A59" w:rsidRPr="00E20701" w:rsidRDefault="00737A59" w:rsidP="00317481">
      <w:pPr>
        <w:pStyle w:val="Titre3"/>
        <w:rPr>
          <w:lang w:val="en-GB"/>
        </w:rPr>
      </w:pPr>
      <w:bookmarkStart w:id="434" w:name="_Toc473303567"/>
      <w:r w:rsidRPr="00E20701">
        <w:rPr>
          <w:lang w:val="en-GB"/>
        </w:rPr>
        <w:t>U</w:t>
      </w:r>
      <w:r w:rsidR="00A04C49">
        <w:rPr>
          <w:lang w:val="en-GB"/>
        </w:rPr>
        <w:t xml:space="preserve">nited </w:t>
      </w:r>
      <w:r w:rsidRPr="00E20701">
        <w:rPr>
          <w:lang w:val="en-GB"/>
        </w:rPr>
        <w:t>K</w:t>
      </w:r>
      <w:r w:rsidR="00A04C49">
        <w:rPr>
          <w:lang w:val="en-GB"/>
        </w:rPr>
        <w:t>ingdom</w:t>
      </w:r>
      <w:bookmarkEnd w:id="434"/>
    </w:p>
    <w:p w:rsidR="00EE702D" w:rsidRDefault="00A04C49" w:rsidP="00EE702D">
      <w:pPr>
        <w:rPr>
          <w:lang w:val="en-GB"/>
        </w:rPr>
      </w:pPr>
      <w:r>
        <w:rPr>
          <w:lang w:val="en-GB"/>
        </w:rPr>
        <w:t xml:space="preserve">High-level regulatory expectations on screening for PSA are defined in ONR’s Safety Assessment Principles (SAPs) </w:t>
      </w:r>
      <w:r w:rsidR="00125AF4">
        <w:rPr>
          <w:lang w:val="en-GB"/>
        </w:rPr>
        <w:fldChar w:fldCharType="begin"/>
      </w:r>
      <w:r>
        <w:rPr>
          <w:lang w:val="en-GB"/>
        </w:rPr>
        <w:instrText xml:space="preserve"> REF _Ref406515493 \r \h </w:instrText>
      </w:r>
      <w:r w:rsidR="00125AF4">
        <w:rPr>
          <w:lang w:val="en-GB"/>
        </w:rPr>
      </w:r>
      <w:r w:rsidR="00125AF4">
        <w:rPr>
          <w:lang w:val="en-GB"/>
        </w:rPr>
        <w:fldChar w:fldCharType="separate"/>
      </w:r>
      <w:r w:rsidR="00E62976">
        <w:rPr>
          <w:lang w:val="en-GB"/>
        </w:rPr>
        <w:t>[10]</w:t>
      </w:r>
      <w:r w:rsidR="00125AF4">
        <w:rPr>
          <w:lang w:val="en-GB"/>
        </w:rPr>
        <w:fldChar w:fldCharType="end"/>
      </w:r>
      <w:r>
        <w:rPr>
          <w:lang w:val="en-GB"/>
        </w:rPr>
        <w:t>, specifically SAP</w:t>
      </w:r>
      <w:r w:rsidR="00EE702D">
        <w:rPr>
          <w:lang w:val="en-GB"/>
        </w:rPr>
        <w:t xml:space="preserve">s </w:t>
      </w:r>
    </w:p>
    <w:p w:rsidR="00EE702D" w:rsidRDefault="00EE702D" w:rsidP="00E62976">
      <w:pPr>
        <w:numPr>
          <w:ilvl w:val="0"/>
          <w:numId w:val="85"/>
        </w:numPr>
        <w:rPr>
          <w:lang w:val="en-GB"/>
        </w:rPr>
      </w:pPr>
      <w:r>
        <w:rPr>
          <w:lang w:val="en-GB"/>
        </w:rPr>
        <w:t>FA.2 “</w:t>
      </w:r>
      <w:r w:rsidRPr="00EE702D">
        <w:rPr>
          <w:lang w:val="en-GB"/>
        </w:rPr>
        <w:t>Fault analysis should identify all initiating faults having the potential to lead to any person</w:t>
      </w:r>
      <w:r>
        <w:rPr>
          <w:lang w:val="en-GB"/>
        </w:rPr>
        <w:t xml:space="preserve"> </w:t>
      </w:r>
      <w:r w:rsidRPr="00EE702D">
        <w:rPr>
          <w:lang w:val="en-GB"/>
        </w:rPr>
        <w:t>receiving a significant dose of radiation, or to a significant quantity of radioactive material</w:t>
      </w:r>
      <w:r>
        <w:rPr>
          <w:lang w:val="en-GB"/>
        </w:rPr>
        <w:t xml:space="preserve"> </w:t>
      </w:r>
      <w:r w:rsidRPr="00EE702D">
        <w:rPr>
          <w:lang w:val="en-GB"/>
        </w:rPr>
        <w:t>escaping from its designated plac</w:t>
      </w:r>
      <w:r>
        <w:rPr>
          <w:lang w:val="en-GB"/>
        </w:rPr>
        <w:t>e of residence or confinement.”</w:t>
      </w:r>
      <w:r w:rsidRPr="00EE702D">
        <w:rPr>
          <w:lang w:val="en-GB"/>
        </w:rPr>
        <w:t xml:space="preserve"> </w:t>
      </w:r>
      <w:r w:rsidR="00A72107">
        <w:fldChar w:fldCharType="begin"/>
      </w:r>
      <w:r w:rsidR="00A72107" w:rsidRPr="00F6098E">
        <w:rPr>
          <w:lang w:val="en-US"/>
        </w:rPr>
        <w:instrText xml:space="preserve"> REF _Ref406515493 \r \h  \* MERGEFORMAT </w:instrText>
      </w:r>
      <w:r w:rsidR="00A72107">
        <w:fldChar w:fldCharType="separate"/>
      </w:r>
      <w:r w:rsidR="00E62976" w:rsidRPr="00E62976">
        <w:rPr>
          <w:lang w:val="en-GB"/>
        </w:rPr>
        <w:t>[10]</w:t>
      </w:r>
      <w:r w:rsidR="00A72107">
        <w:fldChar w:fldCharType="end"/>
      </w:r>
      <w:r>
        <w:rPr>
          <w:lang w:val="en-GB"/>
        </w:rPr>
        <w:t>, p. 136,</w:t>
      </w:r>
    </w:p>
    <w:p w:rsidR="00EE702D" w:rsidRDefault="00A04C49" w:rsidP="00E62976">
      <w:pPr>
        <w:numPr>
          <w:ilvl w:val="0"/>
          <w:numId w:val="85"/>
        </w:numPr>
        <w:rPr>
          <w:lang w:val="en-GB"/>
        </w:rPr>
      </w:pPr>
      <w:r>
        <w:rPr>
          <w:lang w:val="en-GB"/>
        </w:rPr>
        <w:t xml:space="preserve">FA.12 </w:t>
      </w:r>
      <w:r w:rsidR="00EE702D">
        <w:rPr>
          <w:lang w:val="en-GB"/>
        </w:rPr>
        <w:t>“</w:t>
      </w:r>
      <w:r w:rsidR="00EE702D" w:rsidRPr="005079A3">
        <w:rPr>
          <w:lang w:val="en-GB"/>
        </w:rPr>
        <w:t>PSA should cover all significant sources of radioactivity, all permitted operating states and all relevant initiating faults</w:t>
      </w:r>
      <w:r w:rsidR="00EE702D">
        <w:rPr>
          <w:lang w:val="en-GB"/>
        </w:rPr>
        <w:t xml:space="preserve">” </w:t>
      </w:r>
      <w:r w:rsidR="00A72107">
        <w:fldChar w:fldCharType="begin"/>
      </w:r>
      <w:r w:rsidR="00A72107" w:rsidRPr="00F6098E">
        <w:rPr>
          <w:lang w:val="en-US"/>
        </w:rPr>
        <w:instrText xml:space="preserve"> REF _Ref406515493 \r \h  \* MERGEFORMAT </w:instrText>
      </w:r>
      <w:r w:rsidR="00A72107">
        <w:fldChar w:fldCharType="separate"/>
      </w:r>
      <w:r w:rsidR="00E62976" w:rsidRPr="00E62976">
        <w:rPr>
          <w:lang w:val="en-GB"/>
        </w:rPr>
        <w:t>[10]</w:t>
      </w:r>
      <w:r w:rsidR="00A72107">
        <w:fldChar w:fldCharType="end"/>
      </w:r>
      <w:r w:rsidR="00EE702D">
        <w:rPr>
          <w:lang w:val="en-GB"/>
        </w:rPr>
        <w:t>, p. 141,</w:t>
      </w:r>
      <w:r w:rsidR="00EE702D" w:rsidRPr="005079A3">
        <w:rPr>
          <w:lang w:val="en-GB"/>
        </w:rPr>
        <w:t xml:space="preserve"> </w:t>
      </w:r>
      <w:r>
        <w:rPr>
          <w:lang w:val="en-GB"/>
        </w:rPr>
        <w:t>and</w:t>
      </w:r>
    </w:p>
    <w:p w:rsidR="00EE702D" w:rsidRDefault="00EE702D" w:rsidP="00E62976">
      <w:pPr>
        <w:numPr>
          <w:ilvl w:val="0"/>
          <w:numId w:val="85"/>
        </w:numPr>
        <w:rPr>
          <w:lang w:val="en-GB"/>
        </w:rPr>
      </w:pPr>
      <w:r>
        <w:rPr>
          <w:lang w:val="en-GB"/>
        </w:rPr>
        <w:t>FA.13</w:t>
      </w:r>
      <w:r w:rsidR="00A04C49">
        <w:rPr>
          <w:lang w:val="en-GB"/>
        </w:rPr>
        <w:t xml:space="preserve"> </w:t>
      </w:r>
      <w:r>
        <w:rPr>
          <w:lang w:val="en-GB"/>
        </w:rPr>
        <w:t>“</w:t>
      </w:r>
      <w:r w:rsidRPr="00EE702D">
        <w:rPr>
          <w:lang w:val="en-GB"/>
        </w:rPr>
        <w:t>The PSA model should provide an adequate representation of the facility and/or site.</w:t>
      </w:r>
      <w:r>
        <w:rPr>
          <w:lang w:val="en-GB"/>
        </w:rPr>
        <w:t xml:space="preserve">” </w:t>
      </w:r>
      <w:r w:rsidR="00125AF4">
        <w:rPr>
          <w:lang w:val="en-GB"/>
        </w:rPr>
        <w:fldChar w:fldCharType="begin"/>
      </w:r>
      <w:r>
        <w:rPr>
          <w:lang w:val="en-GB"/>
        </w:rPr>
        <w:instrText xml:space="preserve"> REF _Ref406515493 \r \h </w:instrText>
      </w:r>
      <w:r w:rsidR="00125AF4">
        <w:rPr>
          <w:lang w:val="en-GB"/>
        </w:rPr>
      </w:r>
      <w:r w:rsidR="00125AF4">
        <w:rPr>
          <w:lang w:val="en-GB"/>
        </w:rPr>
        <w:fldChar w:fldCharType="separate"/>
      </w:r>
      <w:r w:rsidR="00E62976">
        <w:rPr>
          <w:lang w:val="en-GB"/>
        </w:rPr>
        <w:t>[10]</w:t>
      </w:r>
      <w:r w:rsidR="00125AF4">
        <w:rPr>
          <w:lang w:val="en-GB"/>
        </w:rPr>
        <w:fldChar w:fldCharType="end"/>
      </w:r>
      <w:r>
        <w:rPr>
          <w:lang w:val="en-GB"/>
        </w:rPr>
        <w:t>, p. 141.</w:t>
      </w:r>
    </w:p>
    <w:p w:rsidR="00A04C49" w:rsidRDefault="00A04C49" w:rsidP="005079A3">
      <w:pPr>
        <w:keepNext/>
        <w:rPr>
          <w:lang w:val="en-GB"/>
        </w:rPr>
      </w:pPr>
      <w:r>
        <w:rPr>
          <w:lang w:val="en-GB"/>
        </w:rPr>
        <w:t>Important requirements include</w:t>
      </w:r>
      <w:r w:rsidR="00EE702D">
        <w:rPr>
          <w:lang w:val="en-GB"/>
        </w:rPr>
        <w:t xml:space="preserve"> </w:t>
      </w:r>
      <w:r w:rsidR="00125AF4">
        <w:rPr>
          <w:lang w:val="en-GB"/>
        </w:rPr>
        <w:fldChar w:fldCharType="begin"/>
      </w:r>
      <w:r w:rsidR="00EE702D">
        <w:rPr>
          <w:lang w:val="en-GB"/>
        </w:rPr>
        <w:instrText xml:space="preserve"> REF _Ref406515493 \r \h </w:instrText>
      </w:r>
      <w:r w:rsidR="00125AF4">
        <w:rPr>
          <w:lang w:val="en-GB"/>
        </w:rPr>
      </w:r>
      <w:r w:rsidR="00125AF4">
        <w:rPr>
          <w:lang w:val="en-GB"/>
        </w:rPr>
        <w:fldChar w:fldCharType="separate"/>
      </w:r>
      <w:r w:rsidR="00E62976">
        <w:rPr>
          <w:lang w:val="en-GB"/>
        </w:rPr>
        <w:t>[10]</w:t>
      </w:r>
      <w:r w:rsidR="00125AF4">
        <w:rPr>
          <w:lang w:val="en-GB"/>
        </w:rPr>
        <w:fldChar w:fldCharType="end"/>
      </w:r>
      <w:r w:rsidR="00EE702D">
        <w:rPr>
          <w:lang w:val="en-GB"/>
        </w:rPr>
        <w:t>, p. 141f,</w:t>
      </w:r>
    </w:p>
    <w:p w:rsidR="00A04C49" w:rsidRPr="00EE702D" w:rsidRDefault="00EE702D" w:rsidP="00E62976">
      <w:pPr>
        <w:numPr>
          <w:ilvl w:val="0"/>
          <w:numId w:val="85"/>
        </w:numPr>
        <w:rPr>
          <w:lang w:val="en-GB"/>
        </w:rPr>
      </w:pPr>
      <w:r>
        <w:rPr>
          <w:lang w:val="en-GB"/>
        </w:rPr>
        <w:t>“</w:t>
      </w:r>
      <w:r w:rsidRPr="00EE702D">
        <w:rPr>
          <w:lang w:val="en-GB"/>
        </w:rPr>
        <w:t>Screening</w:t>
      </w:r>
      <w:r>
        <w:rPr>
          <w:lang w:val="en-GB"/>
        </w:rPr>
        <w:t xml:space="preserve"> </w:t>
      </w:r>
      <w:r w:rsidRPr="00EE702D">
        <w:rPr>
          <w:lang w:val="en-GB"/>
        </w:rPr>
        <w:t>criteria used to exclude low frequency faults should be justified</w:t>
      </w:r>
      <w:r w:rsidR="00A04C49" w:rsidRPr="00EE702D">
        <w:rPr>
          <w:lang w:val="en-GB"/>
        </w:rPr>
        <w:t>.</w:t>
      </w:r>
      <w:r>
        <w:rPr>
          <w:lang w:val="en-GB"/>
        </w:rPr>
        <w:t>”</w:t>
      </w:r>
    </w:p>
    <w:p w:rsidR="00EE702D" w:rsidRDefault="00EE702D" w:rsidP="00E62976">
      <w:pPr>
        <w:numPr>
          <w:ilvl w:val="0"/>
          <w:numId w:val="85"/>
        </w:numPr>
        <w:rPr>
          <w:lang w:val="en-GB"/>
        </w:rPr>
      </w:pPr>
      <w:r>
        <w:rPr>
          <w:lang w:val="en-GB"/>
        </w:rPr>
        <w:t>“</w:t>
      </w:r>
      <w:r w:rsidRPr="00EE702D">
        <w:rPr>
          <w:lang w:val="en-GB"/>
        </w:rPr>
        <w:t>The identification of initiating faults should consider the potential for combinations of hazards. At multi-facility sites, the analysis should also consider the potential for specific initiating faults giving rise to simultaneous impacts on several facilities or for</w:t>
      </w:r>
      <w:r>
        <w:rPr>
          <w:lang w:val="en-GB"/>
        </w:rPr>
        <w:t xml:space="preserve"> </w:t>
      </w:r>
      <w:r w:rsidRPr="00EE702D">
        <w:rPr>
          <w:lang w:val="en-GB"/>
        </w:rPr>
        <w:t>faults in one facility to impact another facility</w:t>
      </w:r>
      <w:r>
        <w:rPr>
          <w:lang w:val="en-GB"/>
        </w:rPr>
        <w:t>.”</w:t>
      </w:r>
    </w:p>
    <w:p w:rsidR="00A04C49" w:rsidRPr="00EE702D" w:rsidRDefault="00EE702D" w:rsidP="00E62976">
      <w:pPr>
        <w:numPr>
          <w:ilvl w:val="0"/>
          <w:numId w:val="85"/>
        </w:numPr>
        <w:rPr>
          <w:lang w:val="en-GB"/>
        </w:rPr>
      </w:pPr>
      <w:r w:rsidRPr="00EE702D">
        <w:rPr>
          <w:lang w:val="en-GB"/>
        </w:rPr>
        <w:t>“Where groups are used to represent several initiating faults or fault sequences, the group should be assigned a frequency equal to the summed frequency of the</w:t>
      </w:r>
      <w:r>
        <w:rPr>
          <w:lang w:val="en-GB"/>
        </w:rPr>
        <w:t xml:space="preserve"> </w:t>
      </w:r>
      <w:r w:rsidRPr="00EE702D">
        <w:rPr>
          <w:lang w:val="en-GB"/>
        </w:rPr>
        <w:t>contributors to the group and should be represented by the most onerous one.</w:t>
      </w:r>
      <w:r>
        <w:rPr>
          <w:lang w:val="en-GB"/>
        </w:rPr>
        <w:t>”</w:t>
      </w:r>
    </w:p>
    <w:p w:rsidR="00EE702D" w:rsidRDefault="00EE702D" w:rsidP="00A93B29">
      <w:pPr>
        <w:rPr>
          <w:lang w:val="en-GB"/>
        </w:rPr>
      </w:pPr>
      <w:r>
        <w:rPr>
          <w:lang w:val="en-GB"/>
        </w:rPr>
        <w:t>More s</w:t>
      </w:r>
      <w:r w:rsidR="00A04C49">
        <w:rPr>
          <w:lang w:val="en-GB"/>
        </w:rPr>
        <w:t>pecific r</w:t>
      </w:r>
      <w:r w:rsidR="00A04C49" w:rsidRPr="005079A3">
        <w:rPr>
          <w:lang w:val="en-GB"/>
        </w:rPr>
        <w:t xml:space="preserve">egulatory </w:t>
      </w:r>
      <w:r w:rsidR="00A04C49">
        <w:rPr>
          <w:lang w:val="en-GB"/>
        </w:rPr>
        <w:t xml:space="preserve">expectations on screening for PSA are defined in ONR’s guide on PSA NS-TAST-GD-030, Rev. 4 </w:t>
      </w:r>
      <w:r w:rsidR="00F6098E">
        <w:rPr>
          <w:lang w:val="en-GB"/>
        </w:rPr>
        <w:fldChar w:fldCharType="begin"/>
      </w:r>
      <w:r w:rsidR="00F6098E">
        <w:rPr>
          <w:lang w:val="en-GB"/>
        </w:rPr>
        <w:instrText xml:space="preserve"> REF _Ref406515522 \w \h </w:instrText>
      </w:r>
      <w:r w:rsidR="00F6098E">
        <w:rPr>
          <w:lang w:val="en-GB"/>
        </w:rPr>
      </w:r>
      <w:r w:rsidR="00F6098E">
        <w:rPr>
          <w:lang w:val="en-GB"/>
        </w:rPr>
        <w:fldChar w:fldCharType="separate"/>
      </w:r>
      <w:r w:rsidR="00E62976">
        <w:rPr>
          <w:lang w:val="en-GB"/>
        </w:rPr>
        <w:t>[36]</w:t>
      </w:r>
      <w:r w:rsidR="00F6098E">
        <w:rPr>
          <w:lang w:val="en-GB"/>
        </w:rPr>
        <w:fldChar w:fldCharType="end"/>
      </w:r>
      <w:r w:rsidR="00A04C49">
        <w:rPr>
          <w:lang w:val="en-GB"/>
        </w:rPr>
        <w:t xml:space="preserve">. </w:t>
      </w:r>
      <w:r>
        <w:rPr>
          <w:lang w:val="en-GB"/>
        </w:rPr>
        <w:t>These include the following.</w:t>
      </w:r>
    </w:p>
    <w:p w:rsidR="00EE702D" w:rsidRDefault="00EE702D" w:rsidP="00E62976">
      <w:pPr>
        <w:numPr>
          <w:ilvl w:val="0"/>
          <w:numId w:val="85"/>
        </w:numPr>
        <w:rPr>
          <w:lang w:val="en-GB"/>
        </w:rPr>
      </w:pPr>
      <w:r>
        <w:rPr>
          <w:lang w:val="en-GB"/>
        </w:rPr>
        <w:t>ONR requires a PSA Level 1, Level 2, and Level 3.</w:t>
      </w:r>
    </w:p>
    <w:p w:rsidR="00EE702D" w:rsidRDefault="00EE702D" w:rsidP="00E62976">
      <w:pPr>
        <w:numPr>
          <w:ilvl w:val="0"/>
          <w:numId w:val="85"/>
        </w:numPr>
        <w:rPr>
          <w:lang w:val="en-GB"/>
        </w:rPr>
      </w:pPr>
      <w:r>
        <w:rPr>
          <w:lang w:val="en-GB"/>
        </w:rPr>
        <w:t>“</w:t>
      </w:r>
      <w:r w:rsidRPr="00EE702D">
        <w:rPr>
          <w:lang w:val="en-GB"/>
        </w:rPr>
        <w:t>The overall risk analysis of the NPP covers all sources of radioactivity at the facility (reactor core, fuel ponds, fuel handling facili</w:t>
      </w:r>
      <w:r>
        <w:rPr>
          <w:lang w:val="en-GB"/>
        </w:rPr>
        <w:t>ties, waste storage tanks, etc</w:t>
      </w:r>
      <w:r w:rsidR="00D65105">
        <w:rPr>
          <w:lang w:val="en-GB"/>
        </w:rPr>
        <w:t>.</w:t>
      </w:r>
      <w:r>
        <w:rPr>
          <w:lang w:val="en-GB"/>
        </w:rPr>
        <w:t>)</w:t>
      </w:r>
      <w:r w:rsidRPr="00EE702D">
        <w:rPr>
          <w:lang w:val="en-GB"/>
        </w:rPr>
        <w:t>.</w:t>
      </w:r>
      <w:r>
        <w:rPr>
          <w:lang w:val="en-GB"/>
        </w:rPr>
        <w:t>”</w:t>
      </w:r>
      <w:r w:rsidRPr="00EE702D">
        <w:rPr>
          <w:lang w:val="en-GB"/>
        </w:rPr>
        <w:t xml:space="preserve"> </w:t>
      </w:r>
      <w:r w:rsidR="00D65105">
        <w:rPr>
          <w:lang w:val="en-GB"/>
        </w:rPr>
        <w:fldChar w:fldCharType="begin"/>
      </w:r>
      <w:r w:rsidR="00D65105">
        <w:rPr>
          <w:lang w:val="en-GB"/>
        </w:rPr>
        <w:instrText xml:space="preserve"> REF _Ref406515522 \w \h </w:instrText>
      </w:r>
      <w:r w:rsidR="00D65105">
        <w:rPr>
          <w:lang w:val="en-GB"/>
        </w:rPr>
      </w:r>
      <w:r w:rsidR="00D65105">
        <w:rPr>
          <w:lang w:val="en-GB"/>
        </w:rPr>
        <w:fldChar w:fldCharType="separate"/>
      </w:r>
      <w:r w:rsidR="00E62976">
        <w:rPr>
          <w:lang w:val="en-GB"/>
        </w:rPr>
        <w:t>[36]</w:t>
      </w:r>
      <w:r w:rsidR="00D65105">
        <w:rPr>
          <w:lang w:val="en-GB"/>
        </w:rPr>
        <w:fldChar w:fldCharType="end"/>
      </w:r>
      <w:r>
        <w:rPr>
          <w:lang w:val="en-GB"/>
        </w:rPr>
        <w:t>, p. 26</w:t>
      </w:r>
    </w:p>
    <w:p w:rsidR="00EE702D" w:rsidRDefault="00EE702D" w:rsidP="00E62976">
      <w:pPr>
        <w:numPr>
          <w:ilvl w:val="0"/>
          <w:numId w:val="85"/>
        </w:numPr>
        <w:rPr>
          <w:lang w:val="en-GB"/>
        </w:rPr>
      </w:pPr>
      <w:r>
        <w:rPr>
          <w:lang w:val="en-GB"/>
        </w:rPr>
        <w:t>The PSA is made for all type of initiating events and hazard scenarios and for all operational modes.</w:t>
      </w:r>
    </w:p>
    <w:p w:rsidR="00EE702D" w:rsidRPr="00EE702D" w:rsidRDefault="00EE702D" w:rsidP="00E62976">
      <w:pPr>
        <w:numPr>
          <w:ilvl w:val="0"/>
          <w:numId w:val="85"/>
        </w:numPr>
        <w:rPr>
          <w:lang w:val="en-GB"/>
        </w:rPr>
      </w:pPr>
      <w:r>
        <w:rPr>
          <w:lang w:val="en-GB"/>
        </w:rPr>
        <w:t xml:space="preserve">Risk measures of interest are core damage frequency for PSA Level 1 </w:t>
      </w:r>
      <w:r w:rsidR="00D65105">
        <w:rPr>
          <w:lang w:val="en-GB"/>
        </w:rPr>
        <w:fldChar w:fldCharType="begin"/>
      </w:r>
      <w:r w:rsidR="00D65105">
        <w:rPr>
          <w:lang w:val="en-GB"/>
        </w:rPr>
        <w:instrText xml:space="preserve"> REF _Ref406515522 \w \h </w:instrText>
      </w:r>
      <w:r w:rsidR="00D65105">
        <w:rPr>
          <w:lang w:val="en-GB"/>
        </w:rPr>
      </w:r>
      <w:r w:rsidR="00D65105">
        <w:rPr>
          <w:lang w:val="en-GB"/>
        </w:rPr>
        <w:fldChar w:fldCharType="separate"/>
      </w:r>
      <w:r w:rsidR="00E62976">
        <w:rPr>
          <w:lang w:val="en-GB"/>
        </w:rPr>
        <w:t>[36]</w:t>
      </w:r>
      <w:r w:rsidR="00D65105">
        <w:rPr>
          <w:lang w:val="en-GB"/>
        </w:rPr>
        <w:fldChar w:fldCharType="end"/>
      </w:r>
      <w:r>
        <w:rPr>
          <w:lang w:val="en-GB"/>
        </w:rPr>
        <w:t xml:space="preserve">, p. 27 and large release frequency as well as large early release frequency for PSA Level 3 </w:t>
      </w:r>
      <w:r w:rsidR="00D65105">
        <w:rPr>
          <w:lang w:val="en-GB"/>
        </w:rPr>
        <w:fldChar w:fldCharType="begin"/>
      </w:r>
      <w:r w:rsidR="00D65105">
        <w:rPr>
          <w:lang w:val="en-GB"/>
        </w:rPr>
        <w:instrText xml:space="preserve"> REF _Ref406515522 \w \h </w:instrText>
      </w:r>
      <w:r w:rsidR="00D65105">
        <w:rPr>
          <w:lang w:val="en-GB"/>
        </w:rPr>
      </w:r>
      <w:r w:rsidR="00D65105">
        <w:rPr>
          <w:lang w:val="en-GB"/>
        </w:rPr>
        <w:fldChar w:fldCharType="separate"/>
      </w:r>
      <w:r w:rsidR="00E62976">
        <w:rPr>
          <w:lang w:val="en-GB"/>
        </w:rPr>
        <w:t>[36]</w:t>
      </w:r>
      <w:r w:rsidR="00D65105">
        <w:rPr>
          <w:lang w:val="en-GB"/>
        </w:rPr>
        <w:fldChar w:fldCharType="end"/>
      </w:r>
      <w:r>
        <w:rPr>
          <w:lang w:val="en-GB"/>
        </w:rPr>
        <w:t xml:space="preserve">, p. 63f </w:t>
      </w:r>
    </w:p>
    <w:p w:rsidR="00EE702D" w:rsidRDefault="00CE24BC" w:rsidP="00E62976">
      <w:pPr>
        <w:numPr>
          <w:ilvl w:val="0"/>
          <w:numId w:val="85"/>
        </w:numPr>
        <w:rPr>
          <w:lang w:val="en-GB"/>
        </w:rPr>
      </w:pPr>
      <w:r>
        <w:rPr>
          <w:lang w:val="en-GB"/>
        </w:rPr>
        <w:t>For initiating event identification, “</w:t>
      </w:r>
      <w:r w:rsidRPr="00CE24BC">
        <w:rPr>
          <w:lang w:val="en-GB"/>
        </w:rPr>
        <w:t>all disturbances that require mitigation to prevent core damage and those that lead directly to core damage</w:t>
      </w:r>
      <w:r>
        <w:rPr>
          <w:lang w:val="en-GB"/>
        </w:rPr>
        <w:t xml:space="preserve"> [are addressed]” </w:t>
      </w:r>
      <w:r w:rsidR="00D65105">
        <w:rPr>
          <w:lang w:val="en-GB"/>
        </w:rPr>
        <w:fldChar w:fldCharType="begin"/>
      </w:r>
      <w:r w:rsidR="00D65105">
        <w:rPr>
          <w:lang w:val="en-GB"/>
        </w:rPr>
        <w:instrText xml:space="preserve"> REF _Ref406515522 \w \h </w:instrText>
      </w:r>
      <w:r w:rsidR="00D65105">
        <w:rPr>
          <w:lang w:val="en-GB"/>
        </w:rPr>
      </w:r>
      <w:r w:rsidR="00D65105">
        <w:rPr>
          <w:lang w:val="en-GB"/>
        </w:rPr>
        <w:fldChar w:fldCharType="separate"/>
      </w:r>
      <w:r w:rsidR="00E62976">
        <w:rPr>
          <w:lang w:val="en-GB"/>
        </w:rPr>
        <w:t>[36]</w:t>
      </w:r>
      <w:r w:rsidR="00D65105">
        <w:rPr>
          <w:lang w:val="en-GB"/>
        </w:rPr>
        <w:fldChar w:fldCharType="end"/>
      </w:r>
      <w:r w:rsidRPr="00CE24BC">
        <w:rPr>
          <w:lang w:val="en-GB"/>
        </w:rPr>
        <w:t>, p. 27</w:t>
      </w:r>
    </w:p>
    <w:p w:rsidR="00CE24BC" w:rsidRDefault="00CE24BC" w:rsidP="00E62976">
      <w:pPr>
        <w:numPr>
          <w:ilvl w:val="0"/>
          <w:numId w:val="85"/>
        </w:numPr>
        <w:rPr>
          <w:lang w:val="en-GB"/>
        </w:rPr>
      </w:pPr>
      <w:r>
        <w:rPr>
          <w:lang w:val="en-GB"/>
        </w:rPr>
        <w:t>Regarding grouping, “</w:t>
      </w:r>
      <w:r w:rsidRPr="00CE24BC">
        <w:rPr>
          <w:lang w:val="en-GB"/>
        </w:rPr>
        <w:t>The process for grouping initiating faults is clear, i.e. the grouping criteria and the mapping to derive the final initiating fault groups are transparent</w:t>
      </w:r>
      <w:r>
        <w:rPr>
          <w:lang w:val="en-GB"/>
        </w:rPr>
        <w:t>.”</w:t>
      </w:r>
      <w:r w:rsidR="00F86DC3">
        <w:rPr>
          <w:lang w:val="en-GB"/>
        </w:rPr>
        <w:t xml:space="preserve"> </w:t>
      </w:r>
      <w:r w:rsidR="00D65105">
        <w:rPr>
          <w:lang w:val="en-GB"/>
        </w:rPr>
        <w:fldChar w:fldCharType="begin"/>
      </w:r>
      <w:r w:rsidR="00D65105">
        <w:rPr>
          <w:lang w:val="en-GB"/>
        </w:rPr>
        <w:instrText xml:space="preserve"> REF _Ref406515522 \w \h </w:instrText>
      </w:r>
      <w:r w:rsidR="00D65105">
        <w:rPr>
          <w:lang w:val="en-GB"/>
        </w:rPr>
      </w:r>
      <w:r w:rsidR="00D65105">
        <w:rPr>
          <w:lang w:val="en-GB"/>
        </w:rPr>
        <w:fldChar w:fldCharType="separate"/>
      </w:r>
      <w:r w:rsidR="00E62976">
        <w:rPr>
          <w:lang w:val="en-GB"/>
        </w:rPr>
        <w:t>[36]</w:t>
      </w:r>
      <w:r w:rsidR="00D65105">
        <w:rPr>
          <w:lang w:val="en-GB"/>
        </w:rPr>
        <w:fldChar w:fldCharType="end"/>
      </w:r>
      <w:r w:rsidR="002569FE" w:rsidRPr="00CE24BC">
        <w:rPr>
          <w:lang w:val="en-GB"/>
        </w:rPr>
        <w:t>, p. 2</w:t>
      </w:r>
      <w:r w:rsidR="002569FE">
        <w:rPr>
          <w:lang w:val="en-GB"/>
        </w:rPr>
        <w:t>8. The group is represented by a bounding (most onerous) scenario, which is clearly described.</w:t>
      </w:r>
    </w:p>
    <w:p w:rsidR="002569FE" w:rsidRDefault="002569FE" w:rsidP="00E62976">
      <w:pPr>
        <w:numPr>
          <w:ilvl w:val="0"/>
          <w:numId w:val="85"/>
        </w:numPr>
        <w:rPr>
          <w:lang w:val="en-GB"/>
        </w:rPr>
      </w:pPr>
      <w:r>
        <w:rPr>
          <w:lang w:val="en-GB"/>
        </w:rPr>
        <w:t>Regarding hazards screening, “[t]</w:t>
      </w:r>
      <w:r w:rsidRPr="002569FE">
        <w:rPr>
          <w:lang w:val="en-GB"/>
        </w:rPr>
        <w:t>he approach and criteria for the screening of hazards are auditable and justified.</w:t>
      </w:r>
      <w:r>
        <w:rPr>
          <w:lang w:val="en-GB"/>
        </w:rPr>
        <w:t xml:space="preserve">” </w:t>
      </w:r>
      <w:r w:rsidR="00F6098E">
        <w:rPr>
          <w:lang w:val="en-GB"/>
        </w:rPr>
        <w:fldChar w:fldCharType="begin"/>
      </w:r>
      <w:r w:rsidR="00F6098E">
        <w:rPr>
          <w:lang w:val="en-GB"/>
        </w:rPr>
        <w:instrText xml:space="preserve"> REF _Ref406515522 \w \h </w:instrText>
      </w:r>
      <w:r w:rsidR="00F6098E">
        <w:rPr>
          <w:lang w:val="en-GB"/>
        </w:rPr>
      </w:r>
      <w:r w:rsidR="00F6098E">
        <w:rPr>
          <w:lang w:val="en-GB"/>
        </w:rPr>
        <w:fldChar w:fldCharType="separate"/>
      </w:r>
      <w:r w:rsidR="00E62976">
        <w:rPr>
          <w:lang w:val="en-GB"/>
        </w:rPr>
        <w:t>[36]</w:t>
      </w:r>
      <w:r w:rsidR="00F6098E">
        <w:rPr>
          <w:lang w:val="en-GB"/>
        </w:rPr>
        <w:fldChar w:fldCharType="end"/>
      </w:r>
      <w:r>
        <w:rPr>
          <w:lang w:val="en-GB"/>
        </w:rPr>
        <w:t>, p. 46. Applicable to the plant and reasons for exclusion from analysis are clearly explained.</w:t>
      </w:r>
    </w:p>
    <w:p w:rsidR="002569FE" w:rsidRPr="00EE702D" w:rsidRDefault="002569FE" w:rsidP="00E62976">
      <w:pPr>
        <w:numPr>
          <w:ilvl w:val="0"/>
          <w:numId w:val="85"/>
        </w:numPr>
        <w:rPr>
          <w:lang w:val="en-GB"/>
        </w:rPr>
      </w:pPr>
      <w:r>
        <w:rPr>
          <w:lang w:val="en-GB"/>
        </w:rPr>
        <w:t xml:space="preserve">ONR’s PSA guide </w:t>
      </w:r>
      <w:r w:rsidR="00F6098E">
        <w:rPr>
          <w:lang w:val="en-GB"/>
        </w:rPr>
        <w:fldChar w:fldCharType="begin"/>
      </w:r>
      <w:r w:rsidR="00F6098E">
        <w:rPr>
          <w:lang w:val="en-GB"/>
        </w:rPr>
        <w:instrText xml:space="preserve"> REF _Ref406515522 \w \h </w:instrText>
      </w:r>
      <w:r w:rsidR="00F6098E">
        <w:rPr>
          <w:lang w:val="en-GB"/>
        </w:rPr>
      </w:r>
      <w:r w:rsidR="00F6098E">
        <w:rPr>
          <w:lang w:val="en-GB"/>
        </w:rPr>
        <w:fldChar w:fldCharType="separate"/>
      </w:r>
      <w:r w:rsidR="00E62976">
        <w:rPr>
          <w:lang w:val="en-GB"/>
        </w:rPr>
        <w:t>[36]</w:t>
      </w:r>
      <w:r w:rsidR="00F6098E">
        <w:rPr>
          <w:lang w:val="en-GB"/>
        </w:rPr>
        <w:fldChar w:fldCharType="end"/>
      </w:r>
      <w:r>
        <w:rPr>
          <w:lang w:val="en-GB"/>
        </w:rPr>
        <w:t xml:space="preserve"> includes further specific guidance on internal fires, internal flooding, and seismic analysis.</w:t>
      </w:r>
    </w:p>
    <w:p w:rsidR="008A0264" w:rsidRDefault="008A0264" w:rsidP="00A93B29">
      <w:pPr>
        <w:rPr>
          <w:lang w:val="en-GB"/>
        </w:rPr>
      </w:pPr>
    </w:p>
    <w:p w:rsidR="00C971D1" w:rsidRPr="00E20701" w:rsidRDefault="00C971D1" w:rsidP="00C971D1">
      <w:pPr>
        <w:pStyle w:val="Titre3"/>
        <w:rPr>
          <w:lang w:val="en-GB"/>
        </w:rPr>
      </w:pPr>
      <w:bookmarkStart w:id="435" w:name="_Toc473303568"/>
      <w:r w:rsidRPr="00E20701">
        <w:rPr>
          <w:lang w:val="en-GB"/>
        </w:rPr>
        <w:t>Ukraine</w:t>
      </w:r>
      <w:bookmarkEnd w:id="435"/>
      <w:r w:rsidRPr="00E20701">
        <w:rPr>
          <w:lang w:val="en-GB"/>
        </w:rPr>
        <w:t xml:space="preserve"> </w:t>
      </w:r>
    </w:p>
    <w:p w:rsidR="00C971D1" w:rsidRPr="00E20701" w:rsidRDefault="00C971D1" w:rsidP="00C971D1">
      <w:pPr>
        <w:rPr>
          <w:lang w:val="en-GB"/>
        </w:rPr>
      </w:pPr>
      <w:r w:rsidRPr="00E20701">
        <w:rPr>
          <w:lang w:val="en-GB"/>
        </w:rPr>
        <w:t>The main regulatory basis of the IE identification procedure, as well as for other PSA technical elements is GND 306.7.02 2.048-01 “Methodology for review of the PSA attached to report on safety analysis of power units operated at NPP”. This document contains an overalls approach and acceptance criteria for regulatory review of PSA and also can be used as recommendations for PSA development.</w:t>
      </w:r>
    </w:p>
    <w:p w:rsidR="00C971D1" w:rsidRPr="00E20701" w:rsidRDefault="00C971D1" w:rsidP="00C971D1">
      <w:pPr>
        <w:rPr>
          <w:lang w:val="en-GB"/>
        </w:rPr>
      </w:pPr>
    </w:p>
    <w:p w:rsidR="00C971D1" w:rsidRPr="00E20701" w:rsidRDefault="00C971D1" w:rsidP="00C971D1">
      <w:pPr>
        <w:rPr>
          <w:lang w:val="en-GB"/>
        </w:rPr>
      </w:pPr>
      <w:r w:rsidRPr="00E20701">
        <w:rPr>
          <w:lang w:val="en-GB"/>
        </w:rPr>
        <w:t xml:space="preserve">The IE identification approach for postulated initiating events (PIE) is similar to approach presented in Section </w:t>
      </w:r>
      <w:r w:rsidR="009A6DAE">
        <w:rPr>
          <w:lang w:val="en-GB"/>
        </w:rPr>
        <w:fldChar w:fldCharType="begin"/>
      </w:r>
      <w:r w:rsidR="009A6DAE">
        <w:rPr>
          <w:lang w:val="en-GB"/>
        </w:rPr>
        <w:instrText xml:space="preserve"> REF _Ref444952891 \w \h </w:instrText>
      </w:r>
      <w:r w:rsidR="009A6DAE">
        <w:rPr>
          <w:lang w:val="en-GB"/>
        </w:rPr>
      </w:r>
      <w:r w:rsidR="009A6DAE">
        <w:rPr>
          <w:lang w:val="en-GB"/>
        </w:rPr>
        <w:fldChar w:fldCharType="separate"/>
      </w:r>
      <w:r w:rsidR="00E62976">
        <w:rPr>
          <w:lang w:val="en-GB"/>
        </w:rPr>
        <w:t>4</w:t>
      </w:r>
      <w:r w:rsidR="009A6DAE">
        <w:rPr>
          <w:lang w:val="en-GB"/>
        </w:rPr>
        <w:fldChar w:fldCharType="end"/>
      </w:r>
      <w:r w:rsidRPr="00E20701">
        <w:rPr>
          <w:lang w:val="en-GB"/>
        </w:rPr>
        <w:t xml:space="preserve">, with small differences in subdivision of PIE </w:t>
      </w:r>
      <w:r w:rsidRPr="006E363D">
        <w:rPr>
          <w:lang w:val="en-GB"/>
        </w:rPr>
        <w:t xml:space="preserve">group differences. According to NP 306.2.162-2010 «Requirements for NPP safety assessment», anticipated operational </w:t>
      </w:r>
      <w:r w:rsidR="0009793E" w:rsidRPr="006E363D">
        <w:rPr>
          <w:lang w:val="en-GB"/>
        </w:rPr>
        <w:t>occurrences</w:t>
      </w:r>
      <w:r w:rsidRPr="006E363D">
        <w:rPr>
          <w:lang w:val="en-GB"/>
        </w:rPr>
        <w:t xml:space="preserve"> are events with frequ</w:t>
      </w:r>
      <w:r w:rsidR="0009793E" w:rsidRPr="006E363D">
        <w:rPr>
          <w:lang w:val="en-GB"/>
        </w:rPr>
        <w:t>e</w:t>
      </w:r>
      <w:r w:rsidRPr="006E363D">
        <w:rPr>
          <w:lang w:val="en-GB"/>
        </w:rPr>
        <w:t>ncy more than 10</w:t>
      </w:r>
      <w:r w:rsidRPr="006E363D">
        <w:rPr>
          <w:vertAlign w:val="superscript"/>
          <w:lang w:val="en-GB"/>
        </w:rPr>
        <w:t>-2</w:t>
      </w:r>
      <w:r w:rsidRPr="006E363D">
        <w:rPr>
          <w:lang w:val="en-GB"/>
        </w:rPr>
        <w:t>/</w:t>
      </w:r>
      <w:r w:rsidR="006E363D" w:rsidRPr="006E363D">
        <w:rPr>
          <w:lang w:val="en-GB"/>
        </w:rPr>
        <w:t>a</w:t>
      </w:r>
      <w:r w:rsidRPr="006E363D">
        <w:rPr>
          <w:lang w:val="en-GB"/>
        </w:rPr>
        <w:t>, design basis accidents – 10</w:t>
      </w:r>
      <w:r w:rsidRPr="006E363D">
        <w:rPr>
          <w:vertAlign w:val="superscript"/>
          <w:lang w:val="en-GB"/>
        </w:rPr>
        <w:t>-5</w:t>
      </w:r>
      <w:r w:rsidRPr="006E363D">
        <w:rPr>
          <w:lang w:val="en-GB"/>
        </w:rPr>
        <w:t xml:space="preserve"> – 10</w:t>
      </w:r>
      <w:r w:rsidRPr="006E363D">
        <w:rPr>
          <w:vertAlign w:val="superscript"/>
          <w:lang w:val="en-GB"/>
        </w:rPr>
        <w:t>-2</w:t>
      </w:r>
      <w:r w:rsidRPr="006E363D">
        <w:rPr>
          <w:lang w:val="en-GB"/>
        </w:rPr>
        <w:t>/</w:t>
      </w:r>
      <w:r w:rsidR="006E363D" w:rsidRPr="006E363D">
        <w:rPr>
          <w:lang w:val="en-GB"/>
        </w:rPr>
        <w:t>a</w:t>
      </w:r>
      <w:r w:rsidRPr="006E363D">
        <w:rPr>
          <w:lang w:val="en-GB"/>
        </w:rPr>
        <w:t>, for BDBA and</w:t>
      </w:r>
      <w:r w:rsidRPr="00E20701">
        <w:rPr>
          <w:lang w:val="en-GB"/>
        </w:rPr>
        <w:t xml:space="preserve"> severe accidents frequencies has not been indicated.</w:t>
      </w:r>
    </w:p>
    <w:p w:rsidR="00C971D1" w:rsidRPr="00E20701" w:rsidRDefault="00C971D1" w:rsidP="00C971D1">
      <w:pPr>
        <w:rPr>
          <w:lang w:val="en-GB"/>
        </w:rPr>
      </w:pPr>
    </w:p>
    <w:p w:rsidR="00C971D1" w:rsidRPr="00E20701" w:rsidRDefault="00C971D1" w:rsidP="00C971D1">
      <w:pPr>
        <w:rPr>
          <w:lang w:val="en-GB"/>
        </w:rPr>
      </w:pPr>
      <w:r w:rsidRPr="00E20701">
        <w:rPr>
          <w:lang w:val="en-GB"/>
        </w:rPr>
        <w:t>For the PSA Level 1 purpose a blended approach, combination of top-down analysis (development of master plant logic diagram); using existent lists of initiating events; evaluation of operating experience and evaluation of plant documentation (emergency operating procedures, technical specifications, safety analysis reports, etc.) is used to develop comprehensive list of IEs. Quantitative screening criterion is only one: IE with frequency less than 10</w:t>
      </w:r>
      <w:r w:rsidRPr="004B3DA1">
        <w:rPr>
          <w:vertAlign w:val="superscript"/>
          <w:lang w:val="en-GB"/>
        </w:rPr>
        <w:t>-7</w:t>
      </w:r>
      <w:r w:rsidR="006E363D">
        <w:rPr>
          <w:lang w:val="en-GB"/>
        </w:rPr>
        <w:t>/a</w:t>
      </w:r>
      <w:r w:rsidRPr="00E20701">
        <w:rPr>
          <w:lang w:val="en-GB"/>
        </w:rPr>
        <w:t xml:space="preserve"> are excluded from detailed consideration.</w:t>
      </w:r>
    </w:p>
    <w:p w:rsidR="00C971D1" w:rsidRPr="00E20701" w:rsidRDefault="00C971D1" w:rsidP="00C971D1">
      <w:pPr>
        <w:rPr>
          <w:lang w:val="en-GB"/>
        </w:rPr>
      </w:pPr>
    </w:p>
    <w:p w:rsidR="00C971D1" w:rsidRPr="00E20701" w:rsidRDefault="00C971D1" w:rsidP="00C971D1">
      <w:pPr>
        <w:rPr>
          <w:lang w:val="en-GB"/>
        </w:rPr>
      </w:pPr>
      <w:r w:rsidRPr="00E20701">
        <w:rPr>
          <w:lang w:val="en-GB"/>
        </w:rPr>
        <w:t>Regarding identification of hazard, events are categorized in the following way: (1) internal hazards: fire, flood, dropped loads, etc.; (2) external (natural) hazards: earthquakes, hurricanes, floods, meteorites, lightning, etc.; (3) man-made hazards: aircraft crash, transport accidents, explosions, chemical or radioactive contamination of territory or atmosphere. The list of candidate hazards is then reduced by screening out those which: are not applicable to the site/plant; or are of negligible frequency as compared with CDF for internal IE; or have no significant impact on the plant. For man-made hazards the widespread method of screening is use of the screening distance value. An NPP is considered vulnerable to a particular external hazard if the frequency at which the external hazard can cause any plant end state to occur is significant compared to results from the Level 1 PRA of internal initiators. The frequency of an end state initiated by an external hazard is considered insignificant if: the frequency is more than a factor of 100 less than the frequency for the end state quantified in the Level 1 PRA of internal initiators; or the initiating event frequency is below 10</w:t>
      </w:r>
      <w:r w:rsidRPr="00E20701">
        <w:rPr>
          <w:vertAlign w:val="superscript"/>
          <w:lang w:val="en-GB"/>
        </w:rPr>
        <w:t>-7</w:t>
      </w:r>
      <w:r w:rsidR="006E363D">
        <w:rPr>
          <w:lang w:val="en-GB"/>
        </w:rPr>
        <w:t>/a</w:t>
      </w:r>
      <w:r w:rsidRPr="00E20701">
        <w:rPr>
          <w:lang w:val="en-GB"/>
        </w:rPr>
        <w:t>. However, sum of end state frequencies (i.e. CDF) should not more than 10% from total CDF resulted from PSA for internal IE.</w:t>
      </w:r>
    </w:p>
    <w:p w:rsidR="00C971D1" w:rsidRPr="00E20701" w:rsidRDefault="00C971D1" w:rsidP="00C971D1">
      <w:pPr>
        <w:rPr>
          <w:lang w:val="en-GB"/>
        </w:rPr>
      </w:pPr>
    </w:p>
    <w:p w:rsidR="00C971D1" w:rsidRPr="00E20701" w:rsidRDefault="00C971D1" w:rsidP="00C971D1">
      <w:pPr>
        <w:rPr>
          <w:lang w:val="en-GB"/>
        </w:rPr>
      </w:pPr>
      <w:r w:rsidRPr="00E20701">
        <w:rPr>
          <w:lang w:val="en-GB"/>
        </w:rPr>
        <w:t>Several methods are available to support the initial identification (initial screening) of hazards. Some hazard sources are too far removed from the NPP site to pose a risk to the plant. Many risk methods include screening criteria related to the separation between a hazard source and the site (e.g., the distance between the site and industrial facilities, airports, and transportation routes). When applicable screening criteria divulge that a hazard source is too far removed from the site to pose a risk, it can be concluded that NPP is not vulnerable to that hazard. So, under initial screening the following categories of criteria are used:</w:t>
      </w:r>
    </w:p>
    <w:p w:rsidR="00C971D1" w:rsidRPr="00E20701" w:rsidRDefault="00C971D1" w:rsidP="00E62976">
      <w:pPr>
        <w:numPr>
          <w:ilvl w:val="0"/>
          <w:numId w:val="90"/>
        </w:numPr>
        <w:rPr>
          <w:lang w:val="en-GB"/>
        </w:rPr>
      </w:pPr>
      <w:r w:rsidRPr="00E20701">
        <w:rPr>
          <w:lang w:val="en-GB"/>
        </w:rPr>
        <w:t>Distance from source of hazard to NPP or separate SSC at the site;</w:t>
      </w:r>
    </w:p>
    <w:p w:rsidR="00C971D1" w:rsidRPr="00E20701" w:rsidRDefault="00C971D1" w:rsidP="00E62976">
      <w:pPr>
        <w:numPr>
          <w:ilvl w:val="0"/>
          <w:numId w:val="90"/>
        </w:numPr>
        <w:rPr>
          <w:lang w:val="en-GB"/>
        </w:rPr>
      </w:pPr>
      <w:r w:rsidRPr="00E20701">
        <w:rPr>
          <w:lang w:val="en-GB"/>
        </w:rPr>
        <w:t>Possible damage to NPP from hazard does not exceed the effects of the internal IE or other event considered in the NPP design;</w:t>
      </w:r>
    </w:p>
    <w:p w:rsidR="00C971D1" w:rsidRPr="00E20701" w:rsidRDefault="00C971D1" w:rsidP="00E62976">
      <w:pPr>
        <w:numPr>
          <w:ilvl w:val="0"/>
          <w:numId w:val="90"/>
        </w:numPr>
        <w:rPr>
          <w:lang w:val="en-GB"/>
        </w:rPr>
      </w:pPr>
      <w:r w:rsidRPr="00E20701">
        <w:rPr>
          <w:lang w:val="en-GB"/>
        </w:rPr>
        <w:t>External hazard is a special case of other external hazard;</w:t>
      </w:r>
    </w:p>
    <w:p w:rsidR="00C971D1" w:rsidRPr="00E20701" w:rsidRDefault="00C971D1" w:rsidP="00E62976">
      <w:pPr>
        <w:numPr>
          <w:ilvl w:val="0"/>
          <w:numId w:val="90"/>
        </w:numPr>
        <w:rPr>
          <w:lang w:val="en-GB"/>
        </w:rPr>
      </w:pPr>
      <w:r w:rsidRPr="00E20701">
        <w:rPr>
          <w:lang w:val="en-GB"/>
        </w:rPr>
        <w:t>External hazard is characterized by conditions that are below the design limits;</w:t>
      </w:r>
    </w:p>
    <w:p w:rsidR="00C971D1" w:rsidRPr="00E20701" w:rsidRDefault="00C971D1" w:rsidP="00E62976">
      <w:pPr>
        <w:numPr>
          <w:ilvl w:val="0"/>
          <w:numId w:val="90"/>
        </w:numPr>
        <w:rPr>
          <w:lang w:val="en-GB"/>
        </w:rPr>
      </w:pPr>
      <w:r w:rsidRPr="00E20701">
        <w:rPr>
          <w:lang w:val="en-GB"/>
        </w:rPr>
        <w:t xml:space="preserve">External influences obviously </w:t>
      </w:r>
      <w:r w:rsidR="00C11F6C" w:rsidRPr="00E20701">
        <w:rPr>
          <w:lang w:val="en-GB"/>
        </w:rPr>
        <w:t>ha</w:t>
      </w:r>
      <w:r w:rsidR="00C11F6C">
        <w:rPr>
          <w:lang w:val="en-GB"/>
        </w:rPr>
        <w:t>ve</w:t>
      </w:r>
      <w:r w:rsidR="00C11F6C" w:rsidRPr="00E20701">
        <w:rPr>
          <w:lang w:val="en-GB"/>
        </w:rPr>
        <w:t xml:space="preserve"> </w:t>
      </w:r>
      <w:r w:rsidRPr="00E20701">
        <w:rPr>
          <w:lang w:val="en-GB"/>
        </w:rPr>
        <w:t>a much lower incid</w:t>
      </w:r>
      <w:r w:rsidR="00083EA7">
        <w:rPr>
          <w:lang w:val="en-GB"/>
        </w:rPr>
        <w:t>ence than other hazard, and can</w:t>
      </w:r>
      <w:r w:rsidRPr="00E20701">
        <w:rPr>
          <w:lang w:val="en-GB"/>
        </w:rPr>
        <w:t>not lead to more serious consequences.</w:t>
      </w:r>
    </w:p>
    <w:p w:rsidR="00C971D1" w:rsidRPr="00E20701" w:rsidRDefault="00C971D1" w:rsidP="00C971D1">
      <w:pPr>
        <w:rPr>
          <w:lang w:val="en-GB"/>
        </w:rPr>
      </w:pPr>
    </w:p>
    <w:p w:rsidR="00C971D1" w:rsidRDefault="00C971D1" w:rsidP="00C971D1">
      <w:pPr>
        <w:rPr>
          <w:lang w:val="en-GB"/>
        </w:rPr>
      </w:pPr>
      <w:r w:rsidRPr="00E20701">
        <w:rPr>
          <w:lang w:val="en-GB"/>
        </w:rPr>
        <w:t xml:space="preserve">Some hazards can easily be assessed without recourse to detailed computations. Meteor impact is an example, since it only depends on the area of the site. For such external hazards a quantitative comparison with results from the Level 1 PRA of internal initiators will disclose whether NPP Unit 1 is vulnerable. Also </w:t>
      </w:r>
      <w:r w:rsidR="00C11F6C">
        <w:rPr>
          <w:lang w:val="en-GB"/>
        </w:rPr>
        <w:t>i</w:t>
      </w:r>
      <w:r w:rsidRPr="00E20701">
        <w:rPr>
          <w:lang w:val="en-GB"/>
        </w:rPr>
        <w:t>t may be possible to perform bounding calculations to assess the impact of certain external hazards on NPP Unit 1. For example, if conservative blast analyses demonstrate that the shock wave resulting from an explosion at a nearby industrial facility or transportation corridor is incapable of damaging plant equipment to the point where a reactor trip occurs, it can be concluded that NPP Unit 1 is not vulnerable to the external hazard.</w:t>
      </w:r>
    </w:p>
    <w:p w:rsidR="00A93B29" w:rsidRPr="00E20701" w:rsidRDefault="00A93B29" w:rsidP="00A93B29">
      <w:pPr>
        <w:pStyle w:val="Titre3"/>
        <w:rPr>
          <w:lang w:val="en-GB"/>
        </w:rPr>
      </w:pPr>
      <w:bookmarkStart w:id="436" w:name="_Toc473303569"/>
      <w:r w:rsidRPr="00E20701">
        <w:rPr>
          <w:lang w:val="en-GB"/>
        </w:rPr>
        <w:t>USA</w:t>
      </w:r>
      <w:bookmarkEnd w:id="436"/>
    </w:p>
    <w:p w:rsidR="003F6B87" w:rsidRPr="009803F6" w:rsidRDefault="003F6B87">
      <w:pPr>
        <w:rPr>
          <w:noProof/>
          <w:lang w:val="en-GB"/>
        </w:rPr>
      </w:pPr>
      <w:r w:rsidRPr="009803F6">
        <w:rPr>
          <w:noProof/>
          <w:lang w:val="en-GB"/>
        </w:rPr>
        <w:t>The U.S</w:t>
      </w:r>
      <w:r w:rsidR="00C11F6C">
        <w:rPr>
          <w:noProof/>
          <w:lang w:val="en-GB"/>
        </w:rPr>
        <w:t>.</w:t>
      </w:r>
      <w:r w:rsidRPr="009803F6">
        <w:rPr>
          <w:noProof/>
          <w:lang w:val="en-GB"/>
        </w:rPr>
        <w:t xml:space="preserve"> Nuclear Regulatory Commission (U.S</w:t>
      </w:r>
      <w:r w:rsidR="00C11F6C">
        <w:rPr>
          <w:noProof/>
          <w:lang w:val="en-GB"/>
        </w:rPr>
        <w:t>.</w:t>
      </w:r>
      <w:r w:rsidRPr="009803F6">
        <w:rPr>
          <w:noProof/>
          <w:lang w:val="en-GB"/>
        </w:rPr>
        <w:t xml:space="preserve"> NRC) defines screening as ”a process that distinguishes items that should be included or excluded from an analysis based on a defined criteria.” (NUREG-2122</w:t>
      </w:r>
      <w:r w:rsidR="00DE24B0">
        <w:rPr>
          <w:noProof/>
          <w:lang w:val="en-GB"/>
        </w:rPr>
        <w:t xml:space="preserve">, </w:t>
      </w:r>
      <w:r w:rsidR="005D69A3">
        <w:rPr>
          <w:noProof/>
          <w:lang w:val="en-GB"/>
        </w:rPr>
        <w:fldChar w:fldCharType="begin"/>
      </w:r>
      <w:r w:rsidR="005D69A3">
        <w:rPr>
          <w:noProof/>
          <w:lang w:val="en-GB"/>
        </w:rPr>
        <w:instrText xml:space="preserve"> REF _Ref450740292 \r \h </w:instrText>
      </w:r>
      <w:r w:rsidR="005D69A3">
        <w:rPr>
          <w:noProof/>
          <w:lang w:val="en-GB"/>
        </w:rPr>
      </w:r>
      <w:r w:rsidR="005D69A3">
        <w:rPr>
          <w:noProof/>
          <w:lang w:val="en-GB"/>
        </w:rPr>
        <w:fldChar w:fldCharType="separate"/>
      </w:r>
      <w:r w:rsidR="00E62976">
        <w:rPr>
          <w:noProof/>
          <w:lang w:val="en-GB"/>
        </w:rPr>
        <w:t>[101]</w:t>
      </w:r>
      <w:r w:rsidR="005D69A3">
        <w:rPr>
          <w:noProof/>
          <w:lang w:val="en-GB"/>
        </w:rPr>
        <w:fldChar w:fldCharType="end"/>
      </w:r>
      <w:r w:rsidRPr="009803F6">
        <w:rPr>
          <w:noProof/>
          <w:lang w:val="en-GB"/>
        </w:rPr>
        <w:t>). The U.S</w:t>
      </w:r>
      <w:r w:rsidR="00C11F6C">
        <w:rPr>
          <w:noProof/>
          <w:lang w:val="en-GB"/>
        </w:rPr>
        <w:t>.</w:t>
      </w:r>
      <w:r w:rsidRPr="009803F6">
        <w:rPr>
          <w:noProof/>
          <w:lang w:val="en-GB"/>
        </w:rPr>
        <w:t xml:space="preserve"> NRC also supports the ASME/ANS definition of screening criteria, which is defined as “the values and conditions used to determine whether an item is a negligible contributor to the probability of an accident sequence or its consequences” (ASME/ANS PRA Standard).</w:t>
      </w:r>
    </w:p>
    <w:p w:rsidR="00D53CB0" w:rsidRDefault="003F6B87" w:rsidP="003F6B87">
      <w:pPr>
        <w:rPr>
          <w:noProof/>
          <w:lang w:val="en-GB"/>
        </w:rPr>
      </w:pPr>
      <w:r w:rsidRPr="009803F6">
        <w:rPr>
          <w:noProof/>
          <w:lang w:val="en-GB"/>
        </w:rPr>
        <w:t>There are two types of screening criteria applied to external hazard PSA: qualitative screening and quantitative screening. The objective qualitative screening is to identify portions of the analysis whose potential risk contribution can be judged negligible without quantitative analysis. Qualitative screening is used during the development of a PSA model. When employing this type of screening analysis, the analyst should use approved screening criteria to eliminate potential hazard or risk contributors (i.e., scope or level-of-detail items) from the PRA.</w:t>
      </w:r>
    </w:p>
    <w:p w:rsidR="003F6B87" w:rsidRPr="009803F6" w:rsidRDefault="003F6B87" w:rsidP="003F6B87">
      <w:pPr>
        <w:rPr>
          <w:noProof/>
          <w:lang w:val="en-GB"/>
        </w:rPr>
      </w:pPr>
      <w:r w:rsidRPr="009803F6">
        <w:rPr>
          <w:noProof/>
          <w:lang w:val="en-GB"/>
        </w:rPr>
        <w:t>Some examples of qualitative screening criteria include (as presented in NUREG-1855</w:t>
      </w:r>
      <w:r w:rsidR="00DE24B0">
        <w:rPr>
          <w:noProof/>
          <w:lang w:val="en-GB"/>
        </w:rPr>
        <w:t xml:space="preserve"> </w:t>
      </w:r>
      <w:r w:rsidR="005D69A3">
        <w:rPr>
          <w:noProof/>
          <w:lang w:val="en-GB"/>
        </w:rPr>
        <w:fldChar w:fldCharType="begin"/>
      </w:r>
      <w:r w:rsidR="005D69A3">
        <w:rPr>
          <w:noProof/>
          <w:lang w:val="en-GB"/>
        </w:rPr>
        <w:instrText xml:space="preserve"> REF _Ref450740311 \r \h </w:instrText>
      </w:r>
      <w:r w:rsidR="005D69A3">
        <w:rPr>
          <w:noProof/>
          <w:lang w:val="en-GB"/>
        </w:rPr>
      </w:r>
      <w:r w:rsidR="005D69A3">
        <w:rPr>
          <w:noProof/>
          <w:lang w:val="en-GB"/>
        </w:rPr>
        <w:fldChar w:fldCharType="separate"/>
      </w:r>
      <w:r w:rsidR="00E62976">
        <w:rPr>
          <w:noProof/>
          <w:lang w:val="en-GB"/>
        </w:rPr>
        <w:t>[102]</w:t>
      </w:r>
      <w:r w:rsidR="005D69A3">
        <w:rPr>
          <w:noProof/>
          <w:lang w:val="en-GB"/>
        </w:rPr>
        <w:fldChar w:fldCharType="end"/>
      </w:r>
      <w:r w:rsidR="00CC1820">
        <w:rPr>
          <w:noProof/>
          <w:lang w:val="en-GB"/>
        </w:rPr>
        <w:t>)</w:t>
      </w:r>
      <w:r w:rsidRPr="009803F6">
        <w:rPr>
          <w:noProof/>
          <w:lang w:val="en-GB"/>
        </w:rPr>
        <w:t>:</w:t>
      </w:r>
    </w:p>
    <w:p w:rsidR="003F6B87" w:rsidRPr="009803F6" w:rsidRDefault="003F6B87" w:rsidP="00E62976">
      <w:pPr>
        <w:numPr>
          <w:ilvl w:val="0"/>
          <w:numId w:val="85"/>
        </w:numPr>
        <w:rPr>
          <w:lang w:val="en-US"/>
        </w:rPr>
      </w:pPr>
      <w:r w:rsidRPr="009803F6">
        <w:rPr>
          <w:lang w:val="en-GB"/>
        </w:rPr>
        <w:t>The contributor or hazard cannot occur close enough to the plant to affect it. Application of this criterion must take into account the range of magnitudes and frequencies of the hazard.</w:t>
      </w:r>
    </w:p>
    <w:p w:rsidR="003F6B87" w:rsidRPr="009803F6" w:rsidRDefault="003F6B87" w:rsidP="00E62976">
      <w:pPr>
        <w:numPr>
          <w:ilvl w:val="0"/>
          <w:numId w:val="85"/>
        </w:numPr>
        <w:rPr>
          <w:lang w:val="en-US"/>
        </w:rPr>
      </w:pPr>
      <w:r w:rsidRPr="009803F6">
        <w:rPr>
          <w:lang w:val="en-GB"/>
        </w:rPr>
        <w:t>Screening of contributors or hazards from a PRA based on the fact that core damage would not occur during a selected mission time (e.g., 24 hours) and core damage would not occur later, assuming no credit is taken for any compensatory measures that are implemented after the mission time is exceeded.</w:t>
      </w:r>
    </w:p>
    <w:p w:rsidR="003F6B87" w:rsidRPr="009803F6" w:rsidRDefault="003F6B87" w:rsidP="00E62976">
      <w:pPr>
        <w:numPr>
          <w:ilvl w:val="0"/>
          <w:numId w:val="85"/>
        </w:numPr>
        <w:rPr>
          <w:lang w:val="en-US"/>
        </w:rPr>
      </w:pPr>
      <w:r w:rsidRPr="009803F6">
        <w:rPr>
          <w:lang w:val="en-GB"/>
        </w:rPr>
        <w:t>The contributor or hazard is included in the evaluation of another hazard or event.</w:t>
      </w:r>
    </w:p>
    <w:p w:rsidR="00D53CB0" w:rsidRDefault="00D53CB0" w:rsidP="003F6B87">
      <w:pPr>
        <w:rPr>
          <w:lang w:val="en-US"/>
        </w:rPr>
      </w:pPr>
    </w:p>
    <w:p w:rsidR="003F6B87" w:rsidRPr="009803F6" w:rsidRDefault="003F6B87" w:rsidP="003F6B87">
      <w:pPr>
        <w:rPr>
          <w:lang w:val="en-US"/>
        </w:rPr>
      </w:pPr>
      <w:r w:rsidRPr="009803F6">
        <w:rPr>
          <w:lang w:val="en-US"/>
        </w:rPr>
        <w:t xml:space="preserve">The objective of the quantitative screening is to eliminate portions of the analysis from further consideration based on preliminary estimates of risk contribution through the use of established quantitative screening criteria. There are specific numerical criteria and conservative analytical rules to assure that the contribution to risk is small. The numerical criteria utilize the frequency of the design basis hazard and the associated conditional core damage probability or a CDF value calculated using a demonstrably conservative analytical method for evaluating the hazard. A principle being followed in developing the screening criteria is that the qualitative and quantitative screening criteria should be consistent since their purpose is to eliminate events that are negligible contributors to risk. </w:t>
      </w:r>
    </w:p>
    <w:p w:rsidR="003F6B87" w:rsidRPr="009803F6" w:rsidRDefault="003F6B87" w:rsidP="003F6B87">
      <w:pPr>
        <w:rPr>
          <w:lang w:val="en-US"/>
        </w:rPr>
      </w:pPr>
      <w:r w:rsidRPr="009803F6">
        <w:rPr>
          <w:lang w:val="en-US"/>
        </w:rPr>
        <w:t xml:space="preserve">RG 1.200 </w:t>
      </w:r>
      <w:r w:rsidR="005D69A3">
        <w:rPr>
          <w:lang w:val="en-US"/>
        </w:rPr>
        <w:fldChar w:fldCharType="begin"/>
      </w:r>
      <w:r w:rsidR="005D69A3">
        <w:rPr>
          <w:lang w:val="en-US"/>
        </w:rPr>
        <w:instrText xml:space="preserve"> REF _Ref450740329 \r \h </w:instrText>
      </w:r>
      <w:r w:rsidR="005D69A3">
        <w:rPr>
          <w:lang w:val="en-US"/>
        </w:rPr>
      </w:r>
      <w:r w:rsidR="005D69A3">
        <w:rPr>
          <w:lang w:val="en-US"/>
        </w:rPr>
        <w:fldChar w:fldCharType="separate"/>
      </w:r>
      <w:r w:rsidR="00E62976">
        <w:rPr>
          <w:lang w:val="en-US"/>
        </w:rPr>
        <w:t>[103]</w:t>
      </w:r>
      <w:r w:rsidR="005D69A3">
        <w:rPr>
          <w:lang w:val="en-US"/>
        </w:rPr>
        <w:fldChar w:fldCharType="end"/>
      </w:r>
      <w:r w:rsidR="00DE24B0" w:rsidRPr="00DE24B0">
        <w:rPr>
          <w:lang w:val="en-US"/>
        </w:rPr>
        <w:t xml:space="preserve"> </w:t>
      </w:r>
      <w:r w:rsidRPr="009803F6">
        <w:rPr>
          <w:lang w:val="en-US"/>
        </w:rPr>
        <w:t>identifies screening criteria for external hazards. Prior to screening any hazard, all natural hazards and man-made events that apply to the site under consideration are first identified. A preliminary screening is used to eliminate events matching the criteria from further consideration. Further screening can be performed by using a bounding or demonstrably conservative analysis with defined quantitative screening criteria to demonstrate that the risk from some external events is sufficiently low to eliminate them from additional consideration.</w:t>
      </w:r>
    </w:p>
    <w:p w:rsidR="004B565E" w:rsidRDefault="003F6B87" w:rsidP="009803F6">
      <w:pPr>
        <w:rPr>
          <w:lang w:val="en-US"/>
        </w:rPr>
      </w:pPr>
      <w:r w:rsidRPr="009803F6">
        <w:rPr>
          <w:lang w:val="en-US"/>
        </w:rPr>
        <w:t>As stated in RG 1.200</w:t>
      </w:r>
      <w:r w:rsidR="00DE24B0" w:rsidRPr="00DE24B0">
        <w:rPr>
          <w:lang w:val="en-US"/>
        </w:rPr>
        <w:t xml:space="preserve"> </w:t>
      </w:r>
      <w:r w:rsidR="005D69A3">
        <w:rPr>
          <w:lang w:val="en-US"/>
        </w:rPr>
        <w:fldChar w:fldCharType="begin"/>
      </w:r>
      <w:r w:rsidR="005D69A3">
        <w:rPr>
          <w:lang w:val="en-US"/>
        </w:rPr>
        <w:instrText xml:space="preserve"> REF _Ref450740329 \r \h </w:instrText>
      </w:r>
      <w:r w:rsidR="005D69A3">
        <w:rPr>
          <w:lang w:val="en-US"/>
        </w:rPr>
      </w:r>
      <w:r w:rsidR="005D69A3">
        <w:rPr>
          <w:lang w:val="en-US"/>
        </w:rPr>
        <w:fldChar w:fldCharType="separate"/>
      </w:r>
      <w:r w:rsidR="00E62976">
        <w:rPr>
          <w:lang w:val="en-US"/>
        </w:rPr>
        <w:t>[103]</w:t>
      </w:r>
      <w:r w:rsidR="005D69A3">
        <w:rPr>
          <w:lang w:val="en-US"/>
        </w:rPr>
        <w:fldChar w:fldCharType="end"/>
      </w:r>
      <w:r w:rsidRPr="009803F6">
        <w:rPr>
          <w:lang w:val="en-US"/>
        </w:rPr>
        <w:t>: “an event can be screened out either (1) if it can be shown using a demonstrably conservative analysis that the mean value of the design-basis hazard used in the plant design is less than 10</w:t>
      </w:r>
      <w:r w:rsidRPr="009803F6">
        <w:rPr>
          <w:vertAlign w:val="superscript"/>
          <w:lang w:val="en-US"/>
        </w:rPr>
        <w:t>-5</w:t>
      </w:r>
      <w:r w:rsidR="006E363D">
        <w:rPr>
          <w:lang w:val="en-US"/>
        </w:rPr>
        <w:t>/a</w:t>
      </w:r>
      <w:r w:rsidRPr="009803F6">
        <w:rPr>
          <w:lang w:val="en-US"/>
        </w:rPr>
        <w:t xml:space="preserve"> and that the conditional core damage probability is less than 10</w:t>
      </w:r>
      <w:r w:rsidRPr="004B3DA1">
        <w:rPr>
          <w:vertAlign w:val="superscript"/>
          <w:lang w:val="en-US"/>
        </w:rPr>
        <w:t>-1</w:t>
      </w:r>
      <w:r w:rsidRPr="009803F6">
        <w:rPr>
          <w:lang w:val="en-US"/>
        </w:rPr>
        <w:t>, given the occurrence of the design-basis-hazard event; or (2) if it can be shown using a demonstrably conservative analysis that the CDF is less than 10</w:t>
      </w:r>
      <w:r w:rsidRPr="009803F6">
        <w:rPr>
          <w:vertAlign w:val="superscript"/>
          <w:lang w:val="en-US"/>
        </w:rPr>
        <w:t>-6</w:t>
      </w:r>
      <w:r w:rsidR="006E363D">
        <w:rPr>
          <w:lang w:val="en-US"/>
        </w:rPr>
        <w:t>/a</w:t>
      </w:r>
      <w:r w:rsidRPr="009803F6">
        <w:rPr>
          <w:lang w:val="en-US"/>
        </w:rPr>
        <w:t>. It is recognized that for those new reactor designs with substantially lower risk profiles (e.g., internal events CDF below 10</w:t>
      </w:r>
      <w:r w:rsidRPr="009803F6">
        <w:rPr>
          <w:vertAlign w:val="superscript"/>
          <w:lang w:val="en-US"/>
        </w:rPr>
        <w:t>-6</w:t>
      </w:r>
      <w:r w:rsidR="006E363D">
        <w:rPr>
          <w:lang w:val="en-US"/>
        </w:rPr>
        <w:t>/a</w:t>
      </w:r>
      <w:r w:rsidRPr="009803F6">
        <w:rPr>
          <w:lang w:val="en-US"/>
        </w:rPr>
        <w:t xml:space="preserve">), the quantitative screening value should be adjusted according to the relative baseline risk value”. </w:t>
      </w:r>
    </w:p>
    <w:p w:rsidR="003F6B87" w:rsidRPr="009803F6" w:rsidRDefault="003F6B87" w:rsidP="009803F6">
      <w:pPr>
        <w:rPr>
          <w:lang w:val="en-US"/>
        </w:rPr>
      </w:pPr>
      <w:r w:rsidRPr="009803F6">
        <w:rPr>
          <w:lang w:val="en-US"/>
        </w:rPr>
        <w:t>Note that:</w:t>
      </w:r>
    </w:p>
    <w:p w:rsidR="003F6B87" w:rsidRPr="009803F6" w:rsidRDefault="003F6B87" w:rsidP="009803F6">
      <w:pPr>
        <w:rPr>
          <w:lang w:val="en-US"/>
        </w:rPr>
      </w:pPr>
      <w:r w:rsidRPr="009803F6">
        <w:rPr>
          <w:lang w:val="en-US"/>
        </w:rPr>
        <w:t>“Use of the NRC Standard Review Plan (SRP) or design bases to show that a screening criterion is met is not an acceptable approach for screening out contributors or hazards. This is based on the fact that a quantitative assessment of a contributor or hazard that has been screened out qualitatively</w:t>
      </w:r>
      <w:r w:rsidR="004B565E" w:rsidRPr="004B565E">
        <w:rPr>
          <w:lang w:val="en-US"/>
        </w:rPr>
        <w:t xml:space="preserve"> </w:t>
      </w:r>
      <w:r w:rsidRPr="009803F6">
        <w:rPr>
          <w:lang w:val="en-US"/>
        </w:rPr>
        <w:t>—</w:t>
      </w:r>
      <w:r w:rsidR="004B565E" w:rsidRPr="004B565E">
        <w:rPr>
          <w:lang w:val="en-US"/>
        </w:rPr>
        <w:t xml:space="preserve"> </w:t>
      </w:r>
      <w:r w:rsidRPr="009803F6">
        <w:rPr>
          <w:lang w:val="en-US"/>
        </w:rPr>
        <w:t>based on meeting the SRP or design bases</w:t>
      </w:r>
      <w:r w:rsidR="004B565E" w:rsidRPr="004B565E">
        <w:rPr>
          <w:lang w:val="en-US"/>
        </w:rPr>
        <w:t xml:space="preserve"> </w:t>
      </w:r>
      <w:r w:rsidRPr="009803F6">
        <w:rPr>
          <w:lang w:val="en-US"/>
        </w:rPr>
        <w:t>—</w:t>
      </w:r>
      <w:r w:rsidR="004B565E" w:rsidRPr="004B565E">
        <w:rPr>
          <w:lang w:val="en-US"/>
        </w:rPr>
        <w:t xml:space="preserve"> </w:t>
      </w:r>
      <w:r w:rsidRPr="009803F6">
        <w:rPr>
          <w:lang w:val="en-US"/>
        </w:rPr>
        <w:t>may result in a core damage frequency that would not have otherwise allowed the contributor or hazard to be screened out quantitatively” (NUREG-1855</w:t>
      </w:r>
      <w:r w:rsidR="00DE24B0">
        <w:rPr>
          <w:lang w:val="en-US"/>
        </w:rPr>
        <w:t xml:space="preserve"> </w:t>
      </w:r>
      <w:r w:rsidR="005D69A3">
        <w:rPr>
          <w:lang w:val="en-US"/>
        </w:rPr>
        <w:fldChar w:fldCharType="begin"/>
      </w:r>
      <w:r w:rsidR="005D69A3">
        <w:rPr>
          <w:lang w:val="en-US"/>
        </w:rPr>
        <w:instrText xml:space="preserve"> REF _Ref450740311 \r \h </w:instrText>
      </w:r>
      <w:r w:rsidR="005D69A3">
        <w:rPr>
          <w:lang w:val="en-US"/>
        </w:rPr>
      </w:r>
      <w:r w:rsidR="005D69A3">
        <w:rPr>
          <w:lang w:val="en-US"/>
        </w:rPr>
        <w:fldChar w:fldCharType="separate"/>
      </w:r>
      <w:r w:rsidR="00E62976">
        <w:rPr>
          <w:lang w:val="en-US"/>
        </w:rPr>
        <w:t>[102]</w:t>
      </w:r>
      <w:r w:rsidR="005D69A3">
        <w:rPr>
          <w:lang w:val="en-US"/>
        </w:rPr>
        <w:fldChar w:fldCharType="end"/>
      </w:r>
      <w:r w:rsidRPr="009803F6">
        <w:rPr>
          <w:lang w:val="en-US"/>
        </w:rPr>
        <w:t>).</w:t>
      </w:r>
    </w:p>
    <w:p w:rsidR="003F6B87" w:rsidRPr="009803F6" w:rsidRDefault="003F6B87" w:rsidP="003F6B87">
      <w:pPr>
        <w:autoSpaceDE w:val="0"/>
        <w:autoSpaceDN w:val="0"/>
        <w:adjustRightInd w:val="0"/>
        <w:spacing w:line="240" w:lineRule="auto"/>
        <w:rPr>
          <w:rFonts w:ascii="Arial" w:hAnsi="Arial" w:cs="Arial"/>
          <w:lang w:val="en-US"/>
        </w:rPr>
      </w:pPr>
    </w:p>
    <w:p w:rsidR="004B565E" w:rsidRPr="00CC1820" w:rsidRDefault="003F6B87" w:rsidP="00CC1820">
      <w:pPr>
        <w:rPr>
          <w:lang w:val="en-US"/>
        </w:rPr>
      </w:pPr>
      <w:r w:rsidRPr="00CC1820">
        <w:rPr>
          <w:lang w:val="en-US"/>
        </w:rPr>
        <w:t>Additional guidance on screening criteria is presented in NUREG-1855</w:t>
      </w:r>
      <w:r w:rsidR="00DE24B0" w:rsidRPr="00CC1820">
        <w:rPr>
          <w:lang w:val="en-US"/>
        </w:rPr>
        <w:t xml:space="preserve"> </w:t>
      </w:r>
      <w:r w:rsidR="005D69A3" w:rsidRPr="00E929A2">
        <w:rPr>
          <w:lang w:val="en-US"/>
        </w:rPr>
        <w:fldChar w:fldCharType="begin"/>
      </w:r>
      <w:r w:rsidR="005D69A3" w:rsidRPr="00E929A2">
        <w:rPr>
          <w:lang w:val="en-US"/>
        </w:rPr>
        <w:instrText xml:space="preserve"> REF _Ref450740311 \r \h </w:instrText>
      </w:r>
      <w:r w:rsidR="00CC1820" w:rsidRPr="00E929A2">
        <w:rPr>
          <w:lang w:val="en-US"/>
        </w:rPr>
        <w:instrText xml:space="preserve"> \* MERGEFORMAT </w:instrText>
      </w:r>
      <w:r w:rsidR="005D69A3" w:rsidRPr="00E929A2">
        <w:rPr>
          <w:lang w:val="en-US"/>
        </w:rPr>
      </w:r>
      <w:r w:rsidR="005D69A3" w:rsidRPr="00E929A2">
        <w:rPr>
          <w:lang w:val="en-US"/>
        </w:rPr>
        <w:fldChar w:fldCharType="separate"/>
      </w:r>
      <w:r w:rsidR="00E62976">
        <w:rPr>
          <w:lang w:val="en-US"/>
        </w:rPr>
        <w:t>[102]</w:t>
      </w:r>
      <w:r w:rsidR="005D69A3" w:rsidRPr="00E929A2">
        <w:rPr>
          <w:lang w:val="en-US"/>
        </w:rPr>
        <w:fldChar w:fldCharType="end"/>
      </w:r>
      <w:r w:rsidRPr="00CC1820">
        <w:rPr>
          <w:lang w:val="en-US"/>
        </w:rPr>
        <w:t>, section 5.2.</w:t>
      </w:r>
    </w:p>
    <w:p w:rsidR="00DE24B0" w:rsidRDefault="00DE24B0" w:rsidP="003F6B87">
      <w:pPr>
        <w:autoSpaceDE w:val="0"/>
        <w:autoSpaceDN w:val="0"/>
        <w:adjustRightInd w:val="0"/>
        <w:spacing w:line="240" w:lineRule="auto"/>
        <w:rPr>
          <w:rFonts w:ascii="Arial" w:hAnsi="Arial" w:cs="Arial"/>
          <w:lang w:val="en-US"/>
        </w:rPr>
      </w:pPr>
    </w:p>
    <w:p w:rsidR="008A0264" w:rsidRPr="00E20701" w:rsidRDefault="008A0264" w:rsidP="00317481">
      <w:pPr>
        <w:pStyle w:val="Titre3"/>
        <w:rPr>
          <w:lang w:val="en-GB"/>
        </w:rPr>
      </w:pPr>
      <w:bookmarkStart w:id="437" w:name="_Toc450206669"/>
      <w:bookmarkStart w:id="438" w:name="_Toc450207703"/>
      <w:bookmarkStart w:id="439" w:name="_Toc450206670"/>
      <w:bookmarkStart w:id="440" w:name="_Toc450207704"/>
      <w:bookmarkStart w:id="441" w:name="_Toc473303570"/>
      <w:bookmarkEnd w:id="437"/>
      <w:bookmarkEnd w:id="438"/>
      <w:bookmarkEnd w:id="439"/>
      <w:bookmarkEnd w:id="440"/>
      <w:r w:rsidRPr="00E20701">
        <w:rPr>
          <w:lang w:val="en-GB"/>
        </w:rPr>
        <w:t>O</w:t>
      </w:r>
      <w:r w:rsidR="00737A59" w:rsidRPr="00E20701">
        <w:rPr>
          <w:lang w:val="en-GB"/>
        </w:rPr>
        <w:t>thers</w:t>
      </w:r>
      <w:bookmarkEnd w:id="441"/>
    </w:p>
    <w:p w:rsidR="00FA6F73" w:rsidRPr="00C70893" w:rsidRDefault="00FA6F73" w:rsidP="00C70893">
      <w:pPr>
        <w:pStyle w:val="Titre4"/>
        <w:rPr>
          <w:lang w:val="en-GB"/>
        </w:rPr>
      </w:pPr>
      <w:bookmarkStart w:id="442" w:name="_Toc414960820"/>
      <w:bookmarkStart w:id="443" w:name="_Toc414612506"/>
      <w:r w:rsidRPr="00C70893">
        <w:rPr>
          <w:lang w:val="en-GB"/>
        </w:rPr>
        <w:t>AREVA´s External Events Screening Methodology</w:t>
      </w:r>
      <w:bookmarkEnd w:id="442"/>
      <w:bookmarkEnd w:id="443"/>
    </w:p>
    <w:p w:rsidR="00FA6F73" w:rsidRPr="00C70893" w:rsidRDefault="00FA6F73" w:rsidP="00FA6F73">
      <w:pPr>
        <w:rPr>
          <w:b/>
          <w:lang w:val="en-GB"/>
        </w:rPr>
      </w:pPr>
      <w:r w:rsidRPr="00C70893">
        <w:rPr>
          <w:b/>
          <w:lang w:val="en-GB"/>
        </w:rPr>
        <w:t>Introduction</w:t>
      </w:r>
    </w:p>
    <w:p w:rsidR="00FA6F73" w:rsidRPr="00C70893" w:rsidRDefault="00FA6F73" w:rsidP="00FA6F73">
      <w:pPr>
        <w:rPr>
          <w:lang w:val="en-GB"/>
        </w:rPr>
      </w:pPr>
      <w:r w:rsidRPr="00C70893">
        <w:rPr>
          <w:lang w:val="en-GB"/>
        </w:rPr>
        <w:t xml:space="preserve">AREVA´s methodology for the analysis of external events follows the results of the WENRA paper on consideration of external events for new reactors </w:t>
      </w:r>
      <w:r w:rsidR="00E929A2">
        <w:rPr>
          <w:lang w:val="en-GB"/>
        </w:rPr>
        <w:fldChar w:fldCharType="begin"/>
      </w:r>
      <w:r w:rsidR="00E929A2">
        <w:rPr>
          <w:lang w:val="en-GB"/>
        </w:rPr>
        <w:instrText xml:space="preserve"> REF _Ref392859457 \w \h </w:instrText>
      </w:r>
      <w:r w:rsidR="00E929A2">
        <w:rPr>
          <w:lang w:val="en-GB"/>
        </w:rPr>
      </w:r>
      <w:r w:rsidR="00E929A2">
        <w:rPr>
          <w:lang w:val="en-GB"/>
        </w:rPr>
        <w:fldChar w:fldCharType="separate"/>
      </w:r>
      <w:r w:rsidR="00E62976">
        <w:rPr>
          <w:lang w:val="en-GB"/>
        </w:rPr>
        <w:t>[35]</w:t>
      </w:r>
      <w:r w:rsidR="00E929A2">
        <w:rPr>
          <w:lang w:val="en-GB"/>
        </w:rPr>
        <w:fldChar w:fldCharType="end"/>
      </w:r>
      <w:r w:rsidRPr="00C70893">
        <w:rPr>
          <w:lang w:val="en-GB"/>
        </w:rPr>
        <w:t xml:space="preserve"> and is based on the methodology proposed in </w:t>
      </w:r>
      <w:r w:rsidR="005D69A3">
        <w:rPr>
          <w:lang w:val="en-GB"/>
        </w:rPr>
        <w:fldChar w:fldCharType="begin"/>
      </w:r>
      <w:r w:rsidR="005D69A3">
        <w:rPr>
          <w:lang w:val="en-GB"/>
        </w:rPr>
        <w:instrText xml:space="preserve"> REF _Ref450740465 \r \h </w:instrText>
      </w:r>
      <w:r w:rsidR="005D69A3">
        <w:rPr>
          <w:lang w:val="en-GB"/>
        </w:rPr>
      </w:r>
      <w:r w:rsidR="005D69A3">
        <w:rPr>
          <w:lang w:val="en-GB"/>
        </w:rPr>
        <w:fldChar w:fldCharType="separate"/>
      </w:r>
      <w:r w:rsidR="00E62976">
        <w:rPr>
          <w:lang w:val="en-GB"/>
        </w:rPr>
        <w:t>[71]</w:t>
      </w:r>
      <w:r w:rsidR="005D69A3">
        <w:rPr>
          <w:lang w:val="en-GB"/>
        </w:rPr>
        <w:fldChar w:fldCharType="end"/>
      </w:r>
      <w:r w:rsidRPr="00C70893">
        <w:rPr>
          <w:lang w:val="en-GB"/>
        </w:rPr>
        <w:t>.</w:t>
      </w:r>
    </w:p>
    <w:p w:rsidR="00FA6F73" w:rsidRPr="00C70893" w:rsidRDefault="00FA6F73" w:rsidP="00FA6F73">
      <w:pPr>
        <w:rPr>
          <w:lang w:val="en-GB"/>
        </w:rPr>
      </w:pPr>
      <w:r w:rsidRPr="00C70893">
        <w:rPr>
          <w:lang w:val="en-GB"/>
        </w:rPr>
        <w:t>External events are characterized as originated from outside of the plant and create an extreme environment with the potential of causing initiating events at the plant, typically a transient.</w:t>
      </w:r>
    </w:p>
    <w:p w:rsidR="00FA6F73" w:rsidRPr="00C70893" w:rsidRDefault="00FA6F73" w:rsidP="00FA6F73">
      <w:pPr>
        <w:rPr>
          <w:lang w:val="en-GB"/>
        </w:rPr>
      </w:pPr>
      <w:r w:rsidRPr="00C70893">
        <w:rPr>
          <w:lang w:val="en-GB"/>
        </w:rPr>
        <w:t>Relevant external events are those events which impact the plant structures, systems or components with:</w:t>
      </w:r>
    </w:p>
    <w:p w:rsidR="00FA6F73" w:rsidRPr="00C70893" w:rsidRDefault="00FA6F73" w:rsidP="00E62976">
      <w:pPr>
        <w:numPr>
          <w:ilvl w:val="0"/>
          <w:numId w:val="35"/>
        </w:numPr>
        <w:rPr>
          <w:lang w:val="en-GB"/>
        </w:rPr>
      </w:pPr>
      <w:r w:rsidRPr="00C70893">
        <w:rPr>
          <w:lang w:val="en-GB"/>
        </w:rPr>
        <w:t>The potential to degrade one or more plant safety functions and, at the same time, with</w:t>
      </w:r>
    </w:p>
    <w:p w:rsidR="00FA6F73" w:rsidRPr="00C70893" w:rsidRDefault="00FA6F73" w:rsidP="00E62976">
      <w:pPr>
        <w:numPr>
          <w:ilvl w:val="0"/>
          <w:numId w:val="35"/>
        </w:numPr>
        <w:rPr>
          <w:lang w:val="en-GB"/>
        </w:rPr>
      </w:pPr>
      <w:r w:rsidRPr="00C70893">
        <w:rPr>
          <w:lang w:val="en-GB"/>
        </w:rPr>
        <w:t>The potential to request the plant safety systems to keep the plant in a safe state or to bring it into a safe state.</w:t>
      </w:r>
    </w:p>
    <w:p w:rsidR="00FA6F73" w:rsidRPr="00C70893" w:rsidRDefault="00FA6F73" w:rsidP="00FA6F73">
      <w:pPr>
        <w:rPr>
          <w:lang w:val="en-GB"/>
        </w:rPr>
      </w:pPr>
      <w:r w:rsidRPr="00C70893">
        <w:rPr>
          <w:lang w:val="en-GB"/>
        </w:rPr>
        <w:t>The aim of the screening analysis is to identify from an exhaustive list of external events those single and combined external events which are relevant to the plant and the site with regards to their potential of affecting the plant safety via air, ground or water.</w:t>
      </w:r>
    </w:p>
    <w:p w:rsidR="00FA6F73" w:rsidRPr="00C70893" w:rsidRDefault="00FA6F73" w:rsidP="00FA6F73">
      <w:pPr>
        <w:rPr>
          <w:lang w:val="en-GB"/>
        </w:rPr>
      </w:pPr>
      <w:r w:rsidRPr="00C70893">
        <w:rPr>
          <w:lang w:val="en-GB"/>
        </w:rPr>
        <w:t>To this end, the analysis involves the following steps:</w:t>
      </w:r>
    </w:p>
    <w:p w:rsidR="00FA6F73" w:rsidRPr="00C70893" w:rsidRDefault="00FA6F73" w:rsidP="00E62976">
      <w:pPr>
        <w:numPr>
          <w:ilvl w:val="0"/>
          <w:numId w:val="33"/>
        </w:numPr>
        <w:rPr>
          <w:lang w:val="en-GB"/>
        </w:rPr>
      </w:pPr>
      <w:r w:rsidRPr="00C70893">
        <w:rPr>
          <w:lang w:val="en-GB"/>
        </w:rPr>
        <w:t>Initial data collection,</w:t>
      </w:r>
    </w:p>
    <w:p w:rsidR="00FA6F73" w:rsidRPr="00C70893" w:rsidRDefault="00FA6F73" w:rsidP="00E62976">
      <w:pPr>
        <w:numPr>
          <w:ilvl w:val="0"/>
          <w:numId w:val="33"/>
        </w:numPr>
        <w:rPr>
          <w:lang w:val="en-GB"/>
        </w:rPr>
      </w:pPr>
      <w:r w:rsidRPr="00C70893">
        <w:rPr>
          <w:lang w:val="en-GB"/>
        </w:rPr>
        <w:t>Identification and definition of the external events (exhaustive list) and</w:t>
      </w:r>
    </w:p>
    <w:p w:rsidR="00FA6F73" w:rsidRPr="00C70893" w:rsidRDefault="00FA6F73" w:rsidP="00E62976">
      <w:pPr>
        <w:numPr>
          <w:ilvl w:val="0"/>
          <w:numId w:val="33"/>
        </w:numPr>
        <w:rPr>
          <w:lang w:val="en-GB"/>
        </w:rPr>
      </w:pPr>
      <w:r w:rsidRPr="00C70893">
        <w:rPr>
          <w:lang w:val="en-GB"/>
        </w:rPr>
        <w:t>Screening analysis of external events.</w:t>
      </w:r>
    </w:p>
    <w:p w:rsidR="00FA6F73" w:rsidRPr="00C70893" w:rsidRDefault="00FA6F73" w:rsidP="00FA6F73">
      <w:pPr>
        <w:rPr>
          <w:lang w:val="en-GB"/>
        </w:rPr>
      </w:pPr>
      <w:r w:rsidRPr="00C70893">
        <w:rPr>
          <w:lang w:val="en-GB"/>
        </w:rPr>
        <w:t>The scope of the present report covers the details of these steps.</w:t>
      </w:r>
    </w:p>
    <w:p w:rsidR="00FA6F73" w:rsidRPr="00C70893" w:rsidRDefault="00FA6F73" w:rsidP="00FA6F73">
      <w:pPr>
        <w:rPr>
          <w:lang w:val="en-GB"/>
        </w:rPr>
      </w:pPr>
    </w:p>
    <w:p w:rsidR="00FA6F73" w:rsidRPr="00C70893" w:rsidRDefault="00FA6F73" w:rsidP="005F1EF2">
      <w:pPr>
        <w:keepNext/>
        <w:rPr>
          <w:b/>
          <w:lang w:val="en-GB"/>
        </w:rPr>
      </w:pPr>
      <w:r w:rsidRPr="00C70893">
        <w:rPr>
          <w:b/>
          <w:lang w:val="en-GB"/>
        </w:rPr>
        <w:t>Initial Data Collection</w:t>
      </w:r>
    </w:p>
    <w:p w:rsidR="00FA6F73" w:rsidRPr="00C70893" w:rsidRDefault="00FA6F73" w:rsidP="00FA6F73">
      <w:pPr>
        <w:rPr>
          <w:lang w:val="en-GB"/>
        </w:rPr>
      </w:pPr>
      <w:r w:rsidRPr="00C70893">
        <w:rPr>
          <w:lang w:val="en-GB"/>
        </w:rPr>
        <w:t>The first step consists of the collection of relevant information. This step provides the input information for the screening analysis for the identification of potentially relevant external events to the plant and to the site. The required data involve site specific and generic experience and information on specific external events and their consequences, such as topography of the site, historical information on occurrence of external hazards and design features of the plant to cope with the external events.</w:t>
      </w:r>
    </w:p>
    <w:p w:rsidR="00FA6F73" w:rsidRPr="00C70893" w:rsidRDefault="00FA6F73" w:rsidP="00FA6F73">
      <w:pPr>
        <w:rPr>
          <w:lang w:val="en-GB"/>
        </w:rPr>
      </w:pPr>
    </w:p>
    <w:p w:rsidR="00FA6F73" w:rsidRPr="00C70893" w:rsidRDefault="00FA6F73" w:rsidP="00FA6F73">
      <w:pPr>
        <w:rPr>
          <w:b/>
          <w:lang w:val="en-GB"/>
        </w:rPr>
      </w:pPr>
      <w:r w:rsidRPr="00C70893">
        <w:rPr>
          <w:b/>
          <w:lang w:val="en-GB"/>
        </w:rPr>
        <w:t>Identification of Potential External Events and Effects</w:t>
      </w:r>
    </w:p>
    <w:p w:rsidR="00FA6F73" w:rsidRPr="00C70893" w:rsidRDefault="00FA6F73" w:rsidP="00FA6F73">
      <w:pPr>
        <w:rPr>
          <w:lang w:val="en-GB"/>
        </w:rPr>
      </w:pPr>
      <w:r w:rsidRPr="00C70893">
        <w:rPr>
          <w:lang w:val="en-GB"/>
        </w:rPr>
        <w:t>The second step involves the identification of a complete set of single and combined external events.</w:t>
      </w:r>
    </w:p>
    <w:p w:rsidR="00FA6F73" w:rsidRPr="00C70893" w:rsidRDefault="00FA6F73" w:rsidP="00FA6F73">
      <w:pPr>
        <w:rPr>
          <w:lang w:val="en-GB"/>
        </w:rPr>
      </w:pPr>
    </w:p>
    <w:p w:rsidR="00FA6F73" w:rsidRPr="00C70893" w:rsidRDefault="00FA6F73" w:rsidP="00FA6F73">
      <w:pPr>
        <w:rPr>
          <w:u w:val="single"/>
          <w:lang w:val="en-GB"/>
        </w:rPr>
      </w:pPr>
      <w:r w:rsidRPr="00C70893">
        <w:rPr>
          <w:u w:val="single"/>
          <w:lang w:val="en-GB"/>
        </w:rPr>
        <w:t>Identification of Potential Single External Events</w:t>
      </w:r>
    </w:p>
    <w:p w:rsidR="00FA6F73" w:rsidRPr="00C70893" w:rsidRDefault="00FA6F73" w:rsidP="00FA6F73">
      <w:pPr>
        <w:rPr>
          <w:lang w:val="en-GB"/>
        </w:rPr>
      </w:pPr>
      <w:r w:rsidRPr="00C70893">
        <w:rPr>
          <w:lang w:val="en-GB"/>
        </w:rPr>
        <w:t>The identification of potentially relevant single external events results in a list of events that constitute the input to the external events screening analysis.</w:t>
      </w:r>
    </w:p>
    <w:p w:rsidR="00FA6F73" w:rsidRPr="00C70893" w:rsidRDefault="00FA6F73" w:rsidP="00FA6F73">
      <w:pPr>
        <w:rPr>
          <w:lang w:val="en-GB"/>
        </w:rPr>
      </w:pPr>
      <w:r w:rsidRPr="00C70893">
        <w:rPr>
          <w:lang w:val="en-GB"/>
        </w:rPr>
        <w:t>The list should be as exhaustive as possible. The following sources provide the main inputs in the compilation of the list of external hazards:</w:t>
      </w:r>
    </w:p>
    <w:p w:rsidR="00FA6F73" w:rsidRPr="00C70893" w:rsidRDefault="00FA6F73" w:rsidP="00E62976">
      <w:pPr>
        <w:numPr>
          <w:ilvl w:val="0"/>
          <w:numId w:val="34"/>
        </w:numPr>
        <w:rPr>
          <w:lang w:val="en-GB"/>
        </w:rPr>
      </w:pPr>
      <w:r w:rsidRPr="00C70893">
        <w:rPr>
          <w:lang w:val="en-GB"/>
        </w:rPr>
        <w:t xml:space="preserve">RHWG Position Paper on safety of new reactors </w:t>
      </w:r>
      <w:r w:rsidR="00560FC0">
        <w:rPr>
          <w:lang w:val="en-GB"/>
        </w:rPr>
        <w:fldChar w:fldCharType="begin"/>
      </w:r>
      <w:r w:rsidR="00560FC0">
        <w:rPr>
          <w:lang w:val="en-GB"/>
        </w:rPr>
        <w:instrText xml:space="preserve"> REF _Ref392859457 \w \h </w:instrText>
      </w:r>
      <w:r w:rsidR="00560FC0">
        <w:rPr>
          <w:lang w:val="en-GB"/>
        </w:rPr>
      </w:r>
      <w:r w:rsidR="00560FC0">
        <w:rPr>
          <w:lang w:val="en-GB"/>
        </w:rPr>
        <w:fldChar w:fldCharType="separate"/>
      </w:r>
      <w:r w:rsidR="00E62976">
        <w:rPr>
          <w:lang w:val="en-GB"/>
        </w:rPr>
        <w:t>[35]</w:t>
      </w:r>
      <w:r w:rsidR="00560FC0">
        <w:rPr>
          <w:lang w:val="en-GB"/>
        </w:rPr>
        <w:fldChar w:fldCharType="end"/>
      </w:r>
      <w:r w:rsidRPr="00C70893">
        <w:rPr>
          <w:lang w:val="en-GB"/>
        </w:rPr>
        <w:t>,</w:t>
      </w:r>
    </w:p>
    <w:p w:rsidR="00FA6F73" w:rsidRPr="00C70893" w:rsidRDefault="00FA6F73" w:rsidP="00E62976">
      <w:pPr>
        <w:numPr>
          <w:ilvl w:val="0"/>
          <w:numId w:val="34"/>
        </w:numPr>
        <w:rPr>
          <w:lang w:val="en-GB"/>
        </w:rPr>
      </w:pPr>
      <w:r w:rsidRPr="00C70893">
        <w:rPr>
          <w:lang w:val="en-GB"/>
        </w:rPr>
        <w:t xml:space="preserve">SKI Report 02:27 </w:t>
      </w:r>
      <w:r w:rsidR="005D69A3">
        <w:rPr>
          <w:lang w:val="en-GB"/>
        </w:rPr>
        <w:fldChar w:fldCharType="begin"/>
      </w:r>
      <w:r w:rsidR="005D69A3">
        <w:rPr>
          <w:lang w:val="en-GB"/>
        </w:rPr>
        <w:instrText xml:space="preserve"> REF _Ref450740465 \r \h </w:instrText>
      </w:r>
      <w:r w:rsidR="005D69A3">
        <w:rPr>
          <w:lang w:val="en-GB"/>
        </w:rPr>
      </w:r>
      <w:r w:rsidR="005D69A3">
        <w:rPr>
          <w:lang w:val="en-GB"/>
        </w:rPr>
        <w:fldChar w:fldCharType="separate"/>
      </w:r>
      <w:r w:rsidR="00E62976">
        <w:rPr>
          <w:lang w:val="en-GB"/>
        </w:rPr>
        <w:t>[71]</w:t>
      </w:r>
      <w:r w:rsidR="005D69A3">
        <w:rPr>
          <w:lang w:val="en-GB"/>
        </w:rPr>
        <w:fldChar w:fldCharType="end"/>
      </w:r>
      <w:r w:rsidRPr="00C70893">
        <w:rPr>
          <w:lang w:val="en-GB"/>
        </w:rPr>
        <w:t>,</w:t>
      </w:r>
    </w:p>
    <w:p w:rsidR="00FA6F73" w:rsidRPr="00C70893" w:rsidRDefault="00FA6F73" w:rsidP="00E62976">
      <w:pPr>
        <w:numPr>
          <w:ilvl w:val="0"/>
          <w:numId w:val="34"/>
        </w:numPr>
        <w:rPr>
          <w:lang w:val="en-GB"/>
        </w:rPr>
      </w:pPr>
      <w:r w:rsidRPr="00C70893">
        <w:rPr>
          <w:lang w:val="en-GB"/>
        </w:rPr>
        <w:t xml:space="preserve">IAEA Safety Standards (see </w:t>
      </w:r>
      <w:r w:rsidR="005D69A3">
        <w:rPr>
          <w:lang w:val="en-GB"/>
        </w:rPr>
        <w:fldChar w:fldCharType="begin"/>
      </w:r>
      <w:r w:rsidR="005D69A3">
        <w:rPr>
          <w:lang w:val="en-GB"/>
        </w:rPr>
        <w:instrText xml:space="preserve"> REF _Ref418687554 \r \h </w:instrText>
      </w:r>
      <w:r w:rsidR="005D69A3">
        <w:rPr>
          <w:lang w:val="en-GB"/>
        </w:rPr>
      </w:r>
      <w:r w:rsidR="005D69A3">
        <w:rPr>
          <w:lang w:val="en-GB"/>
        </w:rPr>
        <w:fldChar w:fldCharType="separate"/>
      </w:r>
      <w:r w:rsidR="00E62976">
        <w:rPr>
          <w:lang w:val="en-GB"/>
        </w:rPr>
        <w:t>[60]</w:t>
      </w:r>
      <w:r w:rsidR="005D69A3">
        <w:rPr>
          <w:lang w:val="en-GB"/>
        </w:rPr>
        <w:fldChar w:fldCharType="end"/>
      </w:r>
      <w:r w:rsidRPr="00C70893">
        <w:rPr>
          <w:lang w:val="en-GB"/>
        </w:rPr>
        <w:t xml:space="preserve">, </w:t>
      </w:r>
      <w:r w:rsidR="005D69A3">
        <w:rPr>
          <w:lang w:val="en-GB"/>
        </w:rPr>
        <w:fldChar w:fldCharType="begin"/>
      </w:r>
      <w:r w:rsidR="005D69A3">
        <w:rPr>
          <w:lang w:val="en-GB"/>
        </w:rPr>
        <w:instrText xml:space="preserve"> REF _Ref418687566 \r \h </w:instrText>
      </w:r>
      <w:r w:rsidR="005D69A3">
        <w:rPr>
          <w:lang w:val="en-GB"/>
        </w:rPr>
      </w:r>
      <w:r w:rsidR="005D69A3">
        <w:rPr>
          <w:lang w:val="en-GB"/>
        </w:rPr>
        <w:fldChar w:fldCharType="separate"/>
      </w:r>
      <w:r w:rsidR="00E62976">
        <w:rPr>
          <w:lang w:val="en-GB"/>
        </w:rPr>
        <w:t>[72]</w:t>
      </w:r>
      <w:r w:rsidR="005D69A3">
        <w:rPr>
          <w:lang w:val="en-GB"/>
        </w:rPr>
        <w:fldChar w:fldCharType="end"/>
      </w:r>
      <w:r w:rsidRPr="00C70893">
        <w:rPr>
          <w:lang w:val="en-GB"/>
        </w:rPr>
        <w:t xml:space="preserve">, </w:t>
      </w:r>
      <w:r w:rsidR="005D69A3">
        <w:rPr>
          <w:lang w:val="en-GB"/>
        </w:rPr>
        <w:fldChar w:fldCharType="begin"/>
      </w:r>
      <w:r w:rsidR="005D69A3">
        <w:rPr>
          <w:lang w:val="en-GB"/>
        </w:rPr>
        <w:instrText xml:space="preserve"> REF _Ref413237730 \r \h </w:instrText>
      </w:r>
      <w:r w:rsidR="005D69A3">
        <w:rPr>
          <w:lang w:val="en-GB"/>
        </w:rPr>
      </w:r>
      <w:r w:rsidR="005D69A3">
        <w:rPr>
          <w:lang w:val="en-GB"/>
        </w:rPr>
        <w:fldChar w:fldCharType="separate"/>
      </w:r>
      <w:r w:rsidR="00E62976">
        <w:rPr>
          <w:lang w:val="en-GB"/>
        </w:rPr>
        <w:t>[61]</w:t>
      </w:r>
      <w:r w:rsidR="005D69A3">
        <w:rPr>
          <w:lang w:val="en-GB"/>
        </w:rPr>
        <w:fldChar w:fldCharType="end"/>
      </w:r>
      <w:r w:rsidRPr="00C70893">
        <w:rPr>
          <w:lang w:val="en-GB"/>
        </w:rPr>
        <w:t xml:space="preserve">, </w:t>
      </w:r>
      <w:r w:rsidR="005D69A3">
        <w:rPr>
          <w:lang w:val="en-GB"/>
        </w:rPr>
        <w:fldChar w:fldCharType="begin"/>
      </w:r>
      <w:r w:rsidR="005D69A3">
        <w:rPr>
          <w:lang w:val="en-GB"/>
        </w:rPr>
        <w:instrText xml:space="preserve"> REF _Ref418687586 \r \h </w:instrText>
      </w:r>
      <w:r w:rsidR="005D69A3">
        <w:rPr>
          <w:lang w:val="en-GB"/>
        </w:rPr>
      </w:r>
      <w:r w:rsidR="005D69A3">
        <w:rPr>
          <w:lang w:val="en-GB"/>
        </w:rPr>
        <w:fldChar w:fldCharType="separate"/>
      </w:r>
      <w:r w:rsidR="00E62976">
        <w:rPr>
          <w:lang w:val="en-GB"/>
        </w:rPr>
        <w:t>[73]</w:t>
      </w:r>
      <w:r w:rsidR="005D69A3">
        <w:rPr>
          <w:lang w:val="en-GB"/>
        </w:rPr>
        <w:fldChar w:fldCharType="end"/>
      </w:r>
      <w:r w:rsidRPr="00C70893">
        <w:rPr>
          <w:lang w:val="en-GB"/>
        </w:rPr>
        <w:t xml:space="preserve">, </w:t>
      </w:r>
      <w:r w:rsidR="00560FC0">
        <w:rPr>
          <w:lang w:val="en-GB"/>
        </w:rPr>
        <w:fldChar w:fldCharType="begin"/>
      </w:r>
      <w:r w:rsidR="00560FC0">
        <w:rPr>
          <w:lang w:val="en-GB"/>
        </w:rPr>
        <w:instrText xml:space="preserve"> REF _Ref384902145 \w \h </w:instrText>
      </w:r>
      <w:r w:rsidR="00560FC0">
        <w:rPr>
          <w:lang w:val="en-GB"/>
        </w:rPr>
      </w:r>
      <w:r w:rsidR="00560FC0">
        <w:rPr>
          <w:lang w:val="en-GB"/>
        </w:rPr>
        <w:fldChar w:fldCharType="separate"/>
      </w:r>
      <w:r w:rsidR="00E62976">
        <w:rPr>
          <w:lang w:val="en-GB"/>
        </w:rPr>
        <w:t>[22]</w:t>
      </w:r>
      <w:r w:rsidR="00560FC0">
        <w:rPr>
          <w:lang w:val="en-GB"/>
        </w:rPr>
        <w:fldChar w:fldCharType="end"/>
      </w:r>
      <w:r w:rsidRPr="00C70893">
        <w:rPr>
          <w:lang w:val="en-GB"/>
        </w:rPr>
        <w:t>),</w:t>
      </w:r>
    </w:p>
    <w:p w:rsidR="00FA6F73" w:rsidRPr="00E20701" w:rsidRDefault="00FA6F73" w:rsidP="00E62976">
      <w:pPr>
        <w:numPr>
          <w:ilvl w:val="0"/>
          <w:numId w:val="34"/>
        </w:numPr>
        <w:rPr>
          <w:lang w:val="en-GB"/>
        </w:rPr>
      </w:pPr>
      <w:r w:rsidRPr="00E20701">
        <w:rPr>
          <w:lang w:val="en-GB"/>
        </w:rPr>
        <w:t xml:space="preserve">NUREG/CR-5042 </w:t>
      </w:r>
      <w:r w:rsidR="005D69A3">
        <w:rPr>
          <w:lang w:val="en-GB"/>
        </w:rPr>
        <w:fldChar w:fldCharType="begin"/>
      </w:r>
      <w:r w:rsidR="005D69A3">
        <w:rPr>
          <w:lang w:val="en-GB"/>
        </w:rPr>
        <w:instrText xml:space="preserve"> REF _Ref418687617 \r \h </w:instrText>
      </w:r>
      <w:r w:rsidR="005D69A3">
        <w:rPr>
          <w:lang w:val="en-GB"/>
        </w:rPr>
      </w:r>
      <w:r w:rsidR="005D69A3">
        <w:rPr>
          <w:lang w:val="en-GB"/>
        </w:rPr>
        <w:fldChar w:fldCharType="separate"/>
      </w:r>
      <w:r w:rsidR="00E62976">
        <w:rPr>
          <w:lang w:val="en-GB"/>
        </w:rPr>
        <w:t>[74]</w:t>
      </w:r>
      <w:r w:rsidR="005D69A3">
        <w:rPr>
          <w:lang w:val="en-GB"/>
        </w:rPr>
        <w:fldChar w:fldCharType="end"/>
      </w:r>
      <w:r w:rsidRPr="00E20701">
        <w:rPr>
          <w:lang w:val="en-GB"/>
        </w:rPr>
        <w:t>.</w:t>
      </w:r>
    </w:p>
    <w:p w:rsidR="00FA6F73" w:rsidRPr="00C70893" w:rsidRDefault="00FA6F73" w:rsidP="00FA6F73">
      <w:pPr>
        <w:rPr>
          <w:lang w:val="en-GB"/>
        </w:rPr>
      </w:pPr>
      <w:r w:rsidRPr="00C70893">
        <w:rPr>
          <w:lang w:val="en-GB"/>
        </w:rPr>
        <w:t>Grouping the various types of external events is useful for structuring the information presented, and makes it possible to perform a tentative completeness check of the events identified, (e.g., the external events can be grouped into air, ground, or water related events and/or into natural events (e.g. various extreme weather conditions) and man-made events (e.g., airplane crash, gas explosion).</w:t>
      </w:r>
    </w:p>
    <w:p w:rsidR="00FA6F73" w:rsidRPr="00C70893" w:rsidRDefault="00FA6F73" w:rsidP="00FA6F73">
      <w:pPr>
        <w:rPr>
          <w:lang w:val="en-GB"/>
        </w:rPr>
      </w:pPr>
      <w:r w:rsidRPr="00C70893">
        <w:rPr>
          <w:lang w:val="en-GB"/>
        </w:rPr>
        <w:t>Note that each event is classified only into one event group, even if it has characteristics from more than one group.</w:t>
      </w:r>
    </w:p>
    <w:p w:rsidR="00FA6F73" w:rsidRPr="00C70893" w:rsidRDefault="00FA6F73" w:rsidP="00FA6F73">
      <w:pPr>
        <w:rPr>
          <w:lang w:val="en-GB"/>
        </w:rPr>
      </w:pPr>
    </w:p>
    <w:p w:rsidR="00FA6F73" w:rsidRPr="00C70893" w:rsidRDefault="00FA6F73" w:rsidP="00FA6F73">
      <w:pPr>
        <w:rPr>
          <w:u w:val="single"/>
          <w:lang w:val="en-GB"/>
        </w:rPr>
      </w:pPr>
      <w:r w:rsidRPr="00C70893">
        <w:rPr>
          <w:u w:val="single"/>
          <w:lang w:val="en-GB"/>
        </w:rPr>
        <w:t>Identification of Combined External Events</w:t>
      </w:r>
    </w:p>
    <w:p w:rsidR="00FA6F73" w:rsidRPr="00C70893" w:rsidRDefault="00FA6F73" w:rsidP="00FA6F73">
      <w:pPr>
        <w:rPr>
          <w:lang w:val="en-GB"/>
        </w:rPr>
      </w:pPr>
      <w:r w:rsidRPr="00C70893">
        <w:rPr>
          <w:lang w:val="en-GB"/>
        </w:rPr>
        <w:t>The identification of combined external events is based on the analysis of potential single external events. The entire list is used.</w:t>
      </w:r>
    </w:p>
    <w:p w:rsidR="00FA6F73" w:rsidRPr="00C70893" w:rsidRDefault="00FA6F73" w:rsidP="00FA6F73">
      <w:pPr>
        <w:rPr>
          <w:lang w:val="en-GB"/>
        </w:rPr>
      </w:pPr>
      <w:r w:rsidRPr="00C70893">
        <w:rPr>
          <w:lang w:val="en-GB"/>
        </w:rPr>
        <w:t>Generally, a combination of external events is considered to be relevant, if the combination has either a higher degree of severity or additional effects on the plant compared to those of the single event. Typically, a combination of hazards involves natural events (e.g., heavy wind and high sea water level). However, combinations of natural and man-made events are also possible and cannot be excluded beforehand (e.g. increased risk of ship accidents during heavy weather conditions).</w:t>
      </w:r>
    </w:p>
    <w:p w:rsidR="00FA6F73" w:rsidRPr="00C70893" w:rsidRDefault="00FA6F73" w:rsidP="00FA6F73">
      <w:pPr>
        <w:rPr>
          <w:lang w:val="en-GB"/>
        </w:rPr>
      </w:pPr>
      <w:r w:rsidRPr="00C70893">
        <w:rPr>
          <w:lang w:val="en-GB"/>
        </w:rPr>
        <w:t>The identification of combined external hazards focuses on the identification of correlation mechanisms, such as:</w:t>
      </w:r>
    </w:p>
    <w:p w:rsidR="00FA6F73" w:rsidRPr="00C70893" w:rsidRDefault="00FA6F73" w:rsidP="00E62976">
      <w:pPr>
        <w:numPr>
          <w:ilvl w:val="0"/>
          <w:numId w:val="34"/>
        </w:numPr>
        <w:rPr>
          <w:lang w:val="en-GB"/>
        </w:rPr>
      </w:pPr>
      <w:r w:rsidRPr="00C70893">
        <w:rPr>
          <w:lang w:val="en-GB"/>
        </w:rPr>
        <w:t>Source correlated hazards, e.g. earthquake and tsunami,</w:t>
      </w:r>
    </w:p>
    <w:p w:rsidR="00FA6F73" w:rsidRPr="00C70893" w:rsidRDefault="00FA6F73" w:rsidP="00E62976">
      <w:pPr>
        <w:numPr>
          <w:ilvl w:val="0"/>
          <w:numId w:val="34"/>
        </w:numPr>
        <w:rPr>
          <w:lang w:val="en-GB"/>
        </w:rPr>
      </w:pPr>
      <w:r w:rsidRPr="00C70893">
        <w:rPr>
          <w:lang w:val="en-GB"/>
        </w:rPr>
        <w:t>Phenomenological correlated hazards, e.g. strong wind and heavy rain,</w:t>
      </w:r>
    </w:p>
    <w:p w:rsidR="00FA6F73" w:rsidRPr="00C70893" w:rsidRDefault="00FA6F73" w:rsidP="00E62976">
      <w:pPr>
        <w:numPr>
          <w:ilvl w:val="0"/>
          <w:numId w:val="34"/>
        </w:numPr>
        <w:rPr>
          <w:lang w:val="en-GB"/>
        </w:rPr>
      </w:pPr>
      <w:r w:rsidRPr="00C70893">
        <w:rPr>
          <w:lang w:val="en-GB"/>
        </w:rPr>
        <w:t>Induced hazards, e.g. earthquake and earthquake induced fire.</w:t>
      </w:r>
    </w:p>
    <w:p w:rsidR="00FA6F73" w:rsidRPr="00C70893" w:rsidRDefault="00FA6F73" w:rsidP="00FA6F73">
      <w:pPr>
        <w:rPr>
          <w:lang w:val="en-GB"/>
        </w:rPr>
      </w:pPr>
      <w:r w:rsidRPr="00C70893">
        <w:rPr>
          <w:lang w:val="en-GB"/>
        </w:rPr>
        <w:t>In addition</w:t>
      </w:r>
      <w:r w:rsidR="008E4555" w:rsidRPr="00C70893">
        <w:rPr>
          <w:lang w:val="en-GB"/>
        </w:rPr>
        <w:t>,</w:t>
      </w:r>
      <w:r w:rsidRPr="00C70893">
        <w:rPr>
          <w:lang w:val="en-GB"/>
        </w:rPr>
        <w:t xml:space="preserve"> uncorrelated events may be relevant if they have a large </w:t>
      </w:r>
      <w:r w:rsidR="007B7EB4" w:rsidRPr="00C70893">
        <w:rPr>
          <w:lang w:val="en-GB"/>
        </w:rPr>
        <w:t>frequency of occurrence/exceedance frequency</w:t>
      </w:r>
      <w:r w:rsidRPr="00C70893">
        <w:rPr>
          <w:lang w:val="en-GB"/>
        </w:rPr>
        <w:t xml:space="preserve"> and/or a long duration.</w:t>
      </w:r>
    </w:p>
    <w:p w:rsidR="00FA6F73" w:rsidRPr="00C70893" w:rsidRDefault="00FA6F73" w:rsidP="00FA6F73">
      <w:pPr>
        <w:rPr>
          <w:lang w:val="en-GB"/>
        </w:rPr>
      </w:pPr>
      <w:r w:rsidRPr="00C70893">
        <w:rPr>
          <w:lang w:val="en-GB"/>
        </w:rPr>
        <w:t xml:space="preserve">Note that external events that have been originally screened out as single events using the screening criteria C3/Distance, C4/Inclusion and C6/Applicability (see </w:t>
      </w:r>
      <w:r w:rsidR="00125AF4" w:rsidRPr="00C70893">
        <w:rPr>
          <w:lang w:val="en-GB"/>
        </w:rPr>
        <w:fldChar w:fldCharType="begin"/>
      </w:r>
      <w:r w:rsidR="008E4555" w:rsidRPr="00C70893">
        <w:rPr>
          <w:lang w:val="en-GB"/>
        </w:rPr>
        <w:instrText xml:space="preserve"> REF _Ref418682145 \h </w:instrText>
      </w:r>
      <w:r w:rsidR="00125AF4" w:rsidRPr="00C70893">
        <w:rPr>
          <w:lang w:val="en-GB"/>
        </w:rPr>
      </w:r>
      <w:r w:rsidR="00125AF4" w:rsidRPr="00C70893">
        <w:rPr>
          <w:lang w:val="en-GB"/>
        </w:rPr>
        <w:fldChar w:fldCharType="separate"/>
      </w:r>
      <w:r w:rsidR="00E62976" w:rsidRPr="00C70893">
        <w:rPr>
          <w:lang w:val="en-GB"/>
        </w:rPr>
        <w:t xml:space="preserve">Table </w:t>
      </w:r>
      <w:r w:rsidR="00E62976">
        <w:rPr>
          <w:noProof/>
          <w:lang w:val="en-GB"/>
        </w:rPr>
        <w:t>5</w:t>
      </w:r>
      <w:r w:rsidR="00E62976">
        <w:rPr>
          <w:lang w:val="en-GB"/>
        </w:rPr>
        <w:noBreakHyphen/>
      </w:r>
      <w:r w:rsidR="00E62976">
        <w:rPr>
          <w:noProof/>
          <w:lang w:val="en-GB"/>
        </w:rPr>
        <w:t>4</w:t>
      </w:r>
      <w:r w:rsidR="00125AF4" w:rsidRPr="00C70893">
        <w:rPr>
          <w:lang w:val="en-GB"/>
        </w:rPr>
        <w:fldChar w:fldCharType="end"/>
      </w:r>
      <w:r w:rsidRPr="00C70893">
        <w:rPr>
          <w:lang w:val="en-GB"/>
        </w:rPr>
        <w:t>) are considered to be not relevant candidates of a combination.</w:t>
      </w:r>
    </w:p>
    <w:p w:rsidR="008E4555" w:rsidRPr="00C70893" w:rsidRDefault="008E4555" w:rsidP="00FA6F73">
      <w:pPr>
        <w:rPr>
          <w:lang w:val="en-GB"/>
        </w:rPr>
      </w:pPr>
    </w:p>
    <w:p w:rsidR="00FA6F73" w:rsidRPr="00C70893" w:rsidRDefault="00FA6F73" w:rsidP="00FA6F73">
      <w:pPr>
        <w:rPr>
          <w:u w:val="single"/>
          <w:lang w:val="en-GB"/>
        </w:rPr>
      </w:pPr>
      <w:r w:rsidRPr="00C70893">
        <w:rPr>
          <w:u w:val="single"/>
          <w:lang w:val="en-GB"/>
        </w:rPr>
        <w:t>General Effects from External Events</w:t>
      </w:r>
    </w:p>
    <w:p w:rsidR="00FA6F73" w:rsidRPr="00C70893" w:rsidRDefault="00FA6F73" w:rsidP="00FA6F73">
      <w:pPr>
        <w:rPr>
          <w:lang w:val="en-GB"/>
        </w:rPr>
      </w:pPr>
      <w:r w:rsidRPr="00C70893">
        <w:rPr>
          <w:lang w:val="en-GB"/>
        </w:rPr>
        <w:t>Then</w:t>
      </w:r>
      <w:r w:rsidR="008E4555" w:rsidRPr="00C70893">
        <w:rPr>
          <w:lang w:val="en-GB"/>
        </w:rPr>
        <w:t>,</w:t>
      </w:r>
      <w:r w:rsidRPr="00C70893">
        <w:rPr>
          <w:lang w:val="en-GB"/>
        </w:rPr>
        <w:t xml:space="preserve"> it is useful to summarize the potential general effects which the external events may have on the plant. For this purpose a list with the main categories</w:t>
      </w:r>
      <w:r w:rsidR="008E4555" w:rsidRPr="00C70893">
        <w:rPr>
          <w:lang w:val="en-GB"/>
        </w:rPr>
        <w:t>,</w:t>
      </w:r>
      <w:r w:rsidRPr="00C70893">
        <w:rPr>
          <w:lang w:val="en-GB"/>
        </w:rPr>
        <w:t xml:space="preserve"> in which the plant impact might fall for the most external events</w:t>
      </w:r>
      <w:r w:rsidR="008E4555" w:rsidRPr="00C70893">
        <w:rPr>
          <w:lang w:val="en-GB"/>
        </w:rPr>
        <w:t>,</w:t>
      </w:r>
      <w:r w:rsidRPr="00C70893">
        <w:rPr>
          <w:lang w:val="en-GB"/>
        </w:rPr>
        <w:t xml:space="preserve"> should be established.</w:t>
      </w:r>
    </w:p>
    <w:p w:rsidR="00FA6F73" w:rsidRPr="00C70893" w:rsidRDefault="00FA6F73" w:rsidP="00FA6F73">
      <w:pPr>
        <w:rPr>
          <w:lang w:val="en-GB"/>
        </w:rPr>
      </w:pPr>
      <w:r w:rsidRPr="00C70893">
        <w:rPr>
          <w:lang w:val="en-GB"/>
        </w:rPr>
        <w:t xml:space="preserve">An example of plant effect classes is given in </w:t>
      </w:r>
      <w:r w:rsidR="00125AF4" w:rsidRPr="00C70893">
        <w:rPr>
          <w:lang w:val="en-GB"/>
        </w:rPr>
        <w:fldChar w:fldCharType="begin"/>
      </w:r>
      <w:r w:rsidR="008E4555" w:rsidRPr="00C70893">
        <w:rPr>
          <w:lang w:val="en-GB"/>
        </w:rPr>
        <w:instrText xml:space="preserve"> REF _Ref418682165 \h </w:instrText>
      </w:r>
      <w:r w:rsidR="00125AF4" w:rsidRPr="00C70893">
        <w:rPr>
          <w:lang w:val="en-GB"/>
        </w:rPr>
      </w:r>
      <w:r w:rsidR="00125AF4" w:rsidRPr="00C70893">
        <w:rPr>
          <w:lang w:val="en-GB"/>
        </w:rPr>
        <w:fldChar w:fldCharType="separate"/>
      </w:r>
      <w:r w:rsidR="00E62976" w:rsidRPr="00C70893">
        <w:rPr>
          <w:lang w:val="en-GB"/>
        </w:rPr>
        <w:t xml:space="preserve">Table </w:t>
      </w:r>
      <w:r w:rsidR="00E62976">
        <w:rPr>
          <w:noProof/>
          <w:lang w:val="en-GB"/>
        </w:rPr>
        <w:t>5</w:t>
      </w:r>
      <w:r w:rsidR="00E62976">
        <w:rPr>
          <w:lang w:val="en-GB"/>
        </w:rPr>
        <w:noBreakHyphen/>
      </w:r>
      <w:r w:rsidR="00E62976">
        <w:rPr>
          <w:noProof/>
          <w:lang w:val="en-GB"/>
        </w:rPr>
        <w:t>3</w:t>
      </w:r>
      <w:r w:rsidR="00125AF4" w:rsidRPr="00C70893">
        <w:rPr>
          <w:lang w:val="en-GB"/>
        </w:rPr>
        <w:fldChar w:fldCharType="end"/>
      </w:r>
      <w:r w:rsidRPr="00C70893">
        <w:rPr>
          <w:lang w:val="en-GB"/>
        </w:rPr>
        <w:t>.</w:t>
      </w:r>
    </w:p>
    <w:p w:rsidR="00FA6F73" w:rsidRPr="00C70893" w:rsidRDefault="008E4555" w:rsidP="00C70893">
      <w:pPr>
        <w:pStyle w:val="Lgende"/>
        <w:keepNext/>
        <w:rPr>
          <w:lang w:val="en-GB"/>
        </w:rPr>
      </w:pPr>
      <w:bookmarkStart w:id="444" w:name="_Ref418682165"/>
      <w:r w:rsidRPr="00C70893">
        <w:rPr>
          <w:lang w:val="en-GB"/>
        </w:rPr>
        <w:t xml:space="preserve">Table </w:t>
      </w:r>
      <w:r w:rsidR="00125AF4">
        <w:rPr>
          <w:lang w:val="en-GB"/>
        </w:rPr>
        <w:fldChar w:fldCharType="begin"/>
      </w:r>
      <w:r w:rsidR="00B855BA">
        <w:rPr>
          <w:lang w:val="en-GB"/>
        </w:rPr>
        <w:instrText xml:space="preserve"> STYLEREF 1 \s </w:instrText>
      </w:r>
      <w:r w:rsidR="00125AF4">
        <w:rPr>
          <w:lang w:val="en-GB"/>
        </w:rPr>
        <w:fldChar w:fldCharType="separate"/>
      </w:r>
      <w:r w:rsidR="00E62976">
        <w:rPr>
          <w:noProof/>
          <w:lang w:val="en-GB"/>
        </w:rPr>
        <w:t>5</w:t>
      </w:r>
      <w:r w:rsidR="00125AF4">
        <w:rPr>
          <w:lang w:val="en-GB"/>
        </w:rPr>
        <w:fldChar w:fldCharType="end"/>
      </w:r>
      <w:r w:rsidR="00B855BA">
        <w:rPr>
          <w:lang w:val="en-GB"/>
        </w:rPr>
        <w:noBreakHyphen/>
      </w:r>
      <w:r w:rsidR="00125AF4">
        <w:rPr>
          <w:lang w:val="en-GB"/>
        </w:rPr>
        <w:fldChar w:fldCharType="begin"/>
      </w:r>
      <w:r w:rsidR="00B855BA">
        <w:rPr>
          <w:lang w:val="en-GB"/>
        </w:rPr>
        <w:instrText xml:space="preserve"> SEQ Table \* ARABIC \s 1 </w:instrText>
      </w:r>
      <w:r w:rsidR="00125AF4">
        <w:rPr>
          <w:lang w:val="en-GB"/>
        </w:rPr>
        <w:fldChar w:fldCharType="separate"/>
      </w:r>
      <w:r w:rsidR="00E62976">
        <w:rPr>
          <w:noProof/>
          <w:lang w:val="en-GB"/>
        </w:rPr>
        <w:t>3</w:t>
      </w:r>
      <w:r w:rsidR="00125AF4">
        <w:rPr>
          <w:lang w:val="en-GB"/>
        </w:rPr>
        <w:fldChar w:fldCharType="end"/>
      </w:r>
      <w:bookmarkEnd w:id="444"/>
      <w:r w:rsidR="00FA6F73" w:rsidRPr="00C70893">
        <w:rPr>
          <w:lang w:val="en-GB"/>
        </w:rPr>
        <w:t xml:space="preserve"> Example of plant impacts type</w:t>
      </w:r>
    </w:p>
    <w:tbl>
      <w:tblPr>
        <w:tblStyle w:val="Grilledutableau"/>
        <w:tblW w:w="0" w:type="auto"/>
        <w:tblLook w:val="04A0" w:firstRow="1" w:lastRow="0" w:firstColumn="1" w:lastColumn="0" w:noHBand="0" w:noVBand="1"/>
      </w:tblPr>
      <w:tblGrid>
        <w:gridCol w:w="2093"/>
        <w:gridCol w:w="7119"/>
      </w:tblGrid>
      <w:tr w:rsidR="008E4555" w:rsidRPr="00E20701" w:rsidTr="007E7A24">
        <w:tc>
          <w:tcPr>
            <w:tcW w:w="2093" w:type="dxa"/>
            <w:shd w:val="clear" w:color="auto" w:fill="D9D9D9" w:themeFill="background1" w:themeFillShade="D9"/>
          </w:tcPr>
          <w:p w:rsidR="008E4555" w:rsidRPr="00C70893" w:rsidRDefault="008E4555" w:rsidP="007E7A24">
            <w:pPr>
              <w:rPr>
                <w:b/>
                <w:lang w:val="en-GB"/>
              </w:rPr>
            </w:pPr>
            <w:r w:rsidRPr="00C70893">
              <w:rPr>
                <w:b/>
                <w:lang w:val="en-GB"/>
              </w:rPr>
              <w:t>IMPACT TYPE</w:t>
            </w:r>
          </w:p>
        </w:tc>
        <w:tc>
          <w:tcPr>
            <w:tcW w:w="7119" w:type="dxa"/>
            <w:shd w:val="clear" w:color="auto" w:fill="D9D9D9" w:themeFill="background1" w:themeFillShade="D9"/>
          </w:tcPr>
          <w:p w:rsidR="008E4555" w:rsidRPr="00C70893" w:rsidRDefault="008E4555" w:rsidP="007E7A24">
            <w:pPr>
              <w:rPr>
                <w:b/>
                <w:lang w:val="en-GB"/>
              </w:rPr>
            </w:pPr>
            <w:r w:rsidRPr="00C70893">
              <w:rPr>
                <w:b/>
                <w:lang w:val="en-GB"/>
              </w:rPr>
              <w:t xml:space="preserve">DESCRIPTION </w:t>
            </w:r>
          </w:p>
        </w:tc>
      </w:tr>
      <w:tr w:rsidR="008E4555" w:rsidRPr="00304D8A" w:rsidTr="007E7A24">
        <w:tc>
          <w:tcPr>
            <w:tcW w:w="2093" w:type="dxa"/>
          </w:tcPr>
          <w:p w:rsidR="008E4555" w:rsidRPr="00C70893" w:rsidRDefault="008E4555" w:rsidP="007E7A24">
            <w:pPr>
              <w:spacing w:line="276" w:lineRule="auto"/>
              <w:rPr>
                <w:b/>
                <w:lang w:val="en-GB"/>
              </w:rPr>
            </w:pPr>
            <w:r w:rsidRPr="00C70893">
              <w:rPr>
                <w:lang w:val="en-GB"/>
              </w:rPr>
              <w:t xml:space="preserve">Structure/Pressure </w:t>
            </w:r>
          </w:p>
          <w:p w:rsidR="008E4555" w:rsidRPr="00C70893" w:rsidRDefault="008E4555" w:rsidP="007E7A24">
            <w:pPr>
              <w:spacing w:line="276" w:lineRule="auto"/>
              <w:rPr>
                <w:b/>
                <w:lang w:val="en-GB"/>
              </w:rPr>
            </w:pPr>
            <w:r w:rsidRPr="00C70893">
              <w:rPr>
                <w:lang w:val="en-GB"/>
              </w:rPr>
              <w:t xml:space="preserve">Structure / Missile </w:t>
            </w:r>
          </w:p>
        </w:tc>
        <w:tc>
          <w:tcPr>
            <w:tcW w:w="7119" w:type="dxa"/>
          </w:tcPr>
          <w:p w:rsidR="008E4555" w:rsidRPr="00C70893" w:rsidRDefault="008E4555" w:rsidP="007E7A24">
            <w:pPr>
              <w:spacing w:line="276" w:lineRule="auto"/>
              <w:rPr>
                <w:lang w:val="en-GB"/>
              </w:rPr>
            </w:pPr>
            <w:r w:rsidRPr="00C70893">
              <w:rPr>
                <w:lang w:val="en-GB"/>
              </w:rPr>
              <w:t>The external events affect the structure and disable the safety function contained. These events involve a direct or a pressure-wave impact</w:t>
            </w:r>
            <w:r w:rsidR="0009180F">
              <w:rPr>
                <w:lang w:val="en-GB"/>
              </w:rPr>
              <w:t>.</w:t>
            </w:r>
          </w:p>
        </w:tc>
      </w:tr>
      <w:tr w:rsidR="008E4555" w:rsidRPr="00304D8A" w:rsidTr="007E7A24">
        <w:tc>
          <w:tcPr>
            <w:tcW w:w="2093" w:type="dxa"/>
          </w:tcPr>
          <w:p w:rsidR="008E4555" w:rsidRPr="00C70893" w:rsidRDefault="008E4555" w:rsidP="007E7A24">
            <w:pPr>
              <w:spacing w:line="276" w:lineRule="auto"/>
              <w:jc w:val="left"/>
              <w:rPr>
                <w:b/>
                <w:lang w:val="en-GB"/>
              </w:rPr>
            </w:pPr>
            <w:r w:rsidRPr="00C70893">
              <w:rPr>
                <w:lang w:val="en-GB"/>
              </w:rPr>
              <w:t>Heating, Ventilation, Air Conditioning (HVAC)</w:t>
            </w:r>
          </w:p>
        </w:tc>
        <w:tc>
          <w:tcPr>
            <w:tcW w:w="7119" w:type="dxa"/>
          </w:tcPr>
          <w:p w:rsidR="008E4555" w:rsidRPr="00C70893" w:rsidRDefault="008E4555" w:rsidP="007E7A24">
            <w:pPr>
              <w:spacing w:line="276" w:lineRule="auto"/>
              <w:rPr>
                <w:lang w:val="en-GB"/>
              </w:rPr>
            </w:pPr>
            <w:r w:rsidRPr="00C70893">
              <w:rPr>
                <w:lang w:val="en-GB"/>
              </w:rPr>
              <w:t>The external event affects HVAC functions and may cause partial or total loss of safety systems relying on heating or cooling. Alternatively, the event may affect the plant crew through the ventilation system, e.g., toxic gases.</w:t>
            </w:r>
          </w:p>
        </w:tc>
      </w:tr>
      <w:tr w:rsidR="008E4555" w:rsidRPr="00304D8A" w:rsidTr="007E7A24">
        <w:tc>
          <w:tcPr>
            <w:tcW w:w="2093" w:type="dxa"/>
          </w:tcPr>
          <w:p w:rsidR="008E4555" w:rsidRPr="00C70893" w:rsidRDefault="008E4555" w:rsidP="007E7A24">
            <w:pPr>
              <w:spacing w:line="276" w:lineRule="auto"/>
              <w:rPr>
                <w:b/>
                <w:lang w:val="en-GB"/>
              </w:rPr>
            </w:pPr>
            <w:r w:rsidRPr="00C70893">
              <w:rPr>
                <w:lang w:val="en-GB"/>
              </w:rPr>
              <w:t>Ultimate heat sink</w:t>
            </w:r>
          </w:p>
        </w:tc>
        <w:tc>
          <w:tcPr>
            <w:tcW w:w="7119" w:type="dxa"/>
          </w:tcPr>
          <w:p w:rsidR="008E4555" w:rsidRPr="00C70893" w:rsidRDefault="008E4555" w:rsidP="007E7A24">
            <w:pPr>
              <w:spacing w:line="276" w:lineRule="auto"/>
              <w:rPr>
                <w:lang w:val="en-GB"/>
              </w:rPr>
            </w:pPr>
            <w:r w:rsidRPr="00C70893">
              <w:rPr>
                <w:lang w:val="en-GB"/>
              </w:rPr>
              <w:t>The external event affects the ultimate heat sink and may cause partial or total loss of secondary cooling.</w:t>
            </w:r>
          </w:p>
        </w:tc>
      </w:tr>
      <w:tr w:rsidR="008E4555" w:rsidRPr="00304D8A" w:rsidTr="007E7A24">
        <w:tc>
          <w:tcPr>
            <w:tcW w:w="2093" w:type="dxa"/>
          </w:tcPr>
          <w:p w:rsidR="008E4555" w:rsidRPr="00C70893" w:rsidRDefault="008E4555" w:rsidP="007E7A24">
            <w:pPr>
              <w:spacing w:line="276" w:lineRule="auto"/>
              <w:rPr>
                <w:b/>
                <w:lang w:val="en-GB"/>
              </w:rPr>
            </w:pPr>
            <w:r w:rsidRPr="00C70893">
              <w:rPr>
                <w:lang w:val="en-GB"/>
              </w:rPr>
              <w:t>Power supply</w:t>
            </w:r>
          </w:p>
        </w:tc>
        <w:tc>
          <w:tcPr>
            <w:tcW w:w="7119" w:type="dxa"/>
          </w:tcPr>
          <w:p w:rsidR="008E4555" w:rsidRPr="00C70893" w:rsidRDefault="008E4555" w:rsidP="007E7A24">
            <w:pPr>
              <w:spacing w:line="276" w:lineRule="auto"/>
              <w:rPr>
                <w:lang w:val="en-GB"/>
              </w:rPr>
            </w:pPr>
            <w:r w:rsidRPr="00C70893">
              <w:rPr>
                <w:lang w:val="en-GB"/>
              </w:rPr>
              <w:t>The external event affects the offsite power and may cause loss of offsite power.</w:t>
            </w:r>
          </w:p>
        </w:tc>
      </w:tr>
      <w:tr w:rsidR="008E4555" w:rsidRPr="00304D8A" w:rsidTr="007E7A24">
        <w:tc>
          <w:tcPr>
            <w:tcW w:w="2093" w:type="dxa"/>
          </w:tcPr>
          <w:p w:rsidR="008E4555" w:rsidRPr="00C70893" w:rsidRDefault="008E4555" w:rsidP="007E7A24">
            <w:pPr>
              <w:spacing w:line="276" w:lineRule="auto"/>
              <w:rPr>
                <w:b/>
                <w:lang w:val="en-GB"/>
              </w:rPr>
            </w:pPr>
            <w:r w:rsidRPr="00C70893">
              <w:rPr>
                <w:lang w:val="en-GB"/>
              </w:rPr>
              <w:t>External flooding</w:t>
            </w:r>
          </w:p>
        </w:tc>
        <w:tc>
          <w:tcPr>
            <w:tcW w:w="7119" w:type="dxa"/>
          </w:tcPr>
          <w:p w:rsidR="008E4555" w:rsidRPr="00C70893" w:rsidRDefault="008E4555" w:rsidP="007E7A24">
            <w:pPr>
              <w:spacing w:line="276" w:lineRule="auto"/>
              <w:rPr>
                <w:lang w:val="en-GB"/>
              </w:rPr>
            </w:pPr>
            <w:r w:rsidRPr="00C70893">
              <w:rPr>
                <w:lang w:val="en-GB"/>
              </w:rPr>
              <w:t>The external event causes flooding of buildings or structure and may disable the safety functions contained.</w:t>
            </w:r>
          </w:p>
        </w:tc>
      </w:tr>
      <w:tr w:rsidR="008E4555" w:rsidRPr="00304D8A" w:rsidTr="007E7A24">
        <w:tc>
          <w:tcPr>
            <w:tcW w:w="2093" w:type="dxa"/>
          </w:tcPr>
          <w:p w:rsidR="008E4555" w:rsidRPr="00C70893" w:rsidRDefault="008E4555" w:rsidP="007E7A24">
            <w:pPr>
              <w:spacing w:line="276" w:lineRule="auto"/>
              <w:rPr>
                <w:b/>
                <w:lang w:val="en-GB"/>
              </w:rPr>
            </w:pPr>
            <w:r w:rsidRPr="00C70893">
              <w:rPr>
                <w:lang w:val="en-GB"/>
              </w:rPr>
              <w:t>External fire</w:t>
            </w:r>
          </w:p>
        </w:tc>
        <w:tc>
          <w:tcPr>
            <w:tcW w:w="7119" w:type="dxa"/>
          </w:tcPr>
          <w:p w:rsidR="008E4555" w:rsidRPr="00C70893" w:rsidRDefault="008E4555" w:rsidP="00CC1820">
            <w:pPr>
              <w:spacing w:line="276" w:lineRule="auto"/>
              <w:rPr>
                <w:lang w:val="en-GB"/>
              </w:rPr>
            </w:pPr>
            <w:r w:rsidRPr="00C70893">
              <w:rPr>
                <w:lang w:val="en-GB"/>
              </w:rPr>
              <w:t xml:space="preserve">The external event causes fire in buildings or structure and may disable the safety functions contained. In accordance with NUREG-1407 </w:t>
            </w:r>
            <w:r w:rsidR="001E56D8">
              <w:rPr>
                <w:lang w:val="en-GB"/>
              </w:rPr>
              <w:fldChar w:fldCharType="begin"/>
            </w:r>
            <w:r w:rsidR="001E56D8">
              <w:rPr>
                <w:lang w:val="en-GB"/>
              </w:rPr>
              <w:instrText xml:space="preserve"> REF _Ref450740600 \r \h </w:instrText>
            </w:r>
            <w:r w:rsidR="001E56D8">
              <w:rPr>
                <w:lang w:val="en-GB"/>
              </w:rPr>
            </w:r>
            <w:r w:rsidR="001E56D8">
              <w:rPr>
                <w:lang w:val="en-GB"/>
              </w:rPr>
              <w:fldChar w:fldCharType="separate"/>
            </w:r>
            <w:r w:rsidR="00E62976">
              <w:rPr>
                <w:lang w:val="en-GB"/>
              </w:rPr>
              <w:t>[75]</w:t>
            </w:r>
            <w:r w:rsidR="001E56D8">
              <w:rPr>
                <w:lang w:val="en-GB"/>
              </w:rPr>
              <w:fldChar w:fldCharType="end"/>
            </w:r>
            <w:r w:rsidRPr="00C70893">
              <w:rPr>
                <w:lang w:val="en-GB"/>
              </w:rPr>
              <w:t xml:space="preserve"> the potential effects of fire on the plant could be the loss of offsite power, forced isolation of the plant ventilation.</w:t>
            </w:r>
          </w:p>
        </w:tc>
      </w:tr>
      <w:tr w:rsidR="008E4555" w:rsidRPr="00304D8A" w:rsidTr="007E7A24">
        <w:tc>
          <w:tcPr>
            <w:tcW w:w="2093" w:type="dxa"/>
          </w:tcPr>
          <w:p w:rsidR="008E4555" w:rsidRPr="00C70893" w:rsidRDefault="008E4555" w:rsidP="007E7A24">
            <w:pPr>
              <w:spacing w:line="276" w:lineRule="auto"/>
              <w:rPr>
                <w:b/>
                <w:lang w:val="en-GB"/>
              </w:rPr>
            </w:pPr>
            <w:r w:rsidRPr="00C70893">
              <w:rPr>
                <w:lang w:val="en-GB"/>
              </w:rPr>
              <w:t>Electric</w:t>
            </w:r>
          </w:p>
        </w:tc>
        <w:tc>
          <w:tcPr>
            <w:tcW w:w="7119" w:type="dxa"/>
          </w:tcPr>
          <w:p w:rsidR="008E4555" w:rsidRPr="00C70893" w:rsidRDefault="008E4555" w:rsidP="007E7A24">
            <w:pPr>
              <w:spacing w:line="276" w:lineRule="auto"/>
              <w:rPr>
                <w:lang w:val="en-GB"/>
              </w:rPr>
            </w:pPr>
            <w:r w:rsidRPr="00C70893">
              <w:rPr>
                <w:lang w:val="en-GB"/>
              </w:rPr>
              <w:t>The external event affects safety functions by creating electrical or magnetic fields.</w:t>
            </w:r>
          </w:p>
        </w:tc>
      </w:tr>
      <w:tr w:rsidR="008E4555" w:rsidRPr="00E20701" w:rsidTr="007E7A24">
        <w:tc>
          <w:tcPr>
            <w:tcW w:w="2093" w:type="dxa"/>
          </w:tcPr>
          <w:p w:rsidR="008E4555" w:rsidRPr="00C70893" w:rsidRDefault="008E4555" w:rsidP="007E7A24">
            <w:pPr>
              <w:spacing w:line="276" w:lineRule="auto"/>
              <w:rPr>
                <w:b/>
                <w:lang w:val="en-GB"/>
              </w:rPr>
            </w:pPr>
            <w:r w:rsidRPr="00C70893">
              <w:rPr>
                <w:lang w:val="en-GB"/>
              </w:rPr>
              <w:t>Other direct impact</w:t>
            </w:r>
          </w:p>
        </w:tc>
        <w:tc>
          <w:tcPr>
            <w:tcW w:w="7119" w:type="dxa"/>
          </w:tcPr>
          <w:p w:rsidR="008E4555" w:rsidRPr="00C70893" w:rsidRDefault="008E4555" w:rsidP="007E7A24">
            <w:pPr>
              <w:spacing w:line="276" w:lineRule="auto"/>
              <w:rPr>
                <w:lang w:val="en-GB"/>
              </w:rPr>
            </w:pPr>
            <w:r w:rsidRPr="00C70893">
              <w:rPr>
                <w:lang w:val="en-GB"/>
              </w:rPr>
              <w:t>In a few cases, the event may work in a way that is not covered by the general categories. Examples are plant isolation/limited accessibility.</w:t>
            </w:r>
          </w:p>
        </w:tc>
      </w:tr>
    </w:tbl>
    <w:p w:rsidR="008E4555" w:rsidRPr="00C70893" w:rsidRDefault="008E4555" w:rsidP="00FA6F73">
      <w:pPr>
        <w:rPr>
          <w:lang w:val="en-GB"/>
        </w:rPr>
      </w:pPr>
    </w:p>
    <w:p w:rsidR="00FA6F73" w:rsidRPr="00C70893" w:rsidRDefault="008E4555" w:rsidP="00FA6F73">
      <w:pPr>
        <w:rPr>
          <w:b/>
          <w:lang w:val="en-GB"/>
        </w:rPr>
      </w:pPr>
      <w:r w:rsidRPr="00C70893">
        <w:rPr>
          <w:b/>
          <w:lang w:val="en-GB"/>
        </w:rPr>
        <w:t>External Events Screening Process</w:t>
      </w:r>
    </w:p>
    <w:p w:rsidR="00FA6F73" w:rsidRPr="00C70893" w:rsidRDefault="00FA6F73" w:rsidP="00FA6F73">
      <w:pPr>
        <w:rPr>
          <w:lang w:val="en-GB"/>
        </w:rPr>
      </w:pPr>
      <w:r w:rsidRPr="00C70893">
        <w:rPr>
          <w:lang w:val="en-GB"/>
        </w:rPr>
        <w:t xml:space="preserve">According to </w:t>
      </w:r>
      <w:r w:rsidR="001E56D8">
        <w:rPr>
          <w:lang w:val="en-GB"/>
        </w:rPr>
        <w:fldChar w:fldCharType="begin"/>
      </w:r>
      <w:r w:rsidR="001E56D8">
        <w:rPr>
          <w:lang w:val="en-GB"/>
        </w:rPr>
        <w:instrText xml:space="preserve"> REF _Ref450740465 \r \h </w:instrText>
      </w:r>
      <w:r w:rsidR="001E56D8">
        <w:rPr>
          <w:lang w:val="en-GB"/>
        </w:rPr>
      </w:r>
      <w:r w:rsidR="001E56D8">
        <w:rPr>
          <w:lang w:val="en-GB"/>
        </w:rPr>
        <w:fldChar w:fldCharType="separate"/>
      </w:r>
      <w:r w:rsidR="00E62976">
        <w:rPr>
          <w:lang w:val="en-GB"/>
        </w:rPr>
        <w:t>[71]</w:t>
      </w:r>
      <w:r w:rsidR="001E56D8">
        <w:rPr>
          <w:lang w:val="en-GB"/>
        </w:rPr>
        <w:fldChar w:fldCharType="end"/>
      </w:r>
      <w:r w:rsidR="008E4555" w:rsidRPr="00C70893">
        <w:rPr>
          <w:lang w:val="en-GB"/>
        </w:rPr>
        <w:t>,</w:t>
      </w:r>
      <w:r w:rsidRPr="00C70893">
        <w:rPr>
          <w:lang w:val="en-GB"/>
        </w:rPr>
        <w:t xml:space="preserve"> two screening processes are considered:</w:t>
      </w:r>
    </w:p>
    <w:p w:rsidR="00FA6F73" w:rsidRPr="00C70893" w:rsidRDefault="00FA6F73" w:rsidP="00C70893">
      <w:pPr>
        <w:ind w:left="284" w:hanging="284"/>
        <w:rPr>
          <w:lang w:val="en-GB"/>
        </w:rPr>
      </w:pPr>
      <w:r w:rsidRPr="00C70893">
        <w:rPr>
          <w:lang w:val="en-GB"/>
        </w:rPr>
        <w:t>Relevancy screening: it has the aim to discard such potential single or combined external events, which are not relevant to the nuclear power plant due to its location. The result of the relevancy screening is a list of site relevant external events.</w:t>
      </w:r>
    </w:p>
    <w:p w:rsidR="00FA6F73" w:rsidRPr="00C70893" w:rsidRDefault="00FA6F73" w:rsidP="00C70893">
      <w:pPr>
        <w:ind w:left="284" w:hanging="284"/>
        <w:rPr>
          <w:lang w:val="en-GB"/>
        </w:rPr>
      </w:pPr>
      <w:r w:rsidRPr="00C70893">
        <w:rPr>
          <w:lang w:val="en-GB"/>
        </w:rPr>
        <w:t>Impact screening: considers the list of site relevant external events and eliminate those potential external events which, with the maximal strength imaginable at the site, will not even have minor effects on the plant structures, cooling, and electrical transmission or on the plant operation. The result of the impact screening is a list of potential plant</w:t>
      </w:r>
      <w:r w:rsidR="008E4555" w:rsidRPr="00C70893">
        <w:rPr>
          <w:lang w:val="en-GB"/>
        </w:rPr>
        <w:t>-</w:t>
      </w:r>
      <w:r w:rsidRPr="00C70893">
        <w:rPr>
          <w:lang w:val="en-GB"/>
        </w:rPr>
        <w:t>relevant external events.</w:t>
      </w:r>
    </w:p>
    <w:p w:rsidR="008E4555" w:rsidRPr="00C70893" w:rsidRDefault="008E4555" w:rsidP="00FA6F73">
      <w:pPr>
        <w:rPr>
          <w:lang w:val="en-GB"/>
        </w:rPr>
      </w:pPr>
    </w:p>
    <w:p w:rsidR="00FA6F73" w:rsidRPr="00C70893" w:rsidRDefault="00FA6F73" w:rsidP="005F1EF2">
      <w:pPr>
        <w:keepNext/>
        <w:rPr>
          <w:u w:val="single"/>
          <w:lang w:val="en-GB"/>
        </w:rPr>
      </w:pPr>
      <w:r w:rsidRPr="00C70893">
        <w:rPr>
          <w:u w:val="single"/>
          <w:lang w:val="en-GB"/>
        </w:rPr>
        <w:t>Screening Criteria for Single External Events</w:t>
      </w:r>
    </w:p>
    <w:p w:rsidR="00FA6F73" w:rsidRPr="00C70893" w:rsidRDefault="00FA6F73" w:rsidP="00FA6F73">
      <w:pPr>
        <w:rPr>
          <w:lang w:val="en-GB"/>
        </w:rPr>
      </w:pPr>
      <w:r w:rsidRPr="00C70893">
        <w:rPr>
          <w:lang w:val="en-GB"/>
        </w:rPr>
        <w:t>A single external event is screened in if the consequences of the external hazard could be important (e.g., to the plant structures, plant cooling systems) and the hazard frequency is not bounded by an internal event analysis already performed in the level 1 PSA.</w:t>
      </w:r>
    </w:p>
    <w:p w:rsidR="00FA6F73" w:rsidRPr="00C70893" w:rsidRDefault="00FA6F73" w:rsidP="00FA6F73">
      <w:pPr>
        <w:rPr>
          <w:lang w:val="en-GB"/>
        </w:rPr>
      </w:pPr>
      <w:r w:rsidRPr="00C70893">
        <w:rPr>
          <w:lang w:val="en-GB"/>
        </w:rPr>
        <w:t xml:space="preserve">For screened-in events, a detailed analysis is necessary to evaluate the frequency of core damage due to the external hazard. The relevancy screening is based on general knowledge </w:t>
      </w:r>
      <w:r w:rsidR="008E4555" w:rsidRPr="00C70893">
        <w:rPr>
          <w:lang w:val="en-GB"/>
        </w:rPr>
        <w:t>about</w:t>
      </w:r>
      <w:r w:rsidRPr="00C70893">
        <w:rPr>
          <w:lang w:val="en-GB"/>
        </w:rPr>
        <w:t xml:space="preserve"> the strength of the potential external event and the relevancy at </w:t>
      </w:r>
      <w:r w:rsidR="008E4555" w:rsidRPr="00C70893">
        <w:rPr>
          <w:lang w:val="en-GB"/>
        </w:rPr>
        <w:t xml:space="preserve">the </w:t>
      </w:r>
      <w:r w:rsidRPr="00C70893">
        <w:rPr>
          <w:lang w:val="en-GB"/>
        </w:rPr>
        <w:t>site.</w:t>
      </w:r>
    </w:p>
    <w:p w:rsidR="00FA6F73" w:rsidRPr="00C70893" w:rsidRDefault="00FA6F73" w:rsidP="00FA6F73">
      <w:pPr>
        <w:rPr>
          <w:lang w:val="en-GB"/>
        </w:rPr>
      </w:pPr>
      <w:r w:rsidRPr="00C70893">
        <w:rPr>
          <w:lang w:val="en-GB"/>
        </w:rPr>
        <w:t xml:space="preserve">In order to arrive at a manageable amount of potential single external events, the following relevancy and impact screening criteria are used based on ref. </w:t>
      </w:r>
      <w:r w:rsidR="001E56D8">
        <w:rPr>
          <w:lang w:val="en-GB"/>
        </w:rPr>
        <w:fldChar w:fldCharType="begin"/>
      </w:r>
      <w:r w:rsidR="001E56D8">
        <w:rPr>
          <w:lang w:val="en-GB"/>
        </w:rPr>
        <w:instrText xml:space="preserve"> REF _Ref450740465 \r \h </w:instrText>
      </w:r>
      <w:r w:rsidR="001E56D8">
        <w:rPr>
          <w:lang w:val="en-GB"/>
        </w:rPr>
      </w:r>
      <w:r w:rsidR="001E56D8">
        <w:rPr>
          <w:lang w:val="en-GB"/>
        </w:rPr>
        <w:fldChar w:fldCharType="separate"/>
      </w:r>
      <w:r w:rsidR="00E62976">
        <w:rPr>
          <w:lang w:val="en-GB"/>
        </w:rPr>
        <w:t>[71]</w:t>
      </w:r>
      <w:r w:rsidR="001E56D8">
        <w:rPr>
          <w:lang w:val="en-GB"/>
        </w:rPr>
        <w:fldChar w:fldCharType="end"/>
      </w:r>
      <w:r w:rsidRPr="00C70893">
        <w:rPr>
          <w:lang w:val="en-GB"/>
        </w:rPr>
        <w:t>:</w:t>
      </w:r>
    </w:p>
    <w:p w:rsidR="00FA6F73" w:rsidRPr="00C70893" w:rsidRDefault="008E4555" w:rsidP="00C70893">
      <w:pPr>
        <w:pStyle w:val="Lgende"/>
        <w:keepNext/>
        <w:rPr>
          <w:lang w:val="en-GB"/>
        </w:rPr>
      </w:pPr>
      <w:bookmarkStart w:id="445" w:name="_Ref418682145"/>
      <w:r w:rsidRPr="00C70893">
        <w:rPr>
          <w:lang w:val="en-GB"/>
        </w:rPr>
        <w:t xml:space="preserve">Table </w:t>
      </w:r>
      <w:r w:rsidR="00125AF4">
        <w:rPr>
          <w:lang w:val="en-GB"/>
        </w:rPr>
        <w:fldChar w:fldCharType="begin"/>
      </w:r>
      <w:r w:rsidR="00B855BA">
        <w:rPr>
          <w:lang w:val="en-GB"/>
        </w:rPr>
        <w:instrText xml:space="preserve"> STYLEREF 1 \s </w:instrText>
      </w:r>
      <w:r w:rsidR="00125AF4">
        <w:rPr>
          <w:lang w:val="en-GB"/>
        </w:rPr>
        <w:fldChar w:fldCharType="separate"/>
      </w:r>
      <w:r w:rsidR="00E62976">
        <w:rPr>
          <w:noProof/>
          <w:lang w:val="en-GB"/>
        </w:rPr>
        <w:t>5</w:t>
      </w:r>
      <w:r w:rsidR="00125AF4">
        <w:rPr>
          <w:lang w:val="en-GB"/>
        </w:rPr>
        <w:fldChar w:fldCharType="end"/>
      </w:r>
      <w:r w:rsidR="00B855BA">
        <w:rPr>
          <w:lang w:val="en-GB"/>
        </w:rPr>
        <w:noBreakHyphen/>
      </w:r>
      <w:r w:rsidR="00125AF4">
        <w:rPr>
          <w:lang w:val="en-GB"/>
        </w:rPr>
        <w:fldChar w:fldCharType="begin"/>
      </w:r>
      <w:r w:rsidR="00B855BA">
        <w:rPr>
          <w:lang w:val="en-GB"/>
        </w:rPr>
        <w:instrText xml:space="preserve"> SEQ Table \* ARABIC \s 1 </w:instrText>
      </w:r>
      <w:r w:rsidR="00125AF4">
        <w:rPr>
          <w:lang w:val="en-GB"/>
        </w:rPr>
        <w:fldChar w:fldCharType="separate"/>
      </w:r>
      <w:r w:rsidR="00E62976">
        <w:rPr>
          <w:noProof/>
          <w:lang w:val="en-GB"/>
        </w:rPr>
        <w:t>4</w:t>
      </w:r>
      <w:r w:rsidR="00125AF4">
        <w:rPr>
          <w:lang w:val="en-GB"/>
        </w:rPr>
        <w:fldChar w:fldCharType="end"/>
      </w:r>
      <w:bookmarkEnd w:id="445"/>
      <w:r w:rsidR="00FA6F73" w:rsidRPr="00C70893">
        <w:rPr>
          <w:lang w:val="en-GB"/>
        </w:rPr>
        <w:t xml:space="preserve"> Screening criteria for single external events:</w:t>
      </w:r>
    </w:p>
    <w:tbl>
      <w:tblPr>
        <w:tblStyle w:val="Grilledutableau"/>
        <w:tblW w:w="0" w:type="auto"/>
        <w:tblLayout w:type="fixed"/>
        <w:tblLook w:val="04A0" w:firstRow="1" w:lastRow="0" w:firstColumn="1" w:lastColumn="0" w:noHBand="0" w:noVBand="1"/>
      </w:tblPr>
      <w:tblGrid>
        <w:gridCol w:w="1526"/>
        <w:gridCol w:w="1701"/>
        <w:gridCol w:w="1529"/>
        <w:gridCol w:w="1448"/>
        <w:gridCol w:w="1533"/>
        <w:gridCol w:w="1551"/>
      </w:tblGrid>
      <w:tr w:rsidR="008E4555" w:rsidRPr="00E20701" w:rsidTr="004B3DA1">
        <w:tc>
          <w:tcPr>
            <w:tcW w:w="1526" w:type="dxa"/>
            <w:shd w:val="clear" w:color="auto" w:fill="D9D9D9" w:themeFill="background1" w:themeFillShade="D9"/>
          </w:tcPr>
          <w:p w:rsidR="008E4555" w:rsidRPr="00C70893" w:rsidRDefault="008E4555" w:rsidP="007E7A24">
            <w:pPr>
              <w:spacing w:line="276" w:lineRule="auto"/>
              <w:jc w:val="center"/>
              <w:rPr>
                <w:lang w:val="en-GB"/>
              </w:rPr>
            </w:pPr>
            <w:r w:rsidRPr="00C70893">
              <w:rPr>
                <w:lang w:val="en-GB"/>
              </w:rPr>
              <w:t>C1/Severity</w:t>
            </w:r>
          </w:p>
          <w:p w:rsidR="008E4555" w:rsidRPr="00C70893" w:rsidRDefault="008E4555" w:rsidP="007E7A24">
            <w:pPr>
              <w:spacing w:line="276" w:lineRule="auto"/>
              <w:jc w:val="center"/>
              <w:rPr>
                <w:i/>
                <w:sz w:val="15"/>
                <w:szCs w:val="15"/>
                <w:lang w:val="en-GB"/>
              </w:rPr>
            </w:pPr>
            <w:r w:rsidRPr="00C70893">
              <w:rPr>
                <w:i/>
                <w:sz w:val="15"/>
                <w:szCs w:val="15"/>
                <w:lang w:val="en-GB"/>
              </w:rPr>
              <w:t>Site-related screening criteria</w:t>
            </w:r>
          </w:p>
        </w:tc>
        <w:tc>
          <w:tcPr>
            <w:tcW w:w="1701" w:type="dxa"/>
            <w:shd w:val="clear" w:color="auto" w:fill="D9D9D9" w:themeFill="background1" w:themeFillShade="D9"/>
          </w:tcPr>
          <w:p w:rsidR="008E4555" w:rsidRPr="00C70893" w:rsidRDefault="008E4555" w:rsidP="007E7A24">
            <w:pPr>
              <w:spacing w:line="276" w:lineRule="auto"/>
              <w:jc w:val="center"/>
              <w:rPr>
                <w:lang w:val="en-GB"/>
              </w:rPr>
            </w:pPr>
            <w:r w:rsidRPr="00C70893">
              <w:rPr>
                <w:lang w:val="en-GB"/>
              </w:rPr>
              <w:t>C2/Frequency</w:t>
            </w:r>
          </w:p>
          <w:p w:rsidR="008E4555" w:rsidRPr="00C70893" w:rsidRDefault="008E4555" w:rsidP="007E7A24">
            <w:pPr>
              <w:spacing w:line="276" w:lineRule="auto"/>
              <w:jc w:val="center"/>
              <w:rPr>
                <w:sz w:val="15"/>
                <w:szCs w:val="15"/>
                <w:lang w:val="en-GB"/>
              </w:rPr>
            </w:pPr>
            <w:r w:rsidRPr="00C70893">
              <w:rPr>
                <w:i/>
                <w:sz w:val="15"/>
                <w:szCs w:val="15"/>
                <w:lang w:val="en-GB"/>
              </w:rPr>
              <w:t>Site-related screening criteria</w:t>
            </w:r>
          </w:p>
        </w:tc>
        <w:tc>
          <w:tcPr>
            <w:tcW w:w="1529" w:type="dxa"/>
            <w:shd w:val="clear" w:color="auto" w:fill="D9D9D9" w:themeFill="background1" w:themeFillShade="D9"/>
          </w:tcPr>
          <w:p w:rsidR="008E4555" w:rsidRPr="00C70893" w:rsidRDefault="008E4555" w:rsidP="007E7A24">
            <w:pPr>
              <w:spacing w:line="276" w:lineRule="auto"/>
              <w:jc w:val="center"/>
              <w:rPr>
                <w:lang w:val="en-GB"/>
              </w:rPr>
            </w:pPr>
            <w:r w:rsidRPr="00C70893">
              <w:rPr>
                <w:lang w:val="en-GB"/>
              </w:rPr>
              <w:t>C3/Distance</w:t>
            </w:r>
          </w:p>
          <w:p w:rsidR="008E4555" w:rsidRPr="00C70893" w:rsidRDefault="008E4555" w:rsidP="007E7A24">
            <w:pPr>
              <w:spacing w:line="276" w:lineRule="auto"/>
              <w:jc w:val="center"/>
              <w:rPr>
                <w:sz w:val="15"/>
                <w:szCs w:val="15"/>
                <w:lang w:val="en-GB"/>
              </w:rPr>
            </w:pPr>
            <w:r w:rsidRPr="00C70893">
              <w:rPr>
                <w:i/>
                <w:sz w:val="15"/>
                <w:szCs w:val="15"/>
                <w:lang w:val="en-GB"/>
              </w:rPr>
              <w:t>Site-related screening criteria</w:t>
            </w:r>
          </w:p>
        </w:tc>
        <w:tc>
          <w:tcPr>
            <w:tcW w:w="1448" w:type="dxa"/>
            <w:shd w:val="clear" w:color="auto" w:fill="D9D9D9" w:themeFill="background1" w:themeFillShade="D9"/>
          </w:tcPr>
          <w:p w:rsidR="008E4555" w:rsidRPr="00C70893" w:rsidRDefault="008E4555" w:rsidP="007E7A24">
            <w:pPr>
              <w:spacing w:line="276" w:lineRule="auto"/>
              <w:jc w:val="center"/>
              <w:rPr>
                <w:lang w:val="en-GB"/>
              </w:rPr>
            </w:pPr>
            <w:r w:rsidRPr="00C70893">
              <w:rPr>
                <w:lang w:val="en-GB"/>
              </w:rPr>
              <w:t>C4/Inclusion</w:t>
            </w:r>
          </w:p>
          <w:p w:rsidR="008E4555" w:rsidRPr="00C70893" w:rsidRDefault="008E4555" w:rsidP="007E7A24">
            <w:pPr>
              <w:spacing w:line="276" w:lineRule="auto"/>
              <w:jc w:val="center"/>
              <w:rPr>
                <w:sz w:val="15"/>
                <w:szCs w:val="15"/>
                <w:lang w:val="en-GB"/>
              </w:rPr>
            </w:pPr>
            <w:r w:rsidRPr="00C70893">
              <w:rPr>
                <w:rFonts w:cs="Arial-ItalicMT"/>
                <w:i/>
                <w:iCs/>
                <w:sz w:val="15"/>
                <w:szCs w:val="15"/>
                <w:lang w:val="en-GB"/>
              </w:rPr>
              <w:t>Impact screening criteria</w:t>
            </w:r>
          </w:p>
        </w:tc>
        <w:tc>
          <w:tcPr>
            <w:tcW w:w="1533" w:type="dxa"/>
            <w:shd w:val="clear" w:color="auto" w:fill="D9D9D9" w:themeFill="background1" w:themeFillShade="D9"/>
          </w:tcPr>
          <w:p w:rsidR="008E4555" w:rsidRPr="00C70893" w:rsidRDefault="008E4555" w:rsidP="007E7A24">
            <w:pPr>
              <w:spacing w:line="276" w:lineRule="auto"/>
              <w:jc w:val="center"/>
              <w:rPr>
                <w:lang w:val="en-GB"/>
              </w:rPr>
            </w:pPr>
            <w:r w:rsidRPr="00C70893">
              <w:rPr>
                <w:lang w:val="en-GB"/>
              </w:rPr>
              <w:t>C5/Warning</w:t>
            </w:r>
          </w:p>
          <w:p w:rsidR="008E4555" w:rsidRPr="00C70893" w:rsidRDefault="008E4555" w:rsidP="007E7A24">
            <w:pPr>
              <w:spacing w:line="276" w:lineRule="auto"/>
              <w:jc w:val="center"/>
              <w:rPr>
                <w:sz w:val="15"/>
                <w:szCs w:val="15"/>
                <w:lang w:val="en-GB"/>
              </w:rPr>
            </w:pPr>
            <w:r w:rsidRPr="00C70893">
              <w:rPr>
                <w:rFonts w:cs="Arial-ItalicMT"/>
                <w:i/>
                <w:iCs/>
                <w:sz w:val="15"/>
                <w:szCs w:val="15"/>
                <w:lang w:val="en-GB"/>
              </w:rPr>
              <w:t>Impact screening criteria</w:t>
            </w:r>
          </w:p>
        </w:tc>
        <w:tc>
          <w:tcPr>
            <w:tcW w:w="1551" w:type="dxa"/>
            <w:shd w:val="clear" w:color="auto" w:fill="D9D9D9" w:themeFill="background1" w:themeFillShade="D9"/>
          </w:tcPr>
          <w:p w:rsidR="008E4555" w:rsidRPr="00C70893" w:rsidRDefault="008E4555" w:rsidP="007E7A24">
            <w:pPr>
              <w:spacing w:line="276" w:lineRule="auto"/>
              <w:jc w:val="center"/>
              <w:rPr>
                <w:lang w:val="en-GB"/>
              </w:rPr>
            </w:pPr>
            <w:r w:rsidRPr="00C70893">
              <w:rPr>
                <w:lang w:val="en-GB"/>
              </w:rPr>
              <w:t>C6/Applicability</w:t>
            </w:r>
          </w:p>
        </w:tc>
      </w:tr>
      <w:tr w:rsidR="008E4555" w:rsidRPr="00304D8A" w:rsidTr="004B3DA1">
        <w:tc>
          <w:tcPr>
            <w:tcW w:w="1526" w:type="dxa"/>
          </w:tcPr>
          <w:p w:rsidR="008E4555" w:rsidRPr="00C70893" w:rsidRDefault="008E4555" w:rsidP="007E7A24">
            <w:pPr>
              <w:spacing w:line="276" w:lineRule="auto"/>
              <w:jc w:val="left"/>
              <w:rPr>
                <w:szCs w:val="18"/>
                <w:lang w:val="en-GB"/>
              </w:rPr>
            </w:pPr>
            <w:r w:rsidRPr="00C70893">
              <w:rPr>
                <w:szCs w:val="18"/>
                <w:lang w:val="en-GB"/>
              </w:rPr>
              <w:t>Screened-out if:</w:t>
            </w:r>
          </w:p>
          <w:p w:rsidR="008E4555" w:rsidRPr="00C70893" w:rsidRDefault="008E4555" w:rsidP="007E7A24">
            <w:pPr>
              <w:spacing w:line="276" w:lineRule="auto"/>
              <w:rPr>
                <w:szCs w:val="18"/>
                <w:lang w:val="en-GB"/>
              </w:rPr>
            </w:pPr>
          </w:p>
          <w:p w:rsidR="008E4555" w:rsidRPr="00C70893" w:rsidRDefault="008E4555" w:rsidP="007E7A24">
            <w:pPr>
              <w:spacing w:line="276" w:lineRule="auto"/>
              <w:jc w:val="center"/>
              <w:rPr>
                <w:szCs w:val="18"/>
                <w:lang w:val="en-GB"/>
              </w:rPr>
            </w:pPr>
            <w:r w:rsidRPr="00C70893">
              <w:rPr>
                <w:szCs w:val="18"/>
                <w:lang w:val="en-GB"/>
              </w:rPr>
              <w:t>The event has a damage potential that is less or equal to another event that the plant is already dimensioned for.</w:t>
            </w:r>
          </w:p>
        </w:tc>
        <w:tc>
          <w:tcPr>
            <w:tcW w:w="1701" w:type="dxa"/>
          </w:tcPr>
          <w:p w:rsidR="008E4555" w:rsidRPr="00C70893" w:rsidRDefault="008E4555" w:rsidP="007E7A24">
            <w:pPr>
              <w:spacing w:line="276" w:lineRule="auto"/>
              <w:jc w:val="left"/>
              <w:rPr>
                <w:szCs w:val="18"/>
                <w:lang w:val="en-GB"/>
              </w:rPr>
            </w:pPr>
            <w:r w:rsidRPr="00C70893">
              <w:rPr>
                <w:szCs w:val="18"/>
                <w:lang w:val="en-GB"/>
              </w:rPr>
              <w:t>Screened-out if:</w:t>
            </w:r>
          </w:p>
          <w:p w:rsidR="008E4555" w:rsidRPr="00C70893" w:rsidRDefault="008E4555" w:rsidP="007E7A24">
            <w:pPr>
              <w:spacing w:line="276" w:lineRule="auto"/>
              <w:jc w:val="center"/>
              <w:rPr>
                <w:szCs w:val="18"/>
                <w:lang w:val="en-GB"/>
              </w:rPr>
            </w:pPr>
          </w:p>
          <w:p w:rsidR="008E4555" w:rsidRPr="00C70893" w:rsidRDefault="008E4555" w:rsidP="007E7A24">
            <w:pPr>
              <w:spacing w:line="276" w:lineRule="auto"/>
              <w:jc w:val="center"/>
              <w:rPr>
                <w:szCs w:val="18"/>
                <w:lang w:val="en-GB"/>
              </w:rPr>
            </w:pPr>
            <w:r w:rsidRPr="00C70893">
              <w:rPr>
                <w:szCs w:val="18"/>
                <w:lang w:val="en-GB"/>
              </w:rPr>
              <w:t>The event has a considerably lower frequency of occurrence than events with similar uncertainties and cannot result in worse consequences.</w:t>
            </w:r>
          </w:p>
        </w:tc>
        <w:tc>
          <w:tcPr>
            <w:tcW w:w="1529" w:type="dxa"/>
          </w:tcPr>
          <w:p w:rsidR="008E4555" w:rsidRPr="00C70893" w:rsidRDefault="008E4555" w:rsidP="007E7A24">
            <w:pPr>
              <w:spacing w:line="276" w:lineRule="auto"/>
              <w:jc w:val="left"/>
              <w:rPr>
                <w:szCs w:val="18"/>
                <w:lang w:val="en-GB"/>
              </w:rPr>
            </w:pPr>
            <w:r w:rsidRPr="00C70893">
              <w:rPr>
                <w:szCs w:val="18"/>
                <w:lang w:val="en-GB"/>
              </w:rPr>
              <w:t>Screened-out if:</w:t>
            </w:r>
          </w:p>
          <w:p w:rsidR="008E4555" w:rsidRPr="00C70893" w:rsidRDefault="008E4555" w:rsidP="007E7A24">
            <w:pPr>
              <w:spacing w:line="276" w:lineRule="auto"/>
              <w:jc w:val="center"/>
              <w:rPr>
                <w:szCs w:val="18"/>
                <w:lang w:val="en-GB"/>
              </w:rPr>
            </w:pPr>
          </w:p>
          <w:p w:rsidR="008E4555" w:rsidRPr="00C70893" w:rsidRDefault="008E4555" w:rsidP="007E7A24">
            <w:pPr>
              <w:spacing w:line="276" w:lineRule="auto"/>
              <w:jc w:val="center"/>
              <w:rPr>
                <w:szCs w:val="18"/>
                <w:lang w:val="en-GB"/>
              </w:rPr>
            </w:pPr>
            <w:r w:rsidRPr="00C70893">
              <w:rPr>
                <w:szCs w:val="18"/>
                <w:lang w:val="en-GB"/>
              </w:rPr>
              <w:t>The event cannot occur close enough to the plant to affect it.</w:t>
            </w:r>
          </w:p>
        </w:tc>
        <w:tc>
          <w:tcPr>
            <w:tcW w:w="1448" w:type="dxa"/>
          </w:tcPr>
          <w:p w:rsidR="008E4555" w:rsidRPr="00C70893" w:rsidRDefault="008E4555" w:rsidP="007E7A24">
            <w:pPr>
              <w:spacing w:line="276" w:lineRule="auto"/>
              <w:jc w:val="left"/>
              <w:rPr>
                <w:szCs w:val="18"/>
                <w:lang w:val="en-GB"/>
              </w:rPr>
            </w:pPr>
            <w:r w:rsidRPr="00C70893">
              <w:rPr>
                <w:szCs w:val="18"/>
                <w:lang w:val="en-GB"/>
              </w:rPr>
              <w:t>Screened-out if:</w:t>
            </w:r>
          </w:p>
          <w:p w:rsidR="008E4555" w:rsidRPr="00C70893" w:rsidRDefault="008E4555" w:rsidP="007E7A24">
            <w:pPr>
              <w:spacing w:line="276" w:lineRule="auto"/>
              <w:jc w:val="center"/>
              <w:rPr>
                <w:szCs w:val="18"/>
                <w:lang w:val="en-GB"/>
              </w:rPr>
            </w:pPr>
          </w:p>
          <w:p w:rsidR="008E4555" w:rsidRPr="00C70893" w:rsidRDefault="008E4555" w:rsidP="007E7A24">
            <w:pPr>
              <w:spacing w:line="276" w:lineRule="auto"/>
              <w:jc w:val="center"/>
              <w:rPr>
                <w:szCs w:val="18"/>
                <w:lang w:val="en-GB"/>
              </w:rPr>
            </w:pPr>
            <w:r w:rsidRPr="00C70893">
              <w:rPr>
                <w:szCs w:val="18"/>
                <w:lang w:val="en-GB"/>
              </w:rPr>
              <w:t>The event can be included in the definition of another event.</w:t>
            </w:r>
          </w:p>
        </w:tc>
        <w:tc>
          <w:tcPr>
            <w:tcW w:w="1533" w:type="dxa"/>
          </w:tcPr>
          <w:p w:rsidR="008E4555" w:rsidRPr="00C70893" w:rsidRDefault="008E4555" w:rsidP="007E7A24">
            <w:pPr>
              <w:spacing w:line="276" w:lineRule="auto"/>
              <w:jc w:val="left"/>
              <w:rPr>
                <w:szCs w:val="18"/>
                <w:lang w:val="en-GB"/>
              </w:rPr>
            </w:pPr>
            <w:r w:rsidRPr="00C70893">
              <w:rPr>
                <w:szCs w:val="18"/>
                <w:lang w:val="en-GB"/>
              </w:rPr>
              <w:t>Screened-out if:</w:t>
            </w:r>
          </w:p>
          <w:p w:rsidR="008E4555" w:rsidRPr="00C70893" w:rsidRDefault="008E4555" w:rsidP="007E7A24">
            <w:pPr>
              <w:spacing w:line="276" w:lineRule="auto"/>
              <w:jc w:val="center"/>
              <w:rPr>
                <w:szCs w:val="18"/>
                <w:lang w:val="en-GB"/>
              </w:rPr>
            </w:pPr>
          </w:p>
          <w:p w:rsidR="008E4555" w:rsidRPr="00C70893" w:rsidRDefault="008E4555" w:rsidP="007E7A24">
            <w:pPr>
              <w:spacing w:line="276" w:lineRule="auto"/>
              <w:jc w:val="center"/>
              <w:rPr>
                <w:szCs w:val="18"/>
                <w:lang w:val="en-GB"/>
              </w:rPr>
            </w:pPr>
            <w:r w:rsidRPr="00C70893">
              <w:rPr>
                <w:szCs w:val="18"/>
                <w:lang w:val="en-GB"/>
              </w:rPr>
              <w:t>The event develops in such a slow rate that there is enough time to initiate counteractions.</w:t>
            </w:r>
          </w:p>
        </w:tc>
        <w:tc>
          <w:tcPr>
            <w:tcW w:w="1551" w:type="dxa"/>
          </w:tcPr>
          <w:p w:rsidR="008E4555" w:rsidRPr="00C70893" w:rsidRDefault="008E4555" w:rsidP="007E7A24">
            <w:pPr>
              <w:spacing w:line="276" w:lineRule="auto"/>
              <w:jc w:val="left"/>
              <w:rPr>
                <w:szCs w:val="18"/>
                <w:lang w:val="en-GB"/>
              </w:rPr>
            </w:pPr>
            <w:r w:rsidRPr="00C70893">
              <w:rPr>
                <w:szCs w:val="18"/>
                <w:lang w:val="en-GB"/>
              </w:rPr>
              <w:t>Screened-out if:</w:t>
            </w:r>
          </w:p>
          <w:p w:rsidR="008E4555" w:rsidRPr="00C70893" w:rsidRDefault="008E4555" w:rsidP="007E7A24">
            <w:pPr>
              <w:spacing w:line="276" w:lineRule="auto"/>
              <w:jc w:val="center"/>
              <w:rPr>
                <w:szCs w:val="18"/>
                <w:lang w:val="en-GB"/>
              </w:rPr>
            </w:pPr>
          </w:p>
          <w:p w:rsidR="008E4555" w:rsidRPr="00C70893" w:rsidRDefault="008E4555" w:rsidP="007E7A24">
            <w:pPr>
              <w:spacing w:line="276" w:lineRule="auto"/>
              <w:jc w:val="center"/>
              <w:rPr>
                <w:szCs w:val="18"/>
                <w:lang w:val="en-GB"/>
              </w:rPr>
            </w:pPr>
            <w:r w:rsidRPr="00C70893">
              <w:rPr>
                <w:szCs w:val="18"/>
                <w:lang w:val="en-GB"/>
              </w:rPr>
              <w:t xml:space="preserve">The event is not applicable to the site </w:t>
            </w:r>
            <w:r w:rsidRPr="00C70893">
              <w:rPr>
                <w:lang w:val="en-GB"/>
              </w:rPr>
              <w:t>because of other reasons</w:t>
            </w:r>
            <w:r w:rsidRPr="00C70893">
              <w:rPr>
                <w:szCs w:val="18"/>
                <w:lang w:val="en-GB"/>
              </w:rPr>
              <w:t>.</w:t>
            </w:r>
          </w:p>
        </w:tc>
      </w:tr>
    </w:tbl>
    <w:p w:rsidR="008E4555" w:rsidRPr="00C70893" w:rsidRDefault="008E4555" w:rsidP="00FA6F73">
      <w:pPr>
        <w:rPr>
          <w:lang w:val="en-GB"/>
        </w:rPr>
      </w:pPr>
    </w:p>
    <w:p w:rsidR="00FA6F73" w:rsidRPr="00C70893" w:rsidRDefault="00FA6F73" w:rsidP="00FA6F73">
      <w:pPr>
        <w:rPr>
          <w:u w:val="single"/>
          <w:lang w:val="en-GB"/>
        </w:rPr>
      </w:pPr>
      <w:r w:rsidRPr="00C70893">
        <w:rPr>
          <w:u w:val="single"/>
          <w:lang w:val="en-GB"/>
        </w:rPr>
        <w:t>Screening Criteria for Multiple External Events</w:t>
      </w:r>
    </w:p>
    <w:p w:rsidR="00FA6F73" w:rsidRPr="00C70893" w:rsidRDefault="00FA6F73" w:rsidP="00FA6F73">
      <w:pPr>
        <w:rPr>
          <w:lang w:val="en-GB"/>
        </w:rPr>
      </w:pPr>
      <w:r w:rsidRPr="00C70893">
        <w:rPr>
          <w:lang w:val="en-GB"/>
        </w:rPr>
        <w:t>A combination of external events is considered to be relevant if the combination has more severe or additional effects on the plant compared to those of the initial single external event.</w:t>
      </w:r>
    </w:p>
    <w:p w:rsidR="00FA6F73" w:rsidRPr="00C70893" w:rsidRDefault="00FA6F73" w:rsidP="00FA6F73">
      <w:pPr>
        <w:rPr>
          <w:lang w:val="en-GB"/>
        </w:rPr>
      </w:pPr>
      <w:r w:rsidRPr="00C70893">
        <w:rPr>
          <w:lang w:val="en-GB"/>
        </w:rPr>
        <w:t>In order to arrive at a manageable amount of potential combined external events, the following screening criteria are used based on ref</w:t>
      </w:r>
      <w:r w:rsidR="00D611D8" w:rsidRPr="00C70893">
        <w:rPr>
          <w:lang w:val="en-GB"/>
        </w:rPr>
        <w:t>erence</w:t>
      </w:r>
      <w:r w:rsidRPr="00C70893">
        <w:rPr>
          <w:lang w:val="en-GB"/>
        </w:rPr>
        <w:t xml:space="preserve"> </w:t>
      </w:r>
      <w:r w:rsidR="001E56D8">
        <w:rPr>
          <w:lang w:val="en-GB"/>
        </w:rPr>
        <w:fldChar w:fldCharType="begin"/>
      </w:r>
      <w:r w:rsidR="001E56D8">
        <w:rPr>
          <w:lang w:val="en-GB"/>
        </w:rPr>
        <w:instrText xml:space="preserve"> REF _Ref450740465 \r \h </w:instrText>
      </w:r>
      <w:r w:rsidR="001E56D8">
        <w:rPr>
          <w:lang w:val="en-GB"/>
        </w:rPr>
      </w:r>
      <w:r w:rsidR="001E56D8">
        <w:rPr>
          <w:lang w:val="en-GB"/>
        </w:rPr>
        <w:fldChar w:fldCharType="separate"/>
      </w:r>
      <w:r w:rsidR="00E62976">
        <w:rPr>
          <w:lang w:val="en-GB"/>
        </w:rPr>
        <w:t>[71]</w:t>
      </w:r>
      <w:r w:rsidR="001E56D8">
        <w:rPr>
          <w:lang w:val="en-GB"/>
        </w:rPr>
        <w:fldChar w:fldCharType="end"/>
      </w:r>
      <w:r w:rsidRPr="00C70893">
        <w:rPr>
          <w:lang w:val="en-GB"/>
        </w:rPr>
        <w:t>:</w:t>
      </w:r>
    </w:p>
    <w:p w:rsidR="00FA6F73" w:rsidRPr="00C70893" w:rsidRDefault="008E4555" w:rsidP="00C70893">
      <w:pPr>
        <w:pStyle w:val="Lgende"/>
        <w:keepNext/>
        <w:rPr>
          <w:lang w:val="en-GB"/>
        </w:rPr>
      </w:pPr>
      <w:r w:rsidRPr="00C70893">
        <w:rPr>
          <w:lang w:val="en-GB"/>
        </w:rPr>
        <w:t xml:space="preserve">Table </w:t>
      </w:r>
      <w:r w:rsidR="00125AF4">
        <w:rPr>
          <w:lang w:val="en-GB"/>
        </w:rPr>
        <w:fldChar w:fldCharType="begin"/>
      </w:r>
      <w:r w:rsidR="00B855BA">
        <w:rPr>
          <w:lang w:val="en-GB"/>
        </w:rPr>
        <w:instrText xml:space="preserve"> STYLEREF 1 \s </w:instrText>
      </w:r>
      <w:r w:rsidR="00125AF4">
        <w:rPr>
          <w:lang w:val="en-GB"/>
        </w:rPr>
        <w:fldChar w:fldCharType="separate"/>
      </w:r>
      <w:r w:rsidR="00E62976">
        <w:rPr>
          <w:noProof/>
          <w:lang w:val="en-GB"/>
        </w:rPr>
        <w:t>5</w:t>
      </w:r>
      <w:r w:rsidR="00125AF4">
        <w:rPr>
          <w:lang w:val="en-GB"/>
        </w:rPr>
        <w:fldChar w:fldCharType="end"/>
      </w:r>
      <w:r w:rsidR="00B855BA">
        <w:rPr>
          <w:lang w:val="en-GB"/>
        </w:rPr>
        <w:noBreakHyphen/>
      </w:r>
      <w:r w:rsidR="00125AF4">
        <w:rPr>
          <w:lang w:val="en-GB"/>
        </w:rPr>
        <w:fldChar w:fldCharType="begin"/>
      </w:r>
      <w:r w:rsidR="00B855BA">
        <w:rPr>
          <w:lang w:val="en-GB"/>
        </w:rPr>
        <w:instrText xml:space="preserve"> SEQ Table \* ARABIC \s 1 </w:instrText>
      </w:r>
      <w:r w:rsidR="00125AF4">
        <w:rPr>
          <w:lang w:val="en-GB"/>
        </w:rPr>
        <w:fldChar w:fldCharType="separate"/>
      </w:r>
      <w:r w:rsidR="00E62976">
        <w:rPr>
          <w:noProof/>
          <w:lang w:val="en-GB"/>
        </w:rPr>
        <w:t>5</w:t>
      </w:r>
      <w:r w:rsidR="00125AF4">
        <w:rPr>
          <w:lang w:val="en-GB"/>
        </w:rPr>
        <w:fldChar w:fldCharType="end"/>
      </w:r>
      <w:r w:rsidR="00FA6F73" w:rsidRPr="00C70893">
        <w:rPr>
          <w:lang w:val="en-GB"/>
        </w:rPr>
        <w:t xml:space="preserve"> Screening criteria for multiple external events:</w:t>
      </w:r>
    </w:p>
    <w:tbl>
      <w:tblPr>
        <w:tblStyle w:val="Grilledutableau"/>
        <w:tblW w:w="0" w:type="auto"/>
        <w:tblLook w:val="04A0" w:firstRow="1" w:lastRow="0" w:firstColumn="1" w:lastColumn="0" w:noHBand="0" w:noVBand="1"/>
      </w:tblPr>
      <w:tblGrid>
        <w:gridCol w:w="2093"/>
        <w:gridCol w:w="2268"/>
        <w:gridCol w:w="2977"/>
        <w:gridCol w:w="1874"/>
      </w:tblGrid>
      <w:tr w:rsidR="008E4555" w:rsidRPr="00E20701" w:rsidTr="007E7A24">
        <w:tc>
          <w:tcPr>
            <w:tcW w:w="2093" w:type="dxa"/>
            <w:shd w:val="clear" w:color="auto" w:fill="D9D9D9" w:themeFill="background1" w:themeFillShade="D9"/>
          </w:tcPr>
          <w:p w:rsidR="008E4555" w:rsidRPr="00C70893" w:rsidRDefault="008E4555" w:rsidP="007E7A24">
            <w:pPr>
              <w:spacing w:line="276" w:lineRule="auto"/>
              <w:jc w:val="center"/>
              <w:rPr>
                <w:lang w:val="en-GB"/>
              </w:rPr>
            </w:pPr>
            <w:r w:rsidRPr="00C70893">
              <w:rPr>
                <w:lang w:val="en-GB"/>
              </w:rPr>
              <w:t>M1 / Definition</w:t>
            </w:r>
          </w:p>
        </w:tc>
        <w:tc>
          <w:tcPr>
            <w:tcW w:w="2268" w:type="dxa"/>
            <w:shd w:val="clear" w:color="auto" w:fill="D9D9D9" w:themeFill="background1" w:themeFillShade="D9"/>
          </w:tcPr>
          <w:p w:rsidR="008E4555" w:rsidRPr="00C70893" w:rsidRDefault="008E4555" w:rsidP="007E7A24">
            <w:pPr>
              <w:spacing w:line="276" w:lineRule="auto"/>
              <w:jc w:val="center"/>
              <w:rPr>
                <w:lang w:val="en-GB"/>
              </w:rPr>
            </w:pPr>
            <w:r w:rsidRPr="00C70893">
              <w:rPr>
                <w:lang w:val="en-GB"/>
              </w:rPr>
              <w:t>M2 / Independence</w:t>
            </w:r>
          </w:p>
        </w:tc>
        <w:tc>
          <w:tcPr>
            <w:tcW w:w="2977" w:type="dxa"/>
            <w:shd w:val="clear" w:color="auto" w:fill="D9D9D9" w:themeFill="background1" w:themeFillShade="D9"/>
          </w:tcPr>
          <w:p w:rsidR="008E4555" w:rsidRPr="00C70893" w:rsidRDefault="008E4555" w:rsidP="007E7A24">
            <w:pPr>
              <w:spacing w:line="276" w:lineRule="auto"/>
              <w:jc w:val="center"/>
              <w:rPr>
                <w:lang w:val="en-GB"/>
              </w:rPr>
            </w:pPr>
            <w:r w:rsidRPr="00C70893">
              <w:rPr>
                <w:lang w:val="en-GB"/>
              </w:rPr>
              <w:t>M3 / Impact</w:t>
            </w:r>
          </w:p>
        </w:tc>
        <w:tc>
          <w:tcPr>
            <w:tcW w:w="1874" w:type="dxa"/>
            <w:shd w:val="clear" w:color="auto" w:fill="D9D9D9" w:themeFill="background1" w:themeFillShade="D9"/>
          </w:tcPr>
          <w:p w:rsidR="008E4555" w:rsidRPr="00C70893" w:rsidRDefault="008E4555" w:rsidP="007E7A24">
            <w:pPr>
              <w:spacing w:line="276" w:lineRule="auto"/>
              <w:jc w:val="center"/>
              <w:rPr>
                <w:lang w:val="en-GB"/>
              </w:rPr>
            </w:pPr>
            <w:r w:rsidRPr="00C70893">
              <w:rPr>
                <w:lang w:val="en-GB"/>
              </w:rPr>
              <w:t>C1 – C6</w:t>
            </w:r>
          </w:p>
        </w:tc>
      </w:tr>
      <w:tr w:rsidR="008E4555" w:rsidRPr="00304D8A" w:rsidTr="007E7A24">
        <w:tc>
          <w:tcPr>
            <w:tcW w:w="2093" w:type="dxa"/>
          </w:tcPr>
          <w:p w:rsidR="008E4555" w:rsidRPr="00C70893" w:rsidRDefault="008E4555" w:rsidP="007E7A24">
            <w:pPr>
              <w:spacing w:line="276" w:lineRule="auto"/>
              <w:jc w:val="left"/>
              <w:rPr>
                <w:szCs w:val="18"/>
                <w:lang w:val="en-GB"/>
              </w:rPr>
            </w:pPr>
            <w:r w:rsidRPr="00C70893">
              <w:rPr>
                <w:szCs w:val="18"/>
                <w:lang w:val="en-GB"/>
              </w:rPr>
              <w:t>Screened-out if:</w:t>
            </w:r>
          </w:p>
          <w:p w:rsidR="008E4555" w:rsidRPr="00C70893" w:rsidRDefault="008E4555" w:rsidP="007E7A24">
            <w:pPr>
              <w:spacing w:line="276" w:lineRule="auto"/>
              <w:jc w:val="left"/>
              <w:rPr>
                <w:szCs w:val="18"/>
                <w:lang w:val="en-GB"/>
              </w:rPr>
            </w:pPr>
          </w:p>
          <w:p w:rsidR="008E4555" w:rsidRPr="00C70893" w:rsidRDefault="008E4555" w:rsidP="007E7A24">
            <w:pPr>
              <w:spacing w:line="276" w:lineRule="auto"/>
              <w:jc w:val="left"/>
              <w:rPr>
                <w:szCs w:val="18"/>
                <w:lang w:val="en-GB"/>
              </w:rPr>
            </w:pPr>
            <w:r w:rsidRPr="00C70893">
              <w:rPr>
                <w:szCs w:val="18"/>
                <w:lang w:val="en-GB"/>
              </w:rPr>
              <w:t>The multiple events are included in the definition of a single event, which is already analy</w:t>
            </w:r>
            <w:r w:rsidR="001B44C9">
              <w:rPr>
                <w:szCs w:val="18"/>
                <w:lang w:val="en-GB"/>
              </w:rPr>
              <w:t>s</w:t>
            </w:r>
            <w:r w:rsidRPr="00C70893">
              <w:rPr>
                <w:szCs w:val="18"/>
                <w:lang w:val="en-GB"/>
              </w:rPr>
              <w:t>ed for the plant</w:t>
            </w:r>
          </w:p>
        </w:tc>
        <w:tc>
          <w:tcPr>
            <w:tcW w:w="2268" w:type="dxa"/>
          </w:tcPr>
          <w:p w:rsidR="008E4555" w:rsidRPr="00C70893" w:rsidRDefault="008E4555" w:rsidP="007E7A24">
            <w:pPr>
              <w:spacing w:line="276" w:lineRule="auto"/>
              <w:jc w:val="left"/>
              <w:rPr>
                <w:szCs w:val="18"/>
                <w:lang w:val="en-GB"/>
              </w:rPr>
            </w:pPr>
            <w:r w:rsidRPr="00C70893">
              <w:rPr>
                <w:szCs w:val="18"/>
                <w:lang w:val="en-GB"/>
              </w:rPr>
              <w:t>Screened-out if:</w:t>
            </w:r>
          </w:p>
          <w:p w:rsidR="008E4555" w:rsidRPr="00C70893" w:rsidRDefault="008E4555" w:rsidP="007E7A24">
            <w:pPr>
              <w:spacing w:line="276" w:lineRule="auto"/>
              <w:jc w:val="left"/>
              <w:rPr>
                <w:szCs w:val="18"/>
                <w:lang w:val="en-GB"/>
              </w:rPr>
            </w:pPr>
          </w:p>
          <w:p w:rsidR="008E4555" w:rsidRPr="00C70893" w:rsidRDefault="008E4555" w:rsidP="007E7A24">
            <w:pPr>
              <w:spacing w:line="276" w:lineRule="auto"/>
              <w:jc w:val="left"/>
              <w:rPr>
                <w:szCs w:val="18"/>
                <w:lang w:val="en-GB"/>
              </w:rPr>
            </w:pPr>
            <w:r w:rsidRPr="00C70893">
              <w:rPr>
                <w:szCs w:val="18"/>
                <w:lang w:val="en-GB"/>
              </w:rPr>
              <w:t>The events occur independently of each other in time</w:t>
            </w:r>
          </w:p>
          <w:p w:rsidR="008E4555" w:rsidRPr="00C70893" w:rsidRDefault="008E4555" w:rsidP="007E7A24">
            <w:pPr>
              <w:spacing w:line="276" w:lineRule="auto"/>
              <w:jc w:val="left"/>
              <w:rPr>
                <w:b/>
                <w:szCs w:val="18"/>
                <w:lang w:val="en-GB"/>
              </w:rPr>
            </w:pPr>
            <w:r w:rsidRPr="00C70893">
              <w:rPr>
                <w:b/>
                <w:szCs w:val="18"/>
                <w:lang w:val="en-GB"/>
              </w:rPr>
              <w:t>AND</w:t>
            </w:r>
          </w:p>
          <w:p w:rsidR="008E4555" w:rsidRPr="00C70893" w:rsidRDefault="008E4555" w:rsidP="007E7A24">
            <w:pPr>
              <w:spacing w:line="276" w:lineRule="auto"/>
              <w:jc w:val="left"/>
              <w:rPr>
                <w:szCs w:val="18"/>
                <w:lang w:val="en-GB"/>
              </w:rPr>
            </w:pPr>
            <w:r w:rsidRPr="00C70893">
              <w:rPr>
                <w:szCs w:val="18"/>
                <w:lang w:val="en-GB"/>
              </w:rPr>
              <w:t>The probability of simultaneous occurrence is low, i.e., below single event frequency screening criteria C2</w:t>
            </w:r>
          </w:p>
        </w:tc>
        <w:tc>
          <w:tcPr>
            <w:tcW w:w="2977" w:type="dxa"/>
          </w:tcPr>
          <w:p w:rsidR="008E4555" w:rsidRPr="00C70893" w:rsidRDefault="008E4555" w:rsidP="007E7A24">
            <w:pPr>
              <w:spacing w:line="276" w:lineRule="auto"/>
              <w:jc w:val="left"/>
              <w:rPr>
                <w:szCs w:val="18"/>
                <w:lang w:val="en-GB"/>
              </w:rPr>
            </w:pPr>
            <w:r w:rsidRPr="00C70893">
              <w:rPr>
                <w:szCs w:val="18"/>
                <w:lang w:val="en-GB"/>
              </w:rPr>
              <w:t>Screened-out if:</w:t>
            </w:r>
          </w:p>
          <w:p w:rsidR="008E4555" w:rsidRPr="00C70893" w:rsidRDefault="008E4555" w:rsidP="007E7A24">
            <w:pPr>
              <w:spacing w:line="276" w:lineRule="auto"/>
              <w:jc w:val="left"/>
              <w:rPr>
                <w:szCs w:val="18"/>
                <w:lang w:val="en-GB"/>
              </w:rPr>
            </w:pPr>
          </w:p>
          <w:p w:rsidR="008E4555" w:rsidRPr="00C70893" w:rsidRDefault="008E4555" w:rsidP="007E7A24">
            <w:pPr>
              <w:spacing w:line="276" w:lineRule="auto"/>
              <w:jc w:val="left"/>
              <w:rPr>
                <w:szCs w:val="18"/>
                <w:lang w:val="en-GB"/>
              </w:rPr>
            </w:pPr>
            <w:r w:rsidRPr="00C70893">
              <w:rPr>
                <w:szCs w:val="18"/>
                <w:lang w:val="en-GB"/>
              </w:rPr>
              <w:t>The events do not occur independently in time (see criterion M2)</w:t>
            </w:r>
          </w:p>
          <w:p w:rsidR="008E4555" w:rsidRPr="00C70893" w:rsidRDefault="008E4555" w:rsidP="007E7A24">
            <w:pPr>
              <w:spacing w:line="276" w:lineRule="auto"/>
              <w:jc w:val="left"/>
              <w:rPr>
                <w:b/>
                <w:szCs w:val="18"/>
                <w:lang w:val="en-GB"/>
              </w:rPr>
            </w:pPr>
            <w:r w:rsidRPr="00C70893">
              <w:rPr>
                <w:b/>
                <w:szCs w:val="18"/>
                <w:lang w:val="en-GB"/>
              </w:rPr>
              <w:t xml:space="preserve">AND </w:t>
            </w:r>
          </w:p>
          <w:p w:rsidR="008E4555" w:rsidRPr="00C70893" w:rsidRDefault="008E4555" w:rsidP="007E7A24">
            <w:pPr>
              <w:spacing w:line="276" w:lineRule="auto"/>
              <w:jc w:val="left"/>
              <w:rPr>
                <w:szCs w:val="18"/>
                <w:lang w:val="en-GB"/>
              </w:rPr>
            </w:pPr>
            <w:r w:rsidRPr="00C70893">
              <w:rPr>
                <w:szCs w:val="18"/>
                <w:lang w:val="en-GB"/>
              </w:rPr>
              <w:t>The events affect the same plant safety function</w:t>
            </w:r>
          </w:p>
          <w:p w:rsidR="008E4555" w:rsidRPr="00C70893" w:rsidRDefault="008E4555" w:rsidP="007E7A24">
            <w:pPr>
              <w:spacing w:line="276" w:lineRule="auto"/>
              <w:jc w:val="left"/>
              <w:rPr>
                <w:b/>
                <w:szCs w:val="18"/>
                <w:lang w:val="en-GB"/>
              </w:rPr>
            </w:pPr>
            <w:r w:rsidRPr="00C70893">
              <w:rPr>
                <w:b/>
                <w:szCs w:val="18"/>
                <w:lang w:val="en-GB"/>
              </w:rPr>
              <w:t xml:space="preserve">AND </w:t>
            </w:r>
          </w:p>
          <w:p w:rsidR="008E4555" w:rsidRPr="00C70893" w:rsidRDefault="008E4555" w:rsidP="007E7A24">
            <w:pPr>
              <w:spacing w:line="276" w:lineRule="auto"/>
              <w:jc w:val="left"/>
              <w:rPr>
                <w:szCs w:val="18"/>
                <w:lang w:val="en-GB"/>
              </w:rPr>
            </w:pPr>
            <w:r w:rsidRPr="00C70893">
              <w:rPr>
                <w:szCs w:val="18"/>
                <w:lang w:val="en-GB"/>
              </w:rPr>
              <w:t>The combined effect on the safety function is not greater than the effect from the most severe of the single events involved</w:t>
            </w:r>
          </w:p>
        </w:tc>
        <w:tc>
          <w:tcPr>
            <w:tcW w:w="1874" w:type="dxa"/>
          </w:tcPr>
          <w:p w:rsidR="008E4555" w:rsidRPr="00C70893" w:rsidRDefault="008E4555" w:rsidP="007E7A24">
            <w:pPr>
              <w:spacing w:line="276" w:lineRule="auto"/>
              <w:jc w:val="left"/>
              <w:rPr>
                <w:szCs w:val="18"/>
                <w:lang w:val="en-GB"/>
              </w:rPr>
            </w:pPr>
            <w:r w:rsidRPr="00C70893">
              <w:rPr>
                <w:szCs w:val="18"/>
                <w:lang w:val="en-GB"/>
              </w:rPr>
              <w:t>Screened-out if:</w:t>
            </w:r>
          </w:p>
          <w:p w:rsidR="008E4555" w:rsidRPr="00C70893" w:rsidRDefault="008E4555" w:rsidP="007E7A24">
            <w:pPr>
              <w:spacing w:line="276" w:lineRule="auto"/>
              <w:jc w:val="left"/>
              <w:rPr>
                <w:szCs w:val="18"/>
                <w:lang w:val="en-GB"/>
              </w:rPr>
            </w:pPr>
          </w:p>
          <w:p w:rsidR="008E4555" w:rsidRPr="00C70893" w:rsidRDefault="008E4555" w:rsidP="007E7A24">
            <w:pPr>
              <w:spacing w:line="276" w:lineRule="auto"/>
              <w:jc w:val="left"/>
              <w:rPr>
                <w:szCs w:val="18"/>
                <w:lang w:val="en-GB"/>
              </w:rPr>
            </w:pPr>
            <w:r w:rsidRPr="00C70893">
              <w:rPr>
                <w:szCs w:val="18"/>
                <w:lang w:val="en-GB"/>
              </w:rPr>
              <w:t>Any of the single external events criteria apply to the potential multiple events</w:t>
            </w:r>
          </w:p>
        </w:tc>
      </w:tr>
    </w:tbl>
    <w:p w:rsidR="00FA6F73" w:rsidRPr="00C70893" w:rsidRDefault="00FA6F73" w:rsidP="00C70893">
      <w:pPr>
        <w:rPr>
          <w:lang w:val="en-GB"/>
        </w:rPr>
      </w:pPr>
    </w:p>
    <w:p w:rsidR="008649AD" w:rsidRPr="00E20701" w:rsidRDefault="008649AD" w:rsidP="00317481">
      <w:pPr>
        <w:rPr>
          <w:lang w:val="en-GB"/>
        </w:rPr>
      </w:pPr>
    </w:p>
    <w:p w:rsidR="002373DB" w:rsidRDefault="00C971D1" w:rsidP="009803F6">
      <w:pPr>
        <w:pStyle w:val="Titre2"/>
        <w:keepLines/>
        <w:rPr>
          <w:lang w:val="en-GB"/>
        </w:rPr>
      </w:pPr>
      <w:bookmarkStart w:id="446" w:name="_Toc473303571"/>
      <w:r>
        <w:rPr>
          <w:lang w:val="en-GB"/>
        </w:rPr>
        <w:t>COMPARISONS OF PRACTICES AND LESSONS LEARNED</w:t>
      </w:r>
      <w:bookmarkEnd w:id="446"/>
    </w:p>
    <w:p w:rsidR="008B00BC" w:rsidRDefault="008B00BC" w:rsidP="009803F6">
      <w:pPr>
        <w:keepNext/>
        <w:keepLines/>
        <w:rPr>
          <w:lang w:val="en-GB"/>
        </w:rPr>
      </w:pPr>
    </w:p>
    <w:p w:rsidR="005475BC" w:rsidRDefault="005475BC" w:rsidP="009803F6">
      <w:pPr>
        <w:keepNext/>
        <w:keepLines/>
        <w:rPr>
          <w:lang w:val="en-GB"/>
        </w:rPr>
      </w:pPr>
      <w:r>
        <w:rPr>
          <w:lang w:val="en-GB"/>
        </w:rPr>
        <w:t xml:space="preserve">A very </w:t>
      </w:r>
      <w:r w:rsidRPr="00E20701">
        <w:rPr>
          <w:lang w:val="en-GB"/>
        </w:rPr>
        <w:t xml:space="preserve">general methodology for identifying initiating events </w:t>
      </w:r>
      <w:r>
        <w:rPr>
          <w:lang w:val="en-GB"/>
        </w:rPr>
        <w:t xml:space="preserve">has been drafted in section </w:t>
      </w:r>
      <w:r w:rsidR="00F82763">
        <w:rPr>
          <w:lang w:val="en-GB"/>
        </w:rPr>
        <w:fldChar w:fldCharType="begin"/>
      </w:r>
      <w:r w:rsidR="00F82763">
        <w:rPr>
          <w:lang w:val="en-GB"/>
        </w:rPr>
        <w:instrText xml:space="preserve"> REF _Ref444952891 \w \h </w:instrText>
      </w:r>
      <w:r w:rsidR="00F82763">
        <w:rPr>
          <w:lang w:val="en-GB"/>
        </w:rPr>
      </w:r>
      <w:r w:rsidR="00F82763">
        <w:rPr>
          <w:lang w:val="en-GB"/>
        </w:rPr>
        <w:fldChar w:fldCharType="separate"/>
      </w:r>
      <w:r w:rsidR="00E62976">
        <w:rPr>
          <w:lang w:val="en-GB"/>
        </w:rPr>
        <w:t>4</w:t>
      </w:r>
      <w:r w:rsidR="00F82763">
        <w:rPr>
          <w:lang w:val="en-GB"/>
        </w:rPr>
        <w:fldChar w:fldCharType="end"/>
      </w:r>
      <w:r>
        <w:rPr>
          <w:lang w:val="en-GB"/>
        </w:rPr>
        <w:t xml:space="preserve"> of the present report. This general approach essentially reflects most pertinent guides and also common sense. However, it leaves much space for the individual PSA development. Therefore, the present section </w:t>
      </w:r>
      <w:r w:rsidR="00F82763">
        <w:rPr>
          <w:lang w:val="en-GB"/>
        </w:rPr>
        <w:fldChar w:fldCharType="begin"/>
      </w:r>
      <w:r w:rsidR="00F82763">
        <w:rPr>
          <w:lang w:val="en-GB"/>
        </w:rPr>
        <w:instrText xml:space="preserve"> REF _Ref444952926 \w \h </w:instrText>
      </w:r>
      <w:r w:rsidR="00F82763">
        <w:rPr>
          <w:lang w:val="en-GB"/>
        </w:rPr>
      </w:r>
      <w:r w:rsidR="00F82763">
        <w:rPr>
          <w:lang w:val="en-GB"/>
        </w:rPr>
        <w:fldChar w:fldCharType="separate"/>
      </w:r>
      <w:r w:rsidR="00E62976">
        <w:rPr>
          <w:lang w:val="en-GB"/>
        </w:rPr>
        <w:t>5</w:t>
      </w:r>
      <w:r w:rsidR="00F82763">
        <w:rPr>
          <w:lang w:val="en-GB"/>
        </w:rPr>
        <w:fldChar w:fldCharType="end"/>
      </w:r>
      <w:r>
        <w:rPr>
          <w:lang w:val="en-GB"/>
        </w:rPr>
        <w:t xml:space="preserve"> </w:t>
      </w:r>
      <w:r w:rsidR="00083EA7">
        <w:rPr>
          <w:lang w:val="en-GB"/>
        </w:rPr>
        <w:t>intends</w:t>
      </w:r>
      <w:r>
        <w:rPr>
          <w:lang w:val="en-GB"/>
        </w:rPr>
        <w:t xml:space="preserve"> to shed light on the practices in different countries. </w:t>
      </w:r>
    </w:p>
    <w:p w:rsidR="005475BC" w:rsidRDefault="005475BC" w:rsidP="009803F6">
      <w:pPr>
        <w:keepNext/>
        <w:keepLines/>
        <w:rPr>
          <w:lang w:val="en-GB"/>
        </w:rPr>
      </w:pPr>
    </w:p>
    <w:p w:rsidR="005475BC" w:rsidRPr="000515B9" w:rsidRDefault="005475BC" w:rsidP="009803F6">
      <w:pPr>
        <w:keepNext/>
        <w:keepLines/>
        <w:rPr>
          <w:lang w:val="en-GB"/>
        </w:rPr>
      </w:pPr>
      <w:r w:rsidRPr="000515B9">
        <w:rPr>
          <w:lang w:val="en-GB"/>
        </w:rPr>
        <w:t xml:space="preserve">There are several high-level documents and guides which have been mentioned in the previous sections. Unfortunately these documents do not have a high degree of </w:t>
      </w:r>
      <w:r w:rsidR="005A408B">
        <w:rPr>
          <w:lang w:val="en-GB"/>
        </w:rPr>
        <w:t>detail</w:t>
      </w:r>
      <w:r w:rsidRPr="000515B9">
        <w:rPr>
          <w:lang w:val="en-GB"/>
        </w:rPr>
        <w:t>. They very often provide general suggestions, which need to be interpreted and adjusted when performing a PSA.</w:t>
      </w:r>
    </w:p>
    <w:p w:rsidR="005475BC" w:rsidRPr="000515B9" w:rsidRDefault="005475BC" w:rsidP="009803F6">
      <w:pPr>
        <w:keepNext/>
        <w:keepLines/>
        <w:rPr>
          <w:lang w:val="en-GB"/>
        </w:rPr>
      </w:pPr>
    </w:p>
    <w:p w:rsidR="005475BC" w:rsidRPr="000515B9" w:rsidRDefault="005475BC" w:rsidP="009803F6">
      <w:pPr>
        <w:keepNext/>
        <w:keepLines/>
        <w:rPr>
          <w:lang w:val="en-GB"/>
        </w:rPr>
      </w:pPr>
      <w:r w:rsidRPr="000515B9">
        <w:rPr>
          <w:lang w:val="en-GB"/>
        </w:rPr>
        <w:t>The following examples and related comments provide a perspective on the level of guidance:</w:t>
      </w:r>
    </w:p>
    <w:p w:rsidR="005475BC" w:rsidRPr="000515B9" w:rsidRDefault="005475BC" w:rsidP="009803F6">
      <w:pPr>
        <w:keepNext/>
        <w:keepLines/>
        <w:rPr>
          <w:lang w:val="en-GB"/>
        </w:rPr>
      </w:pPr>
      <w:r w:rsidRPr="000515B9">
        <w:rPr>
          <w:lang w:val="en-GB"/>
        </w:rPr>
        <w:t xml:space="preserve">The ASME/ANS RA-S standard </w:t>
      </w:r>
      <w:r w:rsidR="00641D72">
        <w:rPr>
          <w:lang w:val="en-GB"/>
        </w:rPr>
        <w:fldChar w:fldCharType="begin"/>
      </w:r>
      <w:r w:rsidR="00641D72">
        <w:rPr>
          <w:lang w:val="en-GB"/>
        </w:rPr>
        <w:instrText xml:space="preserve"> REF _Ref408832490 \w \h </w:instrText>
      </w:r>
      <w:r w:rsidR="00641D72">
        <w:rPr>
          <w:lang w:val="en-GB"/>
        </w:rPr>
      </w:r>
      <w:r w:rsidR="00641D72">
        <w:rPr>
          <w:lang w:val="en-GB"/>
        </w:rPr>
        <w:fldChar w:fldCharType="separate"/>
      </w:r>
      <w:r w:rsidR="00E62976">
        <w:rPr>
          <w:lang w:val="en-GB"/>
        </w:rPr>
        <w:t>[54]</w:t>
      </w:r>
      <w:r w:rsidR="00641D72">
        <w:rPr>
          <w:lang w:val="en-GB"/>
        </w:rPr>
        <w:fldChar w:fldCharType="end"/>
      </w:r>
      <w:r w:rsidRPr="000515B9">
        <w:rPr>
          <w:lang w:val="en-GB"/>
        </w:rPr>
        <w:t xml:space="preserve">, </w:t>
      </w:r>
      <w:r w:rsidR="00641D72">
        <w:rPr>
          <w:lang w:val="en-GB"/>
        </w:rPr>
        <w:fldChar w:fldCharType="begin"/>
      </w:r>
      <w:r w:rsidR="00641D72">
        <w:rPr>
          <w:lang w:val="en-GB"/>
        </w:rPr>
        <w:instrText xml:space="preserve"> REF _Ref408832492 \w \h </w:instrText>
      </w:r>
      <w:r w:rsidR="00641D72">
        <w:rPr>
          <w:lang w:val="en-GB"/>
        </w:rPr>
      </w:r>
      <w:r w:rsidR="00641D72">
        <w:rPr>
          <w:lang w:val="en-GB"/>
        </w:rPr>
        <w:fldChar w:fldCharType="separate"/>
      </w:r>
      <w:r w:rsidR="00E62976">
        <w:rPr>
          <w:lang w:val="en-GB"/>
        </w:rPr>
        <w:t>[56]</w:t>
      </w:r>
      <w:r w:rsidR="00641D72">
        <w:rPr>
          <w:lang w:val="en-GB"/>
        </w:rPr>
        <w:fldChar w:fldCharType="end"/>
      </w:r>
      <w:r w:rsidR="00012DA5">
        <w:rPr>
          <w:lang w:val="en-GB"/>
        </w:rPr>
        <w:t xml:space="preserve"> </w:t>
      </w:r>
      <w:r w:rsidRPr="000515B9">
        <w:rPr>
          <w:lang w:val="en-GB"/>
        </w:rPr>
        <w:t xml:space="preserve">has two </w:t>
      </w:r>
      <w:r w:rsidR="005A408B">
        <w:rPr>
          <w:lang w:val="en-GB"/>
        </w:rPr>
        <w:t xml:space="preserve">sets of </w:t>
      </w:r>
      <w:r w:rsidRPr="000515B9">
        <w:rPr>
          <w:lang w:val="en-GB"/>
        </w:rPr>
        <w:t xml:space="preserve">screening criteria: one for the internal initiating events at power and one for external events at power. For external events the ASME/ANS RA-S standard requires that all potential external events (both natural hazards and man-made events) that may affect the site shall be considered and shall be subjected to either screening, bounding (demonstrably conservative) analysis, or detailed analysis. </w:t>
      </w:r>
      <w:r w:rsidRPr="00DA6247">
        <w:rPr>
          <w:lang w:val="en-GB"/>
        </w:rPr>
        <w:t>The list of external events that should be included as a minimum is provided in the standard.</w:t>
      </w:r>
      <w:r w:rsidRPr="000515B9">
        <w:rPr>
          <w:lang w:val="en-GB"/>
        </w:rPr>
        <w:t xml:space="preserve"> Requirement for supplementing of the list with the site-specific and plant-unique external events is given. The preliminary screening is qualitative and is performed using a </w:t>
      </w:r>
      <w:r w:rsidRPr="00DA6247">
        <w:rPr>
          <w:lang w:val="en-GB"/>
        </w:rPr>
        <w:t>set of five screening criteria</w:t>
      </w:r>
      <w:r w:rsidRPr="000515B9">
        <w:rPr>
          <w:lang w:val="en-GB"/>
        </w:rPr>
        <w:t>.</w:t>
      </w:r>
    </w:p>
    <w:p w:rsidR="005475BC" w:rsidRPr="000515B9" w:rsidRDefault="005475BC" w:rsidP="009803F6">
      <w:pPr>
        <w:keepNext/>
        <w:keepLines/>
        <w:rPr>
          <w:lang w:val="en-GB"/>
        </w:rPr>
      </w:pPr>
      <w:r w:rsidRPr="000515B9">
        <w:rPr>
          <w:lang w:val="en-GB"/>
        </w:rPr>
        <w:t xml:space="preserve">For hazard events, SSG-3 </w:t>
      </w:r>
      <w:r w:rsidR="00A72107">
        <w:fldChar w:fldCharType="begin"/>
      </w:r>
      <w:r w:rsidR="00A72107" w:rsidRPr="00061BF5">
        <w:rPr>
          <w:lang w:val="en-US"/>
        </w:rPr>
        <w:instrText xml:space="preserve"> REF _Ref384386913 \w \h  \* MERGEFORMAT </w:instrText>
      </w:r>
      <w:r w:rsidR="00A72107">
        <w:fldChar w:fldCharType="separate"/>
      </w:r>
      <w:r w:rsidR="00E62976" w:rsidRPr="00E62976">
        <w:rPr>
          <w:lang w:val="en-GB"/>
        </w:rPr>
        <w:t>[4]</w:t>
      </w:r>
      <w:r w:rsidR="00A72107">
        <w:fldChar w:fldCharType="end"/>
      </w:r>
      <w:r w:rsidRPr="000515B9">
        <w:rPr>
          <w:lang w:val="en-GB"/>
        </w:rPr>
        <w:t xml:space="preserve"> recommends </w:t>
      </w:r>
      <w:r w:rsidR="005A408B">
        <w:rPr>
          <w:lang w:val="en-GB"/>
        </w:rPr>
        <w:t>a</w:t>
      </w:r>
      <w:r w:rsidRPr="000515B9">
        <w:rPr>
          <w:lang w:val="en-GB"/>
        </w:rPr>
        <w:t xml:space="preserve"> systematic screening approach. However, there are no statements </w:t>
      </w:r>
      <w:r w:rsidR="005A408B">
        <w:rPr>
          <w:lang w:val="en-GB"/>
        </w:rPr>
        <w:t>against which specific criteria</w:t>
      </w:r>
      <w:r w:rsidRPr="000515B9">
        <w:rPr>
          <w:lang w:val="en-GB"/>
        </w:rPr>
        <w:t xml:space="preserve"> initiating event and hazard scenarios</w:t>
      </w:r>
      <w:r w:rsidR="005A408B">
        <w:rPr>
          <w:lang w:val="en-GB"/>
        </w:rPr>
        <w:t xml:space="preserve"> should be screened out</w:t>
      </w:r>
      <w:r w:rsidRPr="000515B9">
        <w:rPr>
          <w:lang w:val="en-GB"/>
        </w:rPr>
        <w:t>.</w:t>
      </w:r>
    </w:p>
    <w:p w:rsidR="005475BC" w:rsidRPr="000515B9" w:rsidRDefault="005475BC" w:rsidP="005475BC">
      <w:pPr>
        <w:rPr>
          <w:lang w:val="en-GB"/>
        </w:rPr>
      </w:pPr>
      <w:r w:rsidRPr="000515B9">
        <w:rPr>
          <w:lang w:val="en-GB"/>
        </w:rPr>
        <w:t xml:space="preserve">WENRA reference levels for existing reactors </w:t>
      </w:r>
      <w:r w:rsidR="00A72107">
        <w:fldChar w:fldCharType="begin"/>
      </w:r>
      <w:r w:rsidR="00A72107" w:rsidRPr="00061BF5">
        <w:rPr>
          <w:lang w:val="en-US"/>
        </w:rPr>
        <w:instrText xml:space="preserve"> REF _Ref384812549 \r \h  \* MERGEFORMAT </w:instrText>
      </w:r>
      <w:r w:rsidR="00A72107">
        <w:fldChar w:fldCharType="separate"/>
      </w:r>
      <w:r w:rsidR="00E62976" w:rsidRPr="00E62976">
        <w:rPr>
          <w:lang w:val="en-GB"/>
        </w:rPr>
        <w:t>[11]</w:t>
      </w:r>
      <w:r w:rsidR="00A72107">
        <w:fldChar w:fldCharType="end"/>
      </w:r>
      <w:r w:rsidRPr="000515B9">
        <w:rPr>
          <w:lang w:val="en-GB"/>
        </w:rPr>
        <w:t xml:space="preserve"> require that adequate screening criteria shall be defined in order to identify the relevant initiating events and operational states, but no further details are given.</w:t>
      </w:r>
    </w:p>
    <w:p w:rsidR="005475BC" w:rsidRPr="000515B9" w:rsidRDefault="005475BC" w:rsidP="005475BC">
      <w:pPr>
        <w:rPr>
          <w:lang w:val="en-GB"/>
        </w:rPr>
      </w:pPr>
      <w:r w:rsidRPr="00DA6247">
        <w:rPr>
          <w:lang w:val="en-GB"/>
        </w:rPr>
        <w:t>For external hazards</w:t>
      </w:r>
      <w:r w:rsidR="005A408B">
        <w:rPr>
          <w:lang w:val="en-GB"/>
        </w:rPr>
        <w:t>,</w:t>
      </w:r>
      <w:r w:rsidRPr="00DA6247">
        <w:rPr>
          <w:lang w:val="en-GB"/>
        </w:rPr>
        <w:t xml:space="preserve"> the main issue is combination of external hazards</w:t>
      </w:r>
      <w:r w:rsidRPr="000515B9">
        <w:rPr>
          <w:lang w:val="en-GB"/>
        </w:rPr>
        <w:t xml:space="preserve">. Several countries set requirements for </w:t>
      </w:r>
      <w:r w:rsidR="005A408B">
        <w:rPr>
          <w:lang w:val="en-GB"/>
        </w:rPr>
        <w:t xml:space="preserve">the consideration of </w:t>
      </w:r>
      <w:r w:rsidRPr="000515B9">
        <w:rPr>
          <w:lang w:val="en-GB"/>
        </w:rPr>
        <w:t>combination</w:t>
      </w:r>
      <w:r w:rsidR="005A408B">
        <w:rPr>
          <w:lang w:val="en-GB"/>
        </w:rPr>
        <w:t>s</w:t>
      </w:r>
      <w:r w:rsidRPr="000515B9">
        <w:rPr>
          <w:lang w:val="en-GB"/>
        </w:rPr>
        <w:t xml:space="preserve"> of external hazards. However, in general there are no specific recommendations on how to treat combinations of hazard events in the determination of initiating events or hazard scenarios for a PSA. Only the EU industry representative provides some information. Typically, a combination of hazards involves natural events (e.g., heavy wind and high sea water level). However, combinations of natural and man-made events are also possible (e.g. increased risk of ship accidents during heavy weather conditions). The identification of combined hazards focuses on the identification of correlation mechanisms, such as source correlated hazards (e.g. earthquake and tsunami), phenomenological correlated hazards (e.g. strong wind and heavy rain), and induced hazards (e.g. earthquake and earthquake induced fire). </w:t>
      </w:r>
    </w:p>
    <w:p w:rsidR="005475BC" w:rsidRPr="000515B9" w:rsidRDefault="005475BC" w:rsidP="005475BC">
      <w:pPr>
        <w:rPr>
          <w:lang w:val="en-GB"/>
        </w:rPr>
      </w:pPr>
    </w:p>
    <w:p w:rsidR="005475BC" w:rsidRPr="000515B9" w:rsidRDefault="005475BC" w:rsidP="005475BC">
      <w:pPr>
        <w:rPr>
          <w:lang w:val="en-GB"/>
        </w:rPr>
      </w:pPr>
      <w:r w:rsidRPr="000515B9">
        <w:rPr>
          <w:lang w:val="en-GB"/>
        </w:rPr>
        <w:t xml:space="preserve">The following conclusions can be derived from above described approaches: </w:t>
      </w:r>
      <w:r>
        <w:rPr>
          <w:lang w:val="en-GB"/>
        </w:rPr>
        <w:t>a</w:t>
      </w:r>
      <w:r w:rsidRPr="000515B9">
        <w:rPr>
          <w:lang w:val="en-GB"/>
        </w:rPr>
        <w:t>ll significant initiating events and dependencies and correlations that affect the results should be considered in the model, but hardly any specific requirements are described.</w:t>
      </w:r>
    </w:p>
    <w:p w:rsidR="005475BC" w:rsidRPr="000515B9" w:rsidRDefault="005475BC" w:rsidP="005475BC">
      <w:pPr>
        <w:rPr>
          <w:lang w:val="en-GB"/>
        </w:rPr>
      </w:pPr>
    </w:p>
    <w:p w:rsidR="005475BC" w:rsidRDefault="005475BC" w:rsidP="005475BC">
      <w:pPr>
        <w:rPr>
          <w:lang w:val="en-GB"/>
        </w:rPr>
      </w:pPr>
      <w:r w:rsidRPr="000515B9">
        <w:rPr>
          <w:lang w:val="en-GB"/>
        </w:rPr>
        <w:t xml:space="preserve">As a consequence, practically no PSA exist which fully complies with present guides. Only few countries mention that they follow or develop regulation </w:t>
      </w:r>
      <w:r>
        <w:rPr>
          <w:lang w:val="en-GB"/>
        </w:rPr>
        <w:t>according to</w:t>
      </w:r>
      <w:r w:rsidRPr="000515B9">
        <w:rPr>
          <w:lang w:val="en-GB"/>
        </w:rPr>
        <w:t xml:space="preserve"> WENRA reference levels. Also only few countries directly refer to ASME/ANS standards.</w:t>
      </w:r>
    </w:p>
    <w:p w:rsidR="005475BC" w:rsidRPr="000515B9" w:rsidRDefault="005475BC" w:rsidP="005475BC">
      <w:pPr>
        <w:rPr>
          <w:lang w:val="en-GB"/>
        </w:rPr>
      </w:pPr>
    </w:p>
    <w:p w:rsidR="005475BC" w:rsidRPr="00FD7C51" w:rsidRDefault="005475BC" w:rsidP="005475BC">
      <w:pPr>
        <w:rPr>
          <w:lang w:val="en-GB"/>
        </w:rPr>
      </w:pPr>
      <w:r w:rsidRPr="00FD7C51">
        <w:rPr>
          <w:lang w:val="en-GB"/>
        </w:rPr>
        <w:t>The following sections provide a short summary of the contributions above provided by the individual count</w:t>
      </w:r>
      <w:r w:rsidR="00061BF5">
        <w:rPr>
          <w:lang w:val="en-GB"/>
        </w:rPr>
        <w:t>r</w:t>
      </w:r>
      <w:r w:rsidRPr="00FD7C51">
        <w:rPr>
          <w:lang w:val="en-GB"/>
        </w:rPr>
        <w:t>ies.</w:t>
      </w:r>
    </w:p>
    <w:p w:rsidR="005475BC" w:rsidRPr="009803F6" w:rsidRDefault="005475BC" w:rsidP="005475BC">
      <w:pPr>
        <w:rPr>
          <w:lang w:val="en-GB"/>
        </w:rPr>
      </w:pPr>
      <w:r w:rsidRPr="00C23BA5">
        <w:rPr>
          <w:lang w:val="en-GB"/>
        </w:rPr>
        <w:t xml:space="preserve">A grouping into seven bins has been applied. For each county, the availability of respective information is indicated. </w:t>
      </w:r>
    </w:p>
    <w:p w:rsidR="00B449B4" w:rsidRPr="009803F6" w:rsidRDefault="00B449B4" w:rsidP="005475BC">
      <w:pPr>
        <w:rPr>
          <w:lang w:val="en-GB"/>
        </w:rPr>
      </w:pPr>
    </w:p>
    <w:p w:rsidR="00B449B4" w:rsidRPr="00FD7C51" w:rsidRDefault="00B449B4" w:rsidP="00083EA7">
      <w:pPr>
        <w:keepNext/>
        <w:rPr>
          <w:lang w:val="en-GB"/>
        </w:rPr>
      </w:pPr>
      <w:r w:rsidRPr="00FD7C51">
        <w:rPr>
          <w:noProof/>
        </w:rPr>
        <w:drawing>
          <wp:inline distT="0" distB="0" distL="0" distR="0" wp14:anchorId="2CC2DC3F" wp14:editId="4A882352">
            <wp:extent cx="5940425" cy="171259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elle.PNG"/>
                    <pic:cNvPicPr/>
                  </pic:nvPicPr>
                  <pic:blipFill>
                    <a:blip r:embed="rId23">
                      <a:extLst>
                        <a:ext uri="{28A0092B-C50C-407E-A947-70E740481C1C}">
                          <a14:useLocalDpi xmlns:a14="http://schemas.microsoft.com/office/drawing/2010/main" val="0"/>
                        </a:ext>
                      </a:extLst>
                    </a:blip>
                    <a:stretch>
                      <a:fillRect/>
                    </a:stretch>
                  </pic:blipFill>
                  <pic:spPr>
                    <a:xfrm>
                      <a:off x="0" y="0"/>
                      <a:ext cx="5940425" cy="1712595"/>
                    </a:xfrm>
                    <a:prstGeom prst="rect">
                      <a:avLst/>
                    </a:prstGeom>
                  </pic:spPr>
                </pic:pic>
              </a:graphicData>
            </a:graphic>
          </wp:inline>
        </w:drawing>
      </w:r>
    </w:p>
    <w:p w:rsidR="005475BC" w:rsidRPr="00FD7C51" w:rsidRDefault="005475BC" w:rsidP="00083EA7">
      <w:pPr>
        <w:keepNext/>
        <w:rPr>
          <w:lang w:val="en-GB"/>
        </w:rPr>
      </w:pPr>
    </w:p>
    <w:p w:rsidR="00772D91" w:rsidRDefault="00772D91" w:rsidP="005079A3">
      <w:pPr>
        <w:pStyle w:val="Lgende"/>
        <w:rPr>
          <w:lang w:val="en-GB"/>
        </w:rPr>
      </w:pPr>
      <w:bookmarkStart w:id="447" w:name="_Ref445310782"/>
      <w:r w:rsidRPr="00C23BA5">
        <w:rPr>
          <w:lang w:val="en-US"/>
        </w:rPr>
        <w:t xml:space="preserve">Figure </w:t>
      </w:r>
      <w:r w:rsidR="00125AF4" w:rsidRPr="00C23BA5">
        <w:fldChar w:fldCharType="begin"/>
      </w:r>
      <w:r w:rsidRPr="004479EA">
        <w:rPr>
          <w:lang w:val="en-US"/>
        </w:rPr>
        <w:instrText xml:space="preserve"> STYLEREF 1 \s </w:instrText>
      </w:r>
      <w:r w:rsidR="00125AF4" w:rsidRPr="00C23BA5">
        <w:fldChar w:fldCharType="separate"/>
      </w:r>
      <w:r w:rsidR="00E62976">
        <w:rPr>
          <w:noProof/>
          <w:lang w:val="en-US"/>
        </w:rPr>
        <w:t>5</w:t>
      </w:r>
      <w:r w:rsidR="00125AF4" w:rsidRPr="00C23BA5">
        <w:fldChar w:fldCharType="end"/>
      </w:r>
      <w:r w:rsidRPr="00C23BA5">
        <w:rPr>
          <w:lang w:val="en-US"/>
        </w:rPr>
        <w:noBreakHyphen/>
      </w:r>
      <w:r w:rsidR="00125AF4" w:rsidRPr="00C23BA5">
        <w:fldChar w:fldCharType="begin"/>
      </w:r>
      <w:r w:rsidRPr="004479EA">
        <w:rPr>
          <w:lang w:val="en-US"/>
        </w:rPr>
        <w:instrText xml:space="preserve"> SEQ Figure \* ARABIC \s 1 </w:instrText>
      </w:r>
      <w:r w:rsidR="00125AF4" w:rsidRPr="00C23BA5">
        <w:fldChar w:fldCharType="separate"/>
      </w:r>
      <w:r w:rsidR="00E62976">
        <w:rPr>
          <w:noProof/>
          <w:lang w:val="en-US"/>
        </w:rPr>
        <w:t>2</w:t>
      </w:r>
      <w:r w:rsidR="00125AF4" w:rsidRPr="00C23BA5">
        <w:fldChar w:fldCharType="end"/>
      </w:r>
      <w:bookmarkEnd w:id="447"/>
      <w:r w:rsidRPr="004479EA">
        <w:rPr>
          <w:lang w:val="en-US"/>
        </w:rPr>
        <w:t xml:space="preserve"> </w:t>
      </w:r>
      <w:r w:rsidRPr="004479EA">
        <w:rPr>
          <w:lang w:val="en-US"/>
        </w:rPr>
        <w:tab/>
        <w:t>Overview over Screening Approach Topics by Country</w:t>
      </w:r>
    </w:p>
    <w:p w:rsidR="00772D91" w:rsidRDefault="00772D91" w:rsidP="005475BC">
      <w:pPr>
        <w:rPr>
          <w:lang w:val="en-GB"/>
        </w:rPr>
      </w:pPr>
    </w:p>
    <w:p w:rsidR="005475BC" w:rsidRPr="00DA6247" w:rsidRDefault="005475BC" w:rsidP="005079A3">
      <w:pPr>
        <w:pStyle w:val="Titre3"/>
        <w:rPr>
          <w:lang w:val="en-GB"/>
        </w:rPr>
      </w:pPr>
      <w:bookmarkStart w:id="448" w:name="_Toc473303572"/>
      <w:r w:rsidRPr="00DA6247">
        <w:rPr>
          <w:lang w:val="en-GB"/>
        </w:rPr>
        <w:t>List of IE and hazards to be considered in the screening process</w:t>
      </w:r>
      <w:bookmarkEnd w:id="448"/>
    </w:p>
    <w:p w:rsidR="005475BC" w:rsidRPr="00DA6247" w:rsidRDefault="005475BC" w:rsidP="005475BC">
      <w:pPr>
        <w:rPr>
          <w:lang w:val="en-GB"/>
        </w:rPr>
      </w:pPr>
    </w:p>
    <w:p w:rsidR="005475BC" w:rsidRPr="00DA6247" w:rsidRDefault="005475BC" w:rsidP="005475BC">
      <w:pPr>
        <w:rPr>
          <w:lang w:val="en-GB"/>
        </w:rPr>
      </w:pPr>
      <w:r w:rsidRPr="00DA6247">
        <w:rPr>
          <w:lang w:val="en-GB"/>
        </w:rPr>
        <w:t xml:space="preserve">All countries list hazards like fire, flood, earthquakes, hurricanes, floods, lightning and man-made hazards like </w:t>
      </w:r>
      <w:r>
        <w:rPr>
          <w:lang w:val="en-GB"/>
        </w:rPr>
        <w:t xml:space="preserve">airplane </w:t>
      </w:r>
      <w:r w:rsidRPr="00DA6247">
        <w:rPr>
          <w:lang w:val="en-GB"/>
        </w:rPr>
        <w:t xml:space="preserve">crash, transport accidents, explosions. Hazards resulting </w:t>
      </w:r>
      <w:r>
        <w:rPr>
          <w:lang w:val="en-GB"/>
        </w:rPr>
        <w:t>from</w:t>
      </w:r>
      <w:r w:rsidRPr="00DA6247">
        <w:rPr>
          <w:lang w:val="en-GB"/>
        </w:rPr>
        <w:t xml:space="preserve"> human errors are mentioned by most countries. Some countries mention special additional hazards like volcanism (CA</w:t>
      </w:r>
      <w:r w:rsidR="008C2AD7">
        <w:rPr>
          <w:rFonts w:hint="eastAsia"/>
          <w:lang w:val="en-GB" w:eastAsia="ja-JP"/>
        </w:rPr>
        <w:t>, JP</w:t>
      </w:r>
      <w:r w:rsidRPr="00DA6247">
        <w:rPr>
          <w:lang w:val="en-GB"/>
        </w:rPr>
        <w:t>), electromagnetic interference (CA, DE), heavy load drop (FR, DE), tornados (CH, DE</w:t>
      </w:r>
      <w:r w:rsidR="008C2AD7">
        <w:rPr>
          <w:rFonts w:hint="eastAsia"/>
          <w:lang w:val="en-GB" w:eastAsia="ja-JP"/>
        </w:rPr>
        <w:t>, JP</w:t>
      </w:r>
      <w:r w:rsidRPr="00DA6247">
        <w:rPr>
          <w:lang w:val="en-GB"/>
        </w:rPr>
        <w:t xml:space="preserve">) or microbiological corrosion (DE). Belgium (BE) does not envisage external hazards. </w:t>
      </w:r>
    </w:p>
    <w:p w:rsidR="005475BC" w:rsidRPr="00DA6247" w:rsidRDefault="005475BC" w:rsidP="005475BC">
      <w:pPr>
        <w:rPr>
          <w:lang w:val="en-GB"/>
        </w:rPr>
      </w:pPr>
    </w:p>
    <w:p w:rsidR="005475BC" w:rsidRPr="00DA6247" w:rsidRDefault="005475BC" w:rsidP="005475BC">
      <w:pPr>
        <w:rPr>
          <w:lang w:val="en-GB"/>
        </w:rPr>
      </w:pPr>
      <w:r w:rsidRPr="00DA6247">
        <w:rPr>
          <w:lang w:val="en-GB"/>
        </w:rPr>
        <w:t>In their hazard lists the different countries refer to reference documents issued by IAEA (e.g. HU, SE, CZ), ASME (e.g. SI, JP), CNSC (e.g. CA) or others (e.g. WENRA, IEEE, ANS).</w:t>
      </w:r>
    </w:p>
    <w:p w:rsidR="005475BC" w:rsidRPr="00DA6247" w:rsidRDefault="005475BC" w:rsidP="005475BC">
      <w:pPr>
        <w:rPr>
          <w:highlight w:val="lightGray"/>
          <w:lang w:val="en-GB"/>
        </w:rPr>
      </w:pPr>
    </w:p>
    <w:p w:rsidR="005475BC" w:rsidRPr="00DA6247" w:rsidRDefault="005475BC" w:rsidP="005079A3">
      <w:pPr>
        <w:pStyle w:val="Titre3"/>
        <w:rPr>
          <w:lang w:val="en-GB"/>
        </w:rPr>
      </w:pPr>
      <w:bookmarkStart w:id="449" w:name="_Toc473303573"/>
      <w:r w:rsidRPr="00DA6247">
        <w:rPr>
          <w:lang w:val="en-GB"/>
        </w:rPr>
        <w:t>Area of interest around the NPP</w:t>
      </w:r>
      <w:bookmarkEnd w:id="449"/>
    </w:p>
    <w:p w:rsidR="005475BC" w:rsidRPr="00DA6247" w:rsidRDefault="005475BC" w:rsidP="005475BC">
      <w:pPr>
        <w:rPr>
          <w:lang w:val="en-GB"/>
        </w:rPr>
      </w:pPr>
    </w:p>
    <w:p w:rsidR="005475BC" w:rsidRPr="0088475A" w:rsidRDefault="005475BC" w:rsidP="005475BC">
      <w:pPr>
        <w:rPr>
          <w:lang w:val="en-GB"/>
        </w:rPr>
      </w:pPr>
      <w:r w:rsidRPr="00DA6247">
        <w:rPr>
          <w:lang w:val="en-GB"/>
        </w:rPr>
        <w:t xml:space="preserve">In the corresponding country reports only </w:t>
      </w:r>
      <w:r>
        <w:rPr>
          <w:lang w:val="en-GB"/>
        </w:rPr>
        <w:t>few</w:t>
      </w:r>
      <w:r w:rsidRPr="00DA6247">
        <w:rPr>
          <w:lang w:val="en-GB"/>
        </w:rPr>
        <w:t xml:space="preserve"> countries mention the consideration of the surroundings other than already mentioned in the reference documents. The Czech Republic for example refers to site</w:t>
      </w:r>
      <w:r w:rsidRPr="0088475A">
        <w:rPr>
          <w:lang w:val="en-GB"/>
        </w:rPr>
        <w:t xml:space="preserve"> evaluation and safety aspects for nuclear installations (corresponding to IAEA documents), taking into accoun</w:t>
      </w:r>
      <w:r w:rsidRPr="00DA6247">
        <w:rPr>
          <w:lang w:val="en-GB"/>
        </w:rPr>
        <w:t xml:space="preserve">t geographical, meteorological, </w:t>
      </w:r>
      <w:r w:rsidRPr="0088475A">
        <w:rPr>
          <w:lang w:val="en-GB"/>
        </w:rPr>
        <w:t>biological and transport data. Also special seismic analyses are cited in the Czech report. Most countries (e.g. UA) mention the consideration of distance</w:t>
      </w:r>
      <w:r w:rsidRPr="00DA6247">
        <w:rPr>
          <w:lang w:val="en-GB"/>
        </w:rPr>
        <w:t xml:space="preserve"> of the hazard to the NPP.</w:t>
      </w:r>
    </w:p>
    <w:p w:rsidR="00037A67" w:rsidRPr="00E20701" w:rsidRDefault="00037A67" w:rsidP="00037A67">
      <w:pPr>
        <w:rPr>
          <w:lang w:val="en-GB"/>
        </w:rPr>
      </w:pPr>
      <w:r>
        <w:rPr>
          <w:bCs/>
          <w:lang w:val="en-GB"/>
        </w:rPr>
        <w:t xml:space="preserve">Slovenia made a proposal (following WENRA issue T) to </w:t>
      </w:r>
      <w:r w:rsidRPr="00DA6247">
        <w:rPr>
          <w:lang w:val="en-GB"/>
        </w:rPr>
        <w:t xml:space="preserve">set </w:t>
      </w:r>
      <w:r>
        <w:rPr>
          <w:lang w:val="en-GB"/>
        </w:rPr>
        <w:t xml:space="preserve">frequencies </w:t>
      </w:r>
      <w:r w:rsidRPr="00DA6247">
        <w:rPr>
          <w:lang w:val="en-GB"/>
        </w:rPr>
        <w:t>less than 10</w:t>
      </w:r>
      <w:r w:rsidRPr="00DA6247">
        <w:rPr>
          <w:vertAlign w:val="superscript"/>
          <w:lang w:val="en-GB"/>
        </w:rPr>
        <w:t>-4</w:t>
      </w:r>
      <w:r w:rsidRPr="00DA6247">
        <w:rPr>
          <w:lang w:val="en-GB"/>
        </w:rPr>
        <w:t>/a for operating units considering natural external events.</w:t>
      </w:r>
    </w:p>
    <w:p w:rsidR="005475BC" w:rsidRPr="00DA6247" w:rsidRDefault="005475BC" w:rsidP="005079A3">
      <w:pPr>
        <w:pStyle w:val="Titre3"/>
        <w:rPr>
          <w:lang w:val="en-GB"/>
        </w:rPr>
      </w:pPr>
      <w:bookmarkStart w:id="450" w:name="_Toc473303574"/>
      <w:r w:rsidRPr="00DA6247">
        <w:rPr>
          <w:lang w:val="en-GB"/>
        </w:rPr>
        <w:t>Comparison of qualitat</w:t>
      </w:r>
      <w:r>
        <w:rPr>
          <w:lang w:val="en-GB"/>
        </w:rPr>
        <w:t>ive screening criteria</w:t>
      </w:r>
      <w:bookmarkEnd w:id="450"/>
    </w:p>
    <w:p w:rsidR="005475BC" w:rsidRPr="00DA6247" w:rsidRDefault="005475BC" w:rsidP="005475BC">
      <w:pPr>
        <w:rPr>
          <w:lang w:val="en-GB"/>
        </w:rPr>
      </w:pPr>
    </w:p>
    <w:p w:rsidR="005475BC" w:rsidRPr="00DA6247" w:rsidRDefault="00456065" w:rsidP="005475BC">
      <w:pPr>
        <w:rPr>
          <w:lang w:val="en-GB"/>
        </w:rPr>
      </w:pPr>
      <w:r>
        <w:rPr>
          <w:lang w:val="en-GB"/>
        </w:rPr>
        <w:t>Common s</w:t>
      </w:r>
      <w:r w:rsidR="005475BC" w:rsidRPr="00DA6247">
        <w:rPr>
          <w:lang w:val="en-GB"/>
        </w:rPr>
        <w:t>creening criteria are e.g. the distance of the hazard to the plant, the duration of the development of the hazard, a potential inclusion in already considered cases, a low frequency of occurrence, the potential of a damage, that is smaller than in the DBA cases or, for some countries, hazards, that have small contributions to overall CDF and LER (e.g. DE, CH). Canada includes the effects on SSC and scenarios that would influence the ability to implement emergency plans. Slovenia uses the conservative ANSI standard in its consideration.</w:t>
      </w:r>
    </w:p>
    <w:p w:rsidR="005475BC" w:rsidRPr="00DA6247" w:rsidRDefault="005475BC" w:rsidP="005475BC">
      <w:pPr>
        <w:rPr>
          <w:lang w:val="en-GB"/>
        </w:rPr>
      </w:pPr>
    </w:p>
    <w:p w:rsidR="005475BC" w:rsidRPr="00DA6247" w:rsidRDefault="005475BC" w:rsidP="005079A3">
      <w:pPr>
        <w:pStyle w:val="Titre3"/>
        <w:rPr>
          <w:lang w:val="en-GB"/>
        </w:rPr>
      </w:pPr>
      <w:bookmarkStart w:id="451" w:name="_Toc473303575"/>
      <w:r w:rsidRPr="00DA6247">
        <w:rPr>
          <w:lang w:val="en-GB"/>
        </w:rPr>
        <w:t>Comparison of quanti</w:t>
      </w:r>
      <w:r>
        <w:rPr>
          <w:lang w:val="en-GB"/>
        </w:rPr>
        <w:t>tative screening criteria</w:t>
      </w:r>
      <w:bookmarkEnd w:id="451"/>
      <w:r w:rsidRPr="00DA6247">
        <w:rPr>
          <w:lang w:val="en-GB"/>
        </w:rPr>
        <w:t xml:space="preserve"> </w:t>
      </w:r>
    </w:p>
    <w:p w:rsidR="005475BC" w:rsidRPr="00DA6247" w:rsidRDefault="005475BC" w:rsidP="005475BC">
      <w:pPr>
        <w:rPr>
          <w:lang w:val="en-GB"/>
        </w:rPr>
      </w:pPr>
    </w:p>
    <w:p w:rsidR="00456065" w:rsidRDefault="005475BC" w:rsidP="00456065">
      <w:pPr>
        <w:rPr>
          <w:lang w:val="en-US"/>
        </w:rPr>
      </w:pPr>
      <w:r w:rsidRPr="00DA6247">
        <w:rPr>
          <w:lang w:val="en-GB"/>
        </w:rPr>
        <w:t xml:space="preserve">The cut-off frequencies vary for the different countries. Bulgaria screens out scenarios with a frequency below </w:t>
      </w:r>
      <w:r w:rsidR="00611851">
        <w:rPr>
          <w:lang w:val="en-GB"/>
        </w:rPr>
        <w:br/>
      </w:r>
      <w:r w:rsidRPr="00DA6247">
        <w:rPr>
          <w:lang w:val="en-GB"/>
        </w:rPr>
        <w:t>10</w:t>
      </w:r>
      <w:r w:rsidRPr="004B3DA1">
        <w:rPr>
          <w:vertAlign w:val="superscript"/>
          <w:lang w:val="en-GB"/>
        </w:rPr>
        <w:t>-9</w:t>
      </w:r>
      <w:r w:rsidRPr="00DA6247">
        <w:rPr>
          <w:lang w:val="en-GB"/>
        </w:rPr>
        <w:t>/a, whereas</w:t>
      </w:r>
      <w:r w:rsidR="00264C9B">
        <w:rPr>
          <w:lang w:val="en-GB"/>
        </w:rPr>
        <w:t xml:space="preserve"> EDF considers an external hazards screening out criteria </w:t>
      </w:r>
      <w:r w:rsidRPr="00DA6247">
        <w:rPr>
          <w:lang w:val="en-GB"/>
        </w:rPr>
        <w:t>of 10</w:t>
      </w:r>
      <w:r w:rsidRPr="005079A3">
        <w:rPr>
          <w:vertAlign w:val="superscript"/>
          <w:lang w:val="en-GB"/>
        </w:rPr>
        <w:t>-7</w:t>
      </w:r>
      <w:r w:rsidR="00F10D27">
        <w:rPr>
          <w:vertAlign w:val="superscript"/>
          <w:lang w:val="en-GB"/>
        </w:rPr>
        <w:t xml:space="preserve"> </w:t>
      </w:r>
      <w:r w:rsidRPr="00DA6247">
        <w:rPr>
          <w:lang w:val="en-GB"/>
        </w:rPr>
        <w:t>/</w:t>
      </w:r>
      <w:r w:rsidR="00133899">
        <w:rPr>
          <w:lang w:val="en-GB"/>
        </w:rPr>
        <w:t>a</w:t>
      </w:r>
      <w:r w:rsidR="00133899" w:rsidRPr="00DA6247">
        <w:rPr>
          <w:lang w:val="en-GB"/>
        </w:rPr>
        <w:t xml:space="preserve"> </w:t>
      </w:r>
      <w:r w:rsidRPr="00DA6247">
        <w:rPr>
          <w:lang w:val="en-GB"/>
        </w:rPr>
        <w:t>for CDF</w:t>
      </w:r>
      <w:r>
        <w:rPr>
          <w:lang w:val="en-GB"/>
        </w:rPr>
        <w:t xml:space="preserve"> or 10</w:t>
      </w:r>
      <w:r w:rsidRPr="005079A3">
        <w:rPr>
          <w:vertAlign w:val="superscript"/>
          <w:lang w:val="en-GB"/>
        </w:rPr>
        <w:t>-8</w:t>
      </w:r>
      <w:r>
        <w:rPr>
          <w:lang w:val="en-GB"/>
        </w:rPr>
        <w:t xml:space="preserve"> </w:t>
      </w:r>
      <w:r w:rsidR="00F10D27">
        <w:rPr>
          <w:lang w:val="en-GB"/>
        </w:rPr>
        <w:t>/</w:t>
      </w:r>
      <w:r w:rsidR="00133899">
        <w:rPr>
          <w:lang w:val="en-GB"/>
        </w:rPr>
        <w:t xml:space="preserve">a </w:t>
      </w:r>
      <w:r>
        <w:rPr>
          <w:lang w:val="en-GB"/>
        </w:rPr>
        <w:t>for LRF</w:t>
      </w:r>
      <w:r w:rsidRPr="00DA6247">
        <w:rPr>
          <w:lang w:val="en-GB"/>
        </w:rPr>
        <w:t>. Hungary sets frequencies of less than 10</w:t>
      </w:r>
      <w:r w:rsidRPr="00DA6247">
        <w:rPr>
          <w:vertAlign w:val="superscript"/>
          <w:lang w:val="en-GB"/>
        </w:rPr>
        <w:noBreakHyphen/>
        <w:t>7</w:t>
      </w:r>
      <w:r w:rsidRPr="00DA6247">
        <w:rPr>
          <w:lang w:val="en-GB"/>
        </w:rPr>
        <w:t>/</w:t>
      </w:r>
      <w:r w:rsidR="00133899">
        <w:rPr>
          <w:lang w:val="en-GB"/>
        </w:rPr>
        <w:t>a</w:t>
      </w:r>
      <w:r w:rsidR="00133899" w:rsidRPr="00DA6247">
        <w:rPr>
          <w:lang w:val="en-GB"/>
        </w:rPr>
        <w:t xml:space="preserve"> </w:t>
      </w:r>
      <w:r w:rsidRPr="00DA6247">
        <w:rPr>
          <w:lang w:val="en-GB"/>
        </w:rPr>
        <w:t>(both for operating and new units) for man-made hazards and less than 10</w:t>
      </w:r>
      <w:r w:rsidRPr="00DA6247">
        <w:rPr>
          <w:vertAlign w:val="superscript"/>
          <w:lang w:val="en-GB"/>
        </w:rPr>
        <w:t>-4</w:t>
      </w:r>
      <w:r w:rsidRPr="00DA6247">
        <w:rPr>
          <w:lang w:val="en-GB"/>
        </w:rPr>
        <w:t>/a for operating units and 10</w:t>
      </w:r>
      <w:r w:rsidRPr="00DA6247">
        <w:rPr>
          <w:vertAlign w:val="superscript"/>
          <w:lang w:val="en-GB"/>
        </w:rPr>
        <w:t>-5</w:t>
      </w:r>
      <w:r w:rsidRPr="00DA6247">
        <w:rPr>
          <w:lang w:val="en-GB"/>
        </w:rPr>
        <w:t>/a for newbuilds considering natural external events.</w:t>
      </w:r>
      <w:r>
        <w:rPr>
          <w:lang w:val="en-GB"/>
        </w:rPr>
        <w:t xml:space="preserve"> </w:t>
      </w:r>
      <w:r w:rsidRPr="00464FCA">
        <w:rPr>
          <w:lang w:val="en-GB"/>
        </w:rPr>
        <w:t xml:space="preserve">Bulgaria </w:t>
      </w:r>
      <w:r>
        <w:rPr>
          <w:lang w:val="en-GB"/>
        </w:rPr>
        <w:t xml:space="preserve">sets a limiting frequency for </w:t>
      </w:r>
      <w:r w:rsidRPr="005908D5">
        <w:rPr>
          <w:rFonts w:cs="ArialMT"/>
          <w:szCs w:val="18"/>
          <w:lang w:val="en-GB" w:eastAsia="bg-BG"/>
        </w:rPr>
        <w:t xml:space="preserve">a quantitative contribution to the </w:t>
      </w:r>
      <w:r w:rsidRPr="005908D5">
        <w:rPr>
          <w:rFonts w:cs="Arial-ItalicMT"/>
          <w:i/>
          <w:iCs/>
          <w:szCs w:val="18"/>
          <w:lang w:val="en-GB" w:eastAsia="bg-BG"/>
        </w:rPr>
        <w:t xml:space="preserve">CDF/FDF </w:t>
      </w:r>
      <w:r>
        <w:rPr>
          <w:rFonts w:cs="ArialMT"/>
          <w:szCs w:val="18"/>
          <w:lang w:val="en-GB" w:eastAsia="bg-BG"/>
        </w:rPr>
        <w:t xml:space="preserve">of </w:t>
      </w:r>
      <w:r w:rsidRPr="003F670D">
        <w:rPr>
          <w:rFonts w:cs="ArialMT"/>
          <w:szCs w:val="18"/>
          <w:lang w:val="en-GB" w:eastAsia="bg-BG"/>
        </w:rPr>
        <w:t>less than 10</w:t>
      </w:r>
      <w:r w:rsidRPr="003F670D">
        <w:rPr>
          <w:rFonts w:cs="ArialMT"/>
          <w:szCs w:val="18"/>
          <w:vertAlign w:val="superscript"/>
          <w:lang w:val="en-GB" w:eastAsia="bg-BG"/>
        </w:rPr>
        <w:t>-9</w:t>
      </w:r>
      <w:r w:rsidR="00133899">
        <w:rPr>
          <w:rFonts w:cs="ArialMT"/>
          <w:szCs w:val="18"/>
          <w:lang w:val="en-GB" w:eastAsia="bg-BG"/>
        </w:rPr>
        <w:t>/a</w:t>
      </w:r>
      <w:r w:rsidRPr="005908D5">
        <w:rPr>
          <w:rFonts w:cs="ArialMT"/>
          <w:szCs w:val="18"/>
          <w:lang w:val="en-GB" w:eastAsia="bg-BG"/>
        </w:rPr>
        <w:t>.</w:t>
      </w:r>
      <w:r>
        <w:rPr>
          <w:rFonts w:cs="ArialMT"/>
          <w:szCs w:val="18"/>
          <w:lang w:val="en-GB" w:eastAsia="bg-BG"/>
        </w:rPr>
        <w:t xml:space="preserve"> Germany </w:t>
      </w:r>
      <w:r>
        <w:rPr>
          <w:lang w:val="en-GB"/>
        </w:rPr>
        <w:t>screens out</w:t>
      </w:r>
      <w:r w:rsidRPr="005908D5">
        <w:rPr>
          <w:lang w:val="en-GB"/>
        </w:rPr>
        <w:t xml:space="preserve"> scenarios with an estimated CDF below 10</w:t>
      </w:r>
      <w:r w:rsidRPr="005908D5">
        <w:rPr>
          <w:vertAlign w:val="superscript"/>
          <w:lang w:val="en-GB"/>
        </w:rPr>
        <w:t>-6</w:t>
      </w:r>
      <w:r w:rsidR="00133899" w:rsidRPr="00DA6247">
        <w:rPr>
          <w:lang w:val="en-GB"/>
        </w:rPr>
        <w:t>/a</w:t>
      </w:r>
      <w:r w:rsidRPr="005908D5">
        <w:rPr>
          <w:lang w:val="en-GB"/>
        </w:rPr>
        <w:t>.</w:t>
      </w:r>
      <w:r>
        <w:rPr>
          <w:lang w:val="en-GB"/>
        </w:rPr>
        <w:t xml:space="preserve"> Rus</w:t>
      </w:r>
      <w:r w:rsidRPr="00464FCA">
        <w:rPr>
          <w:lang w:val="en-GB"/>
        </w:rPr>
        <w:t xml:space="preserve">sia </w:t>
      </w:r>
      <w:r>
        <w:rPr>
          <w:bCs/>
          <w:lang w:val="en-GB"/>
        </w:rPr>
        <w:t>neglects events with</w:t>
      </w:r>
      <w:r w:rsidRPr="005908D5">
        <w:rPr>
          <w:bCs/>
          <w:lang w:val="en-GB"/>
        </w:rPr>
        <w:t xml:space="preserve"> a very low </w:t>
      </w:r>
      <w:r w:rsidR="005309D6">
        <w:rPr>
          <w:bCs/>
          <w:lang w:val="en-GB"/>
        </w:rPr>
        <w:br/>
      </w:r>
      <w:r w:rsidRPr="005908D5">
        <w:rPr>
          <w:bCs/>
          <w:lang w:val="en-GB"/>
        </w:rPr>
        <w:t>(&lt;</w:t>
      </w:r>
      <w:r w:rsidR="00F10D27" w:rsidRPr="005908D5">
        <w:rPr>
          <w:bCs/>
          <w:lang w:val="en-GB"/>
        </w:rPr>
        <w:t>1</w:t>
      </w:r>
      <w:r w:rsidR="00F10D27">
        <w:rPr>
          <w:bCs/>
          <w:lang w:val="en-GB"/>
        </w:rPr>
        <w:t>0</w:t>
      </w:r>
      <w:r w:rsidRPr="005079A3">
        <w:rPr>
          <w:bCs/>
          <w:vertAlign w:val="superscript"/>
          <w:lang w:val="en-GB"/>
        </w:rPr>
        <w:t>-6</w:t>
      </w:r>
      <w:r w:rsidRPr="005908D5">
        <w:rPr>
          <w:bCs/>
          <w:lang w:val="en-GB"/>
        </w:rPr>
        <w:t>/</w:t>
      </w:r>
      <w:r w:rsidR="00133899">
        <w:rPr>
          <w:bCs/>
          <w:lang w:val="en-GB"/>
        </w:rPr>
        <w:t>a</w:t>
      </w:r>
      <w:r w:rsidRPr="005908D5">
        <w:rPr>
          <w:bCs/>
          <w:lang w:val="en-GB"/>
        </w:rPr>
        <w:t>) mean frequency of occurrence</w:t>
      </w:r>
      <w:r>
        <w:rPr>
          <w:bCs/>
          <w:lang w:val="en-GB"/>
        </w:rPr>
        <w:t xml:space="preserve"> or events with equal or lesser damage potential than the events, for which the plant has been designed for. </w:t>
      </w:r>
      <w:r w:rsidR="00456065">
        <w:rPr>
          <w:bCs/>
          <w:lang w:val="en-GB"/>
        </w:rPr>
        <w:t xml:space="preserve">In the US, </w:t>
      </w:r>
      <w:r w:rsidR="00456065" w:rsidRPr="002F618E">
        <w:rPr>
          <w:lang w:val="en-US"/>
        </w:rPr>
        <w:t xml:space="preserve">CDF </w:t>
      </w:r>
      <w:r w:rsidR="00456065">
        <w:rPr>
          <w:lang w:val="en-US"/>
        </w:rPr>
        <w:t>has to be</w:t>
      </w:r>
      <w:r w:rsidR="00456065" w:rsidRPr="002F618E">
        <w:rPr>
          <w:lang w:val="en-US"/>
        </w:rPr>
        <w:t xml:space="preserve"> less than 10</w:t>
      </w:r>
      <w:r w:rsidR="00456065" w:rsidRPr="009803F6">
        <w:rPr>
          <w:vertAlign w:val="superscript"/>
          <w:lang w:val="en-US"/>
        </w:rPr>
        <w:t>-6</w:t>
      </w:r>
      <w:r w:rsidR="00133899">
        <w:rPr>
          <w:lang w:val="en-US"/>
        </w:rPr>
        <w:t>/a</w:t>
      </w:r>
      <w:r w:rsidR="00456065" w:rsidRPr="002F618E">
        <w:rPr>
          <w:lang w:val="en-US"/>
        </w:rPr>
        <w:t>. It is recognized that for those new reactor designs with substantially lower risk profiles (e.g., internal events CDF below 10</w:t>
      </w:r>
      <w:r w:rsidR="00456065" w:rsidRPr="009803F6">
        <w:rPr>
          <w:vertAlign w:val="superscript"/>
          <w:lang w:val="en-US"/>
        </w:rPr>
        <w:t>-6</w:t>
      </w:r>
      <w:r w:rsidR="00456065" w:rsidRPr="002F618E">
        <w:rPr>
          <w:lang w:val="en-US"/>
        </w:rPr>
        <w:t>/</w:t>
      </w:r>
      <w:r w:rsidR="00133899">
        <w:rPr>
          <w:lang w:val="en-US"/>
        </w:rPr>
        <w:t>a</w:t>
      </w:r>
      <w:r w:rsidR="00456065" w:rsidRPr="002F618E">
        <w:rPr>
          <w:lang w:val="en-US"/>
        </w:rPr>
        <w:t xml:space="preserve">), the quantitative screening value should be adjusted according to the relative baseline risk value. </w:t>
      </w:r>
    </w:p>
    <w:p w:rsidR="005475BC" w:rsidRPr="00DA6247" w:rsidRDefault="005475BC" w:rsidP="005475BC">
      <w:pPr>
        <w:rPr>
          <w:lang w:val="en-GB"/>
        </w:rPr>
      </w:pPr>
    </w:p>
    <w:p w:rsidR="005475BC" w:rsidRPr="00DA6247" w:rsidRDefault="005475BC" w:rsidP="005079A3">
      <w:pPr>
        <w:pStyle w:val="Titre3"/>
        <w:rPr>
          <w:lang w:val="en-GB"/>
        </w:rPr>
      </w:pPr>
      <w:bookmarkStart w:id="452" w:name="_Toc446686398"/>
      <w:bookmarkStart w:id="453" w:name="_Toc473303576"/>
      <w:bookmarkEnd w:id="452"/>
      <w:r w:rsidRPr="00DA6247">
        <w:rPr>
          <w:lang w:val="en-GB"/>
        </w:rPr>
        <w:t>Considerations on multi-units site</w:t>
      </w:r>
      <w:bookmarkEnd w:id="453"/>
    </w:p>
    <w:p w:rsidR="005475BC" w:rsidRPr="0064748F" w:rsidRDefault="005475BC" w:rsidP="005475BC">
      <w:pPr>
        <w:autoSpaceDE w:val="0"/>
        <w:autoSpaceDN w:val="0"/>
        <w:adjustRightInd w:val="0"/>
        <w:rPr>
          <w:szCs w:val="18"/>
          <w:lang w:val="en-GB"/>
        </w:rPr>
      </w:pPr>
      <w:r w:rsidRPr="00DA6247">
        <w:rPr>
          <w:lang w:val="en-GB"/>
        </w:rPr>
        <w:t xml:space="preserve">Considerations on multi-unit sites are not performed by most countries. However Canada </w:t>
      </w:r>
      <w:r w:rsidRPr="0064748F">
        <w:rPr>
          <w:lang w:val="en-GB"/>
        </w:rPr>
        <w:t>indicates</w:t>
      </w:r>
      <w:r w:rsidRPr="00DA6247">
        <w:rPr>
          <w:lang w:val="en-GB"/>
        </w:rPr>
        <w:t xml:space="preserve"> that </w:t>
      </w:r>
      <w:r w:rsidRPr="00DA6247">
        <w:rPr>
          <w:szCs w:val="18"/>
          <w:lang w:val="en-GB"/>
        </w:rPr>
        <w:t>the potential for specific hazards simultaneously impacting several units on the site should be considered. It considers to review the lessons learned and to re-examine the safety cases of NPPs for ensuring that sufficient defence-in-depth margins are available, with a focus also on external hazards such as seismic, flooding, fire and extreme weather events.</w:t>
      </w:r>
    </w:p>
    <w:p w:rsidR="005475BC" w:rsidRPr="00DA6247" w:rsidRDefault="005475BC" w:rsidP="005475BC">
      <w:pPr>
        <w:rPr>
          <w:lang w:val="en-GB"/>
        </w:rPr>
      </w:pPr>
      <w:r w:rsidRPr="00DA6247">
        <w:rPr>
          <w:szCs w:val="18"/>
          <w:lang w:val="en-GB"/>
        </w:rPr>
        <w:t>Germany asks for a pro</w:t>
      </w:r>
      <w:r>
        <w:rPr>
          <w:szCs w:val="18"/>
          <w:lang w:val="en-GB"/>
        </w:rPr>
        <w:t>of</w:t>
      </w:r>
      <w:r w:rsidRPr="00DA6247">
        <w:rPr>
          <w:szCs w:val="18"/>
          <w:lang w:val="en-GB"/>
        </w:rPr>
        <w:t xml:space="preserve"> that </w:t>
      </w:r>
      <w:r w:rsidRPr="00DA6247">
        <w:rPr>
          <w:lang w:val="en-GB"/>
        </w:rPr>
        <w:t xml:space="preserve">internal hazard events in one unit do not impact on the safety of an adjacent </w:t>
      </w:r>
      <w:r w:rsidR="00181748" w:rsidRPr="00DA6247">
        <w:rPr>
          <w:lang w:val="en-GB"/>
        </w:rPr>
        <w:t>unit;</w:t>
      </w:r>
      <w:r w:rsidRPr="00DA6247">
        <w:rPr>
          <w:lang w:val="en-GB"/>
        </w:rPr>
        <w:t xml:space="preserve"> however no specific requirements for identifying </w:t>
      </w:r>
      <w:r>
        <w:rPr>
          <w:lang w:val="en-GB"/>
        </w:rPr>
        <w:t xml:space="preserve">related </w:t>
      </w:r>
      <w:r w:rsidRPr="00DA6247">
        <w:rPr>
          <w:lang w:val="en-GB"/>
        </w:rPr>
        <w:t>initiating events are stated.</w:t>
      </w:r>
    </w:p>
    <w:p w:rsidR="005475BC" w:rsidRPr="00DA6247" w:rsidRDefault="005475BC" w:rsidP="005475BC">
      <w:pPr>
        <w:rPr>
          <w:lang w:val="en-GB"/>
        </w:rPr>
      </w:pPr>
    </w:p>
    <w:p w:rsidR="005475BC" w:rsidRPr="00DA6247" w:rsidRDefault="005475BC" w:rsidP="005079A3">
      <w:pPr>
        <w:pStyle w:val="Titre3"/>
        <w:rPr>
          <w:lang w:val="en-GB"/>
        </w:rPr>
      </w:pPr>
      <w:bookmarkStart w:id="454" w:name="_Toc473303577"/>
      <w:r w:rsidRPr="00DA6247">
        <w:rPr>
          <w:lang w:val="en-GB"/>
        </w:rPr>
        <w:t>Considerations on correlated h</w:t>
      </w:r>
      <w:r>
        <w:rPr>
          <w:lang w:val="en-GB"/>
        </w:rPr>
        <w:t>azards and events</w:t>
      </w:r>
      <w:bookmarkEnd w:id="454"/>
    </w:p>
    <w:p w:rsidR="005475BC" w:rsidRPr="00DA6247" w:rsidRDefault="005475BC" w:rsidP="005475BC">
      <w:pPr>
        <w:rPr>
          <w:lang w:val="en-GB"/>
        </w:rPr>
      </w:pPr>
      <w:r w:rsidRPr="00DA6247">
        <w:rPr>
          <w:lang w:val="en-GB"/>
        </w:rPr>
        <w:t>Correlated hazards and events are handled by some countries with a matrix approach (e.g. FR, CZ), considering all possible combinations and then selecting the relevant by defined criteria (e.g. frequency, degree of impact, possibility). Other countries define major criteria like significance (CA, SE) or frequency (DE, RO).</w:t>
      </w:r>
    </w:p>
    <w:p w:rsidR="005475BC" w:rsidRPr="00DA6247" w:rsidRDefault="005475BC" w:rsidP="005475BC">
      <w:pPr>
        <w:rPr>
          <w:lang w:val="en-GB"/>
        </w:rPr>
      </w:pPr>
    </w:p>
    <w:p w:rsidR="005475BC" w:rsidRPr="009803F6" w:rsidRDefault="005475BC" w:rsidP="005079A3">
      <w:pPr>
        <w:pStyle w:val="Titre3"/>
        <w:rPr>
          <w:lang w:val="en-GB"/>
        </w:rPr>
      </w:pPr>
      <w:bookmarkStart w:id="455" w:name="_Toc473303578"/>
      <w:r>
        <w:rPr>
          <w:lang w:val="en-GB"/>
        </w:rPr>
        <w:t>Conclusions</w:t>
      </w:r>
      <w:bookmarkEnd w:id="455"/>
    </w:p>
    <w:p w:rsidR="005475BC" w:rsidRPr="0055087A" w:rsidRDefault="005475BC" w:rsidP="005475BC">
      <w:pPr>
        <w:rPr>
          <w:lang w:val="en-GB"/>
        </w:rPr>
      </w:pPr>
    </w:p>
    <w:p w:rsidR="005475BC" w:rsidRPr="0055087A" w:rsidRDefault="005475BC" w:rsidP="005475BC">
      <w:pPr>
        <w:rPr>
          <w:lang w:val="en-GB"/>
        </w:rPr>
      </w:pPr>
      <w:r w:rsidRPr="0055087A">
        <w:rPr>
          <w:lang w:val="en-GB"/>
        </w:rPr>
        <w:t xml:space="preserve">The approaches of the countries differ in detail but generally use systematic ways like matrices or schemes to consider the impact and the severity of internal, external and combinations of hazards. This is mainly done in reference to documents from e.g. IAEA or </w:t>
      </w:r>
      <w:r w:rsidRPr="00DA6247">
        <w:rPr>
          <w:lang w:val="en-GB"/>
        </w:rPr>
        <w:t>other</w:t>
      </w:r>
      <w:r w:rsidRPr="0055087A">
        <w:rPr>
          <w:lang w:val="en-GB"/>
        </w:rPr>
        <w:t xml:space="preserve"> authorities. One major </w:t>
      </w:r>
      <w:r w:rsidRPr="00DA6247">
        <w:rPr>
          <w:lang w:val="en-GB"/>
        </w:rPr>
        <w:t>criterion</w:t>
      </w:r>
      <w:r w:rsidRPr="0055087A">
        <w:rPr>
          <w:lang w:val="en-GB"/>
        </w:rPr>
        <w:t xml:space="preserve"> is the frequency of occurrence, </w:t>
      </w:r>
      <w:r w:rsidRPr="00DA6247">
        <w:rPr>
          <w:lang w:val="en-GB"/>
        </w:rPr>
        <w:t xml:space="preserve">whose limit </w:t>
      </w:r>
      <w:r w:rsidRPr="0055087A">
        <w:rPr>
          <w:lang w:val="en-GB"/>
        </w:rPr>
        <w:t>is set differently in the countries</w:t>
      </w:r>
      <w:r>
        <w:rPr>
          <w:lang w:val="en-GB"/>
        </w:rPr>
        <w:t xml:space="preserve"> with respect to the referred documents used for the screening process</w:t>
      </w:r>
      <w:r w:rsidRPr="0055087A">
        <w:rPr>
          <w:lang w:val="en-GB"/>
        </w:rPr>
        <w:t>.</w:t>
      </w:r>
    </w:p>
    <w:p w:rsidR="00005486" w:rsidRPr="00005486" w:rsidRDefault="00005486" w:rsidP="00BF5520">
      <w:pPr>
        <w:rPr>
          <w:lang w:val="en-GB"/>
        </w:rPr>
      </w:pPr>
    </w:p>
    <w:p w:rsidR="00005486" w:rsidRDefault="00005486" w:rsidP="00005486">
      <w:pPr>
        <w:pStyle w:val="Titre1"/>
        <w:rPr>
          <w:lang w:val="en-GB"/>
        </w:rPr>
      </w:pPr>
      <w:bookmarkStart w:id="456" w:name="_Ref423512096"/>
      <w:bookmarkStart w:id="457" w:name="_Ref424212035"/>
      <w:bookmarkStart w:id="458" w:name="_Ref424224705"/>
      <w:bookmarkStart w:id="459" w:name="_Ref424225682"/>
      <w:bookmarkStart w:id="460" w:name="_Toc473303579"/>
      <w:r>
        <w:rPr>
          <w:lang w:val="en-GB"/>
        </w:rPr>
        <w:t xml:space="preserve">GOOD PRACTICES </w:t>
      </w:r>
      <w:r w:rsidR="00731003">
        <w:rPr>
          <w:lang w:val="en-GB"/>
        </w:rPr>
        <w:t>FOR EXTENDED PSAS</w:t>
      </w:r>
      <w:bookmarkEnd w:id="460"/>
      <w:r w:rsidR="00896B57">
        <w:rPr>
          <w:lang w:val="en-GB"/>
        </w:rPr>
        <w:t xml:space="preserve"> </w:t>
      </w:r>
    </w:p>
    <w:p w:rsidR="0009502E" w:rsidRDefault="00E702DA" w:rsidP="0009502E">
      <w:pPr>
        <w:pStyle w:val="Titre2"/>
        <w:rPr>
          <w:lang w:val="en-GB"/>
        </w:rPr>
      </w:pPr>
      <w:bookmarkStart w:id="461" w:name="_Toc473303580"/>
      <w:r>
        <w:rPr>
          <w:caps w:val="0"/>
          <w:lang w:val="en-GB"/>
        </w:rPr>
        <w:t>GENERAL CONSIDERATIONS FOR IN</w:t>
      </w:r>
      <w:r w:rsidR="00643A9B">
        <w:rPr>
          <w:caps w:val="0"/>
          <w:lang w:val="en-GB"/>
        </w:rPr>
        <w:t>I</w:t>
      </w:r>
      <w:r>
        <w:rPr>
          <w:caps w:val="0"/>
          <w:lang w:val="en-GB"/>
        </w:rPr>
        <w:t>TIATING EVENTS SELECTION</w:t>
      </w:r>
      <w:bookmarkEnd w:id="461"/>
    </w:p>
    <w:p w:rsidR="00647C94" w:rsidRPr="0010550F" w:rsidRDefault="00647C94" w:rsidP="00647C94">
      <w:pPr>
        <w:rPr>
          <w:lang w:val="en-GB"/>
        </w:rPr>
      </w:pPr>
      <w:r w:rsidRPr="0010550F">
        <w:rPr>
          <w:lang w:val="en-GB"/>
        </w:rPr>
        <w:t xml:space="preserve">Initiating event identification and </w:t>
      </w:r>
      <w:r w:rsidR="00E702DA">
        <w:rPr>
          <w:lang w:val="en-GB"/>
        </w:rPr>
        <w:t>selection (screening “in” or “out”)</w:t>
      </w:r>
      <w:r w:rsidR="00E702DA" w:rsidRPr="0010550F">
        <w:rPr>
          <w:lang w:val="en-GB"/>
        </w:rPr>
        <w:t xml:space="preserve"> </w:t>
      </w:r>
      <w:r w:rsidRPr="0010550F">
        <w:rPr>
          <w:lang w:val="en-GB"/>
        </w:rPr>
        <w:t>for an extended PSA ha</w:t>
      </w:r>
      <w:r w:rsidR="00F81967">
        <w:rPr>
          <w:lang w:val="en-GB"/>
        </w:rPr>
        <w:t>ve</w:t>
      </w:r>
      <w:r w:rsidRPr="0010550F">
        <w:rPr>
          <w:lang w:val="en-GB"/>
        </w:rPr>
        <w:t xml:space="preserve"> to consider the </w:t>
      </w:r>
      <w:r w:rsidR="0010550F">
        <w:rPr>
          <w:lang w:val="en-GB"/>
        </w:rPr>
        <w:t>objectives</w:t>
      </w:r>
      <w:r w:rsidRPr="00342076">
        <w:rPr>
          <w:lang w:val="en-GB"/>
        </w:rPr>
        <w:t xml:space="preserve"> for which the PSA is produced. </w:t>
      </w:r>
      <w:r w:rsidR="0010550F">
        <w:rPr>
          <w:lang w:val="en-GB"/>
        </w:rPr>
        <w:t xml:space="preserve">These objectives </w:t>
      </w:r>
      <w:r w:rsidR="00342076">
        <w:rPr>
          <w:lang w:val="en-GB"/>
        </w:rPr>
        <w:t>should</w:t>
      </w:r>
      <w:r w:rsidR="0010550F">
        <w:rPr>
          <w:lang w:val="en-GB"/>
        </w:rPr>
        <w:t xml:space="preserve"> help defining:</w:t>
      </w:r>
    </w:p>
    <w:p w:rsidR="00647C94" w:rsidRPr="00342076" w:rsidRDefault="0010550F" w:rsidP="00E62976">
      <w:pPr>
        <w:numPr>
          <w:ilvl w:val="0"/>
          <w:numId w:val="17"/>
        </w:numPr>
        <w:rPr>
          <w:lang w:val="en-GB"/>
        </w:rPr>
      </w:pPr>
      <w:r>
        <w:rPr>
          <w:lang w:val="en-GB"/>
        </w:rPr>
        <w:t>t</w:t>
      </w:r>
      <w:r w:rsidRPr="00342076">
        <w:rPr>
          <w:lang w:val="en-GB"/>
        </w:rPr>
        <w:t xml:space="preserve">he </w:t>
      </w:r>
      <w:r w:rsidR="00647C94" w:rsidRPr="00342076">
        <w:rPr>
          <w:lang w:val="en-GB"/>
        </w:rPr>
        <w:t xml:space="preserve">aspects of risk which are relevant </w:t>
      </w:r>
      <w:r>
        <w:rPr>
          <w:lang w:val="en-GB"/>
        </w:rPr>
        <w:t>a</w:t>
      </w:r>
      <w:r w:rsidR="00647C94" w:rsidRPr="00342076">
        <w:rPr>
          <w:lang w:val="en-GB"/>
        </w:rPr>
        <w:t>nd for which the PSA model should provide results</w:t>
      </w:r>
      <w:r>
        <w:rPr>
          <w:lang w:val="en-GB"/>
        </w:rPr>
        <w:t>,</w:t>
      </w:r>
    </w:p>
    <w:p w:rsidR="00647C94" w:rsidRPr="00342076" w:rsidRDefault="0010550F" w:rsidP="00E62976">
      <w:pPr>
        <w:numPr>
          <w:ilvl w:val="0"/>
          <w:numId w:val="17"/>
        </w:numPr>
        <w:rPr>
          <w:lang w:val="en-GB"/>
        </w:rPr>
      </w:pPr>
      <w:r>
        <w:rPr>
          <w:lang w:val="en-GB"/>
        </w:rPr>
        <w:t>t</w:t>
      </w:r>
      <w:r w:rsidRPr="00342076">
        <w:rPr>
          <w:lang w:val="en-GB"/>
        </w:rPr>
        <w:t xml:space="preserve">he </w:t>
      </w:r>
      <w:r w:rsidR="00647C94" w:rsidRPr="00342076">
        <w:rPr>
          <w:lang w:val="en-GB"/>
        </w:rPr>
        <w:t>risk measures that are relevant in interpreting PSA results</w:t>
      </w:r>
      <w:r>
        <w:rPr>
          <w:lang w:val="en-GB"/>
        </w:rPr>
        <w:t>,</w:t>
      </w:r>
    </w:p>
    <w:p w:rsidR="00647C94" w:rsidRPr="00342076" w:rsidRDefault="0010550F" w:rsidP="00E62976">
      <w:pPr>
        <w:numPr>
          <w:ilvl w:val="0"/>
          <w:numId w:val="17"/>
        </w:numPr>
        <w:rPr>
          <w:lang w:val="en-GB"/>
        </w:rPr>
      </w:pPr>
      <w:r>
        <w:rPr>
          <w:lang w:val="en-GB"/>
        </w:rPr>
        <w:t>t</w:t>
      </w:r>
      <w:r w:rsidRPr="00342076">
        <w:rPr>
          <w:lang w:val="en-GB"/>
        </w:rPr>
        <w:t xml:space="preserve">he </w:t>
      </w:r>
      <w:r w:rsidR="00647C94" w:rsidRPr="00342076">
        <w:rPr>
          <w:lang w:val="en-GB"/>
        </w:rPr>
        <w:t xml:space="preserve">values of risk criteria for relevant risk measures, </w:t>
      </w:r>
      <w:r>
        <w:rPr>
          <w:lang w:val="en-GB"/>
        </w:rPr>
        <w:t>to</w:t>
      </w:r>
      <w:r w:rsidRPr="00342076">
        <w:rPr>
          <w:lang w:val="en-GB"/>
        </w:rPr>
        <w:t xml:space="preserve"> </w:t>
      </w:r>
      <w:r w:rsidR="00647C94" w:rsidRPr="00342076">
        <w:rPr>
          <w:lang w:val="en-GB"/>
        </w:rPr>
        <w:t xml:space="preserve">which the extended PSA </w:t>
      </w:r>
      <w:r>
        <w:rPr>
          <w:lang w:val="en-GB"/>
        </w:rPr>
        <w:t xml:space="preserve">results </w:t>
      </w:r>
      <w:r w:rsidR="00647C94" w:rsidRPr="00342076">
        <w:rPr>
          <w:lang w:val="en-GB"/>
        </w:rPr>
        <w:t xml:space="preserve">should be </w:t>
      </w:r>
      <w:r>
        <w:rPr>
          <w:lang w:val="en-GB"/>
        </w:rPr>
        <w:t>compared,</w:t>
      </w:r>
    </w:p>
    <w:p w:rsidR="00647C94" w:rsidRPr="00342076" w:rsidRDefault="0010550F" w:rsidP="00E62976">
      <w:pPr>
        <w:numPr>
          <w:ilvl w:val="0"/>
          <w:numId w:val="17"/>
        </w:numPr>
        <w:rPr>
          <w:lang w:val="en-GB"/>
        </w:rPr>
      </w:pPr>
      <w:r>
        <w:rPr>
          <w:lang w:val="en-GB"/>
        </w:rPr>
        <w:t>an</w:t>
      </w:r>
      <w:r w:rsidRPr="00342076">
        <w:rPr>
          <w:lang w:val="en-GB"/>
        </w:rPr>
        <w:t xml:space="preserve"> </w:t>
      </w:r>
      <w:r w:rsidRPr="001A7976">
        <w:rPr>
          <w:lang w:val="en-GB"/>
        </w:rPr>
        <w:t xml:space="preserve">acceptable </w:t>
      </w:r>
      <w:r w:rsidR="00647C94" w:rsidRPr="00342076">
        <w:rPr>
          <w:lang w:val="en-GB"/>
        </w:rPr>
        <w:t>scope, level of detail</w:t>
      </w:r>
      <w:r w:rsidR="001335D5">
        <w:rPr>
          <w:lang w:val="en-GB"/>
        </w:rPr>
        <w:t>s</w:t>
      </w:r>
      <w:r w:rsidR="00647C94" w:rsidRPr="00342076">
        <w:rPr>
          <w:lang w:val="en-GB"/>
        </w:rPr>
        <w:t>, and level of conservatism</w:t>
      </w:r>
      <w:r w:rsidR="00633DC1">
        <w:rPr>
          <w:lang w:val="en-GB"/>
        </w:rPr>
        <w:t xml:space="preserve"> for the PSA</w:t>
      </w:r>
      <w:r w:rsidR="00647C94" w:rsidRPr="00342076">
        <w:rPr>
          <w:lang w:val="en-GB"/>
        </w:rPr>
        <w:t>.</w:t>
      </w:r>
    </w:p>
    <w:p w:rsidR="00F81967" w:rsidRDefault="00F81967" w:rsidP="00647C94">
      <w:pPr>
        <w:rPr>
          <w:lang w:val="en-GB"/>
        </w:rPr>
      </w:pPr>
      <w:r>
        <w:rPr>
          <w:lang w:val="en-GB"/>
        </w:rPr>
        <w:t>These objectives may differ for a NPP during design or operation phases.</w:t>
      </w:r>
    </w:p>
    <w:p w:rsidR="0010550F" w:rsidRDefault="0010550F" w:rsidP="00647C94">
      <w:pPr>
        <w:rPr>
          <w:lang w:val="en-GB"/>
        </w:rPr>
      </w:pPr>
    </w:p>
    <w:p w:rsidR="00647C94" w:rsidRPr="00C70893" w:rsidRDefault="00647C94" w:rsidP="00647C94">
      <w:pPr>
        <w:rPr>
          <w:lang w:val="en-GB"/>
        </w:rPr>
      </w:pPr>
      <w:r>
        <w:rPr>
          <w:lang w:val="en-GB"/>
        </w:rPr>
        <w:t>The screening approach for an extended PSA is based on the following</w:t>
      </w:r>
      <w:r w:rsidR="00FD4714">
        <w:rPr>
          <w:lang w:val="en-GB"/>
        </w:rPr>
        <w:t xml:space="preserve"> assumption</w:t>
      </w:r>
      <w:r w:rsidR="00F81967">
        <w:rPr>
          <w:lang w:val="en-GB"/>
        </w:rPr>
        <w:t>s</w:t>
      </w:r>
      <w:r w:rsidR="00FD4714">
        <w:rPr>
          <w:lang w:val="en-GB"/>
        </w:rPr>
        <w:t xml:space="preserve"> on PSA scope</w:t>
      </w:r>
      <w:r w:rsidR="00633DC1">
        <w:rPr>
          <w:lang w:val="en-GB"/>
        </w:rPr>
        <w:t>:</w:t>
      </w:r>
    </w:p>
    <w:p w:rsidR="00647C94" w:rsidRPr="00E20701" w:rsidRDefault="00F20DD0" w:rsidP="00E62976">
      <w:pPr>
        <w:numPr>
          <w:ilvl w:val="0"/>
          <w:numId w:val="67"/>
        </w:numPr>
        <w:rPr>
          <w:lang w:val="en-GB"/>
        </w:rPr>
      </w:pPr>
      <w:r>
        <w:rPr>
          <w:lang w:val="en-GB"/>
        </w:rPr>
        <w:t>t</w:t>
      </w:r>
      <w:r w:rsidR="00647C94">
        <w:rPr>
          <w:lang w:val="en-GB"/>
        </w:rPr>
        <w:t xml:space="preserve">he risk is </w:t>
      </w:r>
      <w:r w:rsidR="00633DC1">
        <w:rPr>
          <w:lang w:val="en-GB"/>
        </w:rPr>
        <w:t xml:space="preserve">(or will be) </w:t>
      </w:r>
      <w:r w:rsidR="00647C94">
        <w:rPr>
          <w:lang w:val="en-GB"/>
        </w:rPr>
        <w:t xml:space="preserve">described by </w:t>
      </w:r>
      <w:r w:rsidR="00642FC3">
        <w:rPr>
          <w:lang w:val="en-GB"/>
        </w:rPr>
        <w:t xml:space="preserve">L1 and L2 </w:t>
      </w:r>
      <w:r w:rsidR="00647C94" w:rsidRPr="00E20701">
        <w:rPr>
          <w:lang w:val="en-GB"/>
        </w:rPr>
        <w:t>PSA</w:t>
      </w:r>
      <w:r w:rsidR="00633DC1">
        <w:rPr>
          <w:lang w:val="en-GB"/>
        </w:rPr>
        <w:t>,</w:t>
      </w:r>
    </w:p>
    <w:p w:rsidR="00647C94" w:rsidRPr="00E20701" w:rsidRDefault="00FD4714" w:rsidP="00E62976">
      <w:pPr>
        <w:numPr>
          <w:ilvl w:val="0"/>
          <w:numId w:val="67"/>
        </w:numPr>
        <w:rPr>
          <w:lang w:val="en-GB"/>
        </w:rPr>
      </w:pPr>
      <w:r>
        <w:rPr>
          <w:lang w:val="en-GB"/>
        </w:rPr>
        <w:t>t</w:t>
      </w:r>
      <w:r w:rsidR="00F20DD0">
        <w:rPr>
          <w:lang w:val="en-GB"/>
        </w:rPr>
        <w:t>he r</w:t>
      </w:r>
      <w:r w:rsidR="000F7A8C">
        <w:rPr>
          <w:lang w:val="en-GB"/>
        </w:rPr>
        <w:t>isk measures for reporting PSA results for the unit and the site (if applicable)</w:t>
      </w:r>
      <w:r w:rsidR="00647C94" w:rsidRPr="00E20701">
        <w:rPr>
          <w:lang w:val="en-GB"/>
        </w:rPr>
        <w:t xml:space="preserve"> </w:t>
      </w:r>
      <w:r w:rsidR="00C05007">
        <w:rPr>
          <w:lang w:val="en-GB"/>
        </w:rPr>
        <w:t>may differ depending on the PSA application but it should include</w:t>
      </w:r>
      <w:r>
        <w:rPr>
          <w:lang w:val="en-GB"/>
        </w:rPr>
        <w:t>:</w:t>
      </w:r>
    </w:p>
    <w:p w:rsidR="00647C94" w:rsidRPr="00E20701" w:rsidRDefault="00F20DD0" w:rsidP="00E62976">
      <w:pPr>
        <w:numPr>
          <w:ilvl w:val="1"/>
          <w:numId w:val="67"/>
        </w:numPr>
        <w:rPr>
          <w:lang w:val="en-GB"/>
        </w:rPr>
      </w:pPr>
      <w:r>
        <w:rPr>
          <w:lang w:val="en-GB"/>
        </w:rPr>
        <w:t>c</w:t>
      </w:r>
      <w:r w:rsidR="000F7A8C">
        <w:rPr>
          <w:lang w:val="en-GB"/>
        </w:rPr>
        <w:t>ore damage/</w:t>
      </w:r>
      <w:r w:rsidR="00647C94" w:rsidRPr="00E20701">
        <w:rPr>
          <w:lang w:val="en-GB"/>
        </w:rPr>
        <w:t>fuel damage frequency</w:t>
      </w:r>
      <w:r>
        <w:rPr>
          <w:lang w:val="en-GB"/>
        </w:rPr>
        <w:t xml:space="preserve"> </w:t>
      </w:r>
      <w:r w:rsidR="00647C94" w:rsidRPr="00E20701">
        <w:rPr>
          <w:lang w:val="en-GB"/>
        </w:rPr>
        <w:t xml:space="preserve">as the main </w:t>
      </w:r>
      <w:r w:rsidR="00642FC3">
        <w:rPr>
          <w:lang w:val="en-GB"/>
        </w:rPr>
        <w:t xml:space="preserve">L1 </w:t>
      </w:r>
      <w:r w:rsidR="00647C94" w:rsidRPr="00E20701">
        <w:rPr>
          <w:lang w:val="en-GB"/>
        </w:rPr>
        <w:t>PSA result</w:t>
      </w:r>
      <w:r w:rsidR="00642FC3">
        <w:rPr>
          <w:lang w:val="en-GB"/>
        </w:rPr>
        <w:t>s</w:t>
      </w:r>
      <w:r>
        <w:rPr>
          <w:lang w:val="en-GB"/>
        </w:rPr>
        <w:t>,</w:t>
      </w:r>
    </w:p>
    <w:p w:rsidR="00C05007" w:rsidRDefault="00642FC3" w:rsidP="00E62976">
      <w:pPr>
        <w:numPr>
          <w:ilvl w:val="1"/>
          <w:numId w:val="67"/>
        </w:numPr>
        <w:rPr>
          <w:lang w:val="en-GB"/>
        </w:rPr>
      </w:pPr>
      <w:r>
        <w:rPr>
          <w:lang w:val="en-GB"/>
        </w:rPr>
        <w:t xml:space="preserve">As a minimum for L2 PSA results, </w:t>
      </w:r>
      <w:r w:rsidR="00F20DD0">
        <w:rPr>
          <w:lang w:val="en-GB"/>
        </w:rPr>
        <w:t>t</w:t>
      </w:r>
      <w:r w:rsidR="000F7A8C">
        <w:rPr>
          <w:lang w:val="en-GB"/>
        </w:rPr>
        <w:t>he</w:t>
      </w:r>
      <w:r w:rsidR="00647C94" w:rsidRPr="00E20701">
        <w:rPr>
          <w:lang w:val="en-GB"/>
        </w:rPr>
        <w:t xml:space="preserve"> large release frequency an</w:t>
      </w:r>
      <w:r w:rsidR="000F7A8C">
        <w:rPr>
          <w:lang w:val="en-GB"/>
        </w:rPr>
        <w:t xml:space="preserve">d </w:t>
      </w:r>
      <w:r w:rsidR="00F20DD0">
        <w:rPr>
          <w:lang w:val="en-GB"/>
        </w:rPr>
        <w:t>the</w:t>
      </w:r>
      <w:r w:rsidR="00647C94" w:rsidRPr="00E20701">
        <w:rPr>
          <w:lang w:val="en-GB"/>
        </w:rPr>
        <w:t xml:space="preserve"> early release frequency measure</w:t>
      </w:r>
      <w:r w:rsidR="00F20DD0">
        <w:rPr>
          <w:lang w:val="en-GB"/>
        </w:rPr>
        <w:t>s</w:t>
      </w:r>
      <w:r w:rsidR="00C05007">
        <w:rPr>
          <w:lang w:val="en-GB"/>
        </w:rPr>
        <w:t>,</w:t>
      </w:r>
    </w:p>
    <w:p w:rsidR="00C05007" w:rsidRPr="00B858FE" w:rsidRDefault="00642FC3" w:rsidP="00E62976">
      <w:pPr>
        <w:numPr>
          <w:ilvl w:val="1"/>
          <w:numId w:val="67"/>
        </w:numPr>
        <w:rPr>
          <w:lang w:val="en-GB"/>
        </w:rPr>
      </w:pPr>
      <w:r>
        <w:rPr>
          <w:lang w:val="en-GB"/>
        </w:rPr>
        <w:t>Preferably for the L2 PSA results</w:t>
      </w:r>
      <w:r w:rsidR="00FD4714" w:rsidRPr="00B858FE">
        <w:rPr>
          <w:lang w:val="en-GB"/>
        </w:rPr>
        <w:t xml:space="preserve">, </w:t>
      </w:r>
      <w:r w:rsidR="00F20DD0" w:rsidRPr="00B858FE">
        <w:rPr>
          <w:lang w:val="en-GB"/>
        </w:rPr>
        <w:t xml:space="preserve">the frequencies of an appropriate number of release categories </w:t>
      </w:r>
      <w:r w:rsidR="00FD4714" w:rsidRPr="00B858FE">
        <w:rPr>
          <w:lang w:val="en-GB"/>
        </w:rPr>
        <w:t>in order to</w:t>
      </w:r>
      <w:r w:rsidR="00F20DD0" w:rsidRPr="00B858FE">
        <w:rPr>
          <w:lang w:val="en-GB"/>
        </w:rPr>
        <w:t xml:space="preserve"> </w:t>
      </w:r>
      <w:r w:rsidR="00FD4714" w:rsidRPr="00B858FE">
        <w:rPr>
          <w:lang w:val="en-GB"/>
        </w:rPr>
        <w:t>calculate</w:t>
      </w:r>
      <w:r w:rsidR="00F20DD0" w:rsidRPr="00B858FE">
        <w:rPr>
          <w:lang w:val="en-GB"/>
        </w:rPr>
        <w:t xml:space="preserve"> a </w:t>
      </w:r>
      <w:r w:rsidR="00FD4714" w:rsidRPr="00B858FE">
        <w:rPr>
          <w:lang w:val="en-GB"/>
        </w:rPr>
        <w:t xml:space="preserve">meaningful </w:t>
      </w:r>
      <w:r w:rsidR="00F20DD0" w:rsidRPr="00B858FE">
        <w:rPr>
          <w:lang w:val="en-GB"/>
        </w:rPr>
        <w:t>risk profile</w:t>
      </w:r>
      <w:r w:rsidR="00C05007" w:rsidRPr="00B858FE">
        <w:rPr>
          <w:lang w:val="en-GB"/>
        </w:rPr>
        <w:t>.</w:t>
      </w:r>
    </w:p>
    <w:p w:rsidR="00C05007" w:rsidRDefault="00C05007" w:rsidP="005079A3">
      <w:pPr>
        <w:rPr>
          <w:lang w:val="en-GB"/>
        </w:rPr>
      </w:pPr>
    </w:p>
    <w:p w:rsidR="00AE4519" w:rsidRDefault="00F81967" w:rsidP="005079A3">
      <w:pPr>
        <w:rPr>
          <w:lang w:val="en-GB"/>
        </w:rPr>
      </w:pPr>
      <w:r>
        <w:rPr>
          <w:lang w:val="en-GB"/>
        </w:rPr>
        <w:t>A</w:t>
      </w:r>
      <w:r w:rsidR="00AE4519">
        <w:rPr>
          <w:lang w:val="en-GB"/>
        </w:rPr>
        <w:t xml:space="preserve"> </w:t>
      </w:r>
      <w:r w:rsidR="001B07DB">
        <w:rPr>
          <w:lang w:val="en-GB"/>
        </w:rPr>
        <w:t>reasonable</w:t>
      </w:r>
      <w:r w:rsidR="00AE4519">
        <w:rPr>
          <w:lang w:val="en-GB"/>
        </w:rPr>
        <w:t xml:space="preserve"> approach </w:t>
      </w:r>
      <w:r w:rsidR="001B07DB">
        <w:rPr>
          <w:lang w:val="en-GB"/>
        </w:rPr>
        <w:t>is to</w:t>
      </w:r>
      <w:r w:rsidR="00AE4519">
        <w:rPr>
          <w:lang w:val="en-GB"/>
        </w:rPr>
        <w:t xml:space="preserve"> introduc</w:t>
      </w:r>
      <w:r w:rsidR="001B07DB">
        <w:rPr>
          <w:lang w:val="en-GB"/>
        </w:rPr>
        <w:t>e</w:t>
      </w:r>
      <w:r w:rsidR="00AE4519">
        <w:rPr>
          <w:lang w:val="en-GB"/>
        </w:rPr>
        <w:t xml:space="preserve"> </w:t>
      </w:r>
      <w:r w:rsidR="001B07DB">
        <w:rPr>
          <w:lang w:val="en-GB"/>
        </w:rPr>
        <w:t xml:space="preserve">progressively the </w:t>
      </w:r>
      <w:r w:rsidR="00AE4519">
        <w:rPr>
          <w:lang w:val="en-GB"/>
        </w:rPr>
        <w:t>sources of risk in</w:t>
      </w:r>
      <w:r w:rsidR="00181748">
        <w:rPr>
          <w:lang w:val="en-GB"/>
        </w:rPr>
        <w:t>to</w:t>
      </w:r>
      <w:r w:rsidR="00AE4519">
        <w:rPr>
          <w:lang w:val="en-GB"/>
        </w:rPr>
        <w:t xml:space="preserve"> the PSA model and </w:t>
      </w:r>
      <w:r w:rsidR="001B07DB">
        <w:rPr>
          <w:lang w:val="en-GB"/>
        </w:rPr>
        <w:t>to select</w:t>
      </w:r>
      <w:r>
        <w:rPr>
          <w:lang w:val="en-GB"/>
        </w:rPr>
        <w:t xml:space="preserve"> the relevant</w:t>
      </w:r>
      <w:r w:rsidR="00AE4519">
        <w:rPr>
          <w:lang w:val="en-GB"/>
        </w:rPr>
        <w:t xml:space="preserve"> internal initiating events and hazard scenarios</w:t>
      </w:r>
      <w:r>
        <w:rPr>
          <w:lang w:val="en-GB"/>
        </w:rPr>
        <w:t>:</w:t>
      </w:r>
    </w:p>
    <w:p w:rsidR="00AE4519" w:rsidRDefault="001335D5" w:rsidP="00E62976">
      <w:pPr>
        <w:numPr>
          <w:ilvl w:val="0"/>
          <w:numId w:val="68"/>
        </w:numPr>
        <w:rPr>
          <w:lang w:val="en-GB"/>
        </w:rPr>
      </w:pPr>
      <w:r>
        <w:rPr>
          <w:lang w:val="en-GB"/>
        </w:rPr>
        <w:t>s</w:t>
      </w:r>
      <w:r w:rsidR="00AE4519">
        <w:rPr>
          <w:lang w:val="en-GB"/>
        </w:rPr>
        <w:t>tart with internal initiating events screening and PSA model development</w:t>
      </w:r>
      <w:r w:rsidR="00F81967">
        <w:rPr>
          <w:lang w:val="en-GB"/>
        </w:rPr>
        <w:t>,</w:t>
      </w:r>
    </w:p>
    <w:p w:rsidR="00AE4519" w:rsidRDefault="001335D5" w:rsidP="00E62976">
      <w:pPr>
        <w:numPr>
          <w:ilvl w:val="0"/>
          <w:numId w:val="68"/>
        </w:numPr>
        <w:rPr>
          <w:lang w:val="en-GB"/>
        </w:rPr>
      </w:pPr>
      <w:r>
        <w:rPr>
          <w:lang w:val="en-GB"/>
        </w:rPr>
        <w:t>c</w:t>
      </w:r>
      <w:r w:rsidR="00AE4519">
        <w:rPr>
          <w:lang w:val="en-GB"/>
        </w:rPr>
        <w:t>ontinue with internal hazard scenarios and integration into PSA model</w:t>
      </w:r>
      <w:r w:rsidR="00F81967">
        <w:rPr>
          <w:lang w:val="en-GB"/>
        </w:rPr>
        <w:t>,</w:t>
      </w:r>
    </w:p>
    <w:p w:rsidR="00AE4519" w:rsidRDefault="001335D5" w:rsidP="00E62976">
      <w:pPr>
        <w:numPr>
          <w:ilvl w:val="0"/>
          <w:numId w:val="68"/>
        </w:numPr>
        <w:rPr>
          <w:lang w:val="en-GB"/>
        </w:rPr>
      </w:pPr>
      <w:r>
        <w:rPr>
          <w:lang w:val="en-GB"/>
        </w:rPr>
        <w:t>e</w:t>
      </w:r>
      <w:r w:rsidR="00AE4519">
        <w:rPr>
          <w:lang w:val="en-GB"/>
        </w:rPr>
        <w:t>xtend by external hazard scenarios</w:t>
      </w:r>
      <w:r w:rsidR="00F81967">
        <w:rPr>
          <w:lang w:val="en-GB"/>
        </w:rPr>
        <w:t>,</w:t>
      </w:r>
    </w:p>
    <w:p w:rsidR="00AE4519" w:rsidRDefault="001335D5" w:rsidP="00E62976">
      <w:pPr>
        <w:numPr>
          <w:ilvl w:val="0"/>
          <w:numId w:val="68"/>
        </w:numPr>
        <w:rPr>
          <w:lang w:val="en-GB"/>
        </w:rPr>
      </w:pPr>
      <w:r>
        <w:rPr>
          <w:lang w:val="en-GB"/>
        </w:rPr>
        <w:t>c</w:t>
      </w:r>
      <w:r w:rsidR="00AE4519">
        <w:rPr>
          <w:lang w:val="en-GB"/>
        </w:rPr>
        <w:t>omplement with combinations of hazards and correlated hazards</w:t>
      </w:r>
      <w:r w:rsidR="00F81967">
        <w:rPr>
          <w:lang w:val="en-GB"/>
        </w:rPr>
        <w:t>,</w:t>
      </w:r>
    </w:p>
    <w:p w:rsidR="008143CD" w:rsidRDefault="001335D5" w:rsidP="00E62976">
      <w:pPr>
        <w:numPr>
          <w:ilvl w:val="0"/>
          <w:numId w:val="68"/>
        </w:numPr>
        <w:rPr>
          <w:lang w:val="en-GB"/>
        </w:rPr>
      </w:pPr>
      <w:r>
        <w:rPr>
          <w:lang w:val="en-GB"/>
        </w:rPr>
        <w:t>c</w:t>
      </w:r>
      <w:r w:rsidR="008143CD">
        <w:rPr>
          <w:lang w:val="en-GB"/>
        </w:rPr>
        <w:t>omplete by extension to multi-unit</w:t>
      </w:r>
      <w:r w:rsidR="00F81967">
        <w:rPr>
          <w:lang w:val="en-GB"/>
        </w:rPr>
        <w:t>s</w:t>
      </w:r>
      <w:r w:rsidR="008143CD">
        <w:rPr>
          <w:lang w:val="en-GB"/>
        </w:rPr>
        <w:t xml:space="preserve"> and multi-source</w:t>
      </w:r>
      <w:r w:rsidR="00F81967">
        <w:rPr>
          <w:lang w:val="en-GB"/>
        </w:rPr>
        <w:t>s</w:t>
      </w:r>
      <w:r w:rsidR="008143CD">
        <w:rPr>
          <w:lang w:val="en-GB"/>
        </w:rPr>
        <w:t xml:space="preserve"> considerations</w:t>
      </w:r>
      <w:r w:rsidR="00F81967">
        <w:rPr>
          <w:lang w:val="en-GB"/>
        </w:rPr>
        <w:t>.</w:t>
      </w:r>
    </w:p>
    <w:p w:rsidR="00FD4714" w:rsidRDefault="00FD4714" w:rsidP="005079A3">
      <w:pPr>
        <w:rPr>
          <w:lang w:val="en-GB"/>
        </w:rPr>
      </w:pPr>
    </w:p>
    <w:p w:rsidR="00AE4519" w:rsidRDefault="00F81967" w:rsidP="005079A3">
      <w:pPr>
        <w:rPr>
          <w:lang w:val="en-GB"/>
        </w:rPr>
      </w:pPr>
      <w:r>
        <w:rPr>
          <w:lang w:val="en-GB"/>
        </w:rPr>
        <w:t>T</w:t>
      </w:r>
      <w:r w:rsidR="008143CD">
        <w:rPr>
          <w:lang w:val="en-GB"/>
        </w:rPr>
        <w:t xml:space="preserve">his approach assumes that a PSA model for a specific hazard scenario will </w:t>
      </w:r>
      <w:r w:rsidR="00FC0DF4">
        <w:rPr>
          <w:lang w:val="en-GB"/>
        </w:rPr>
        <w:t xml:space="preserve">benefit from the </w:t>
      </w:r>
      <w:r w:rsidR="008143CD">
        <w:rPr>
          <w:lang w:val="en-GB"/>
        </w:rPr>
        <w:t xml:space="preserve">use of the available internal events PSA. Conceptually, </w:t>
      </w:r>
      <w:r w:rsidR="00C05007">
        <w:rPr>
          <w:lang w:val="en-GB"/>
        </w:rPr>
        <w:t>each</w:t>
      </w:r>
      <w:r w:rsidR="008143CD">
        <w:rPr>
          <w:lang w:val="en-GB"/>
        </w:rPr>
        <w:t xml:space="preserve"> hazard scenario will be an initiator for an initiating event</w:t>
      </w:r>
      <w:r w:rsidR="00C05007">
        <w:rPr>
          <w:lang w:val="en-GB"/>
        </w:rPr>
        <w:t xml:space="preserve"> that</w:t>
      </w:r>
      <w:r w:rsidR="008143CD">
        <w:rPr>
          <w:lang w:val="en-GB"/>
        </w:rPr>
        <w:t xml:space="preserve"> </w:t>
      </w:r>
      <w:r w:rsidR="0085644F">
        <w:rPr>
          <w:rFonts w:hint="eastAsia"/>
          <w:lang w:val="en-GB" w:eastAsia="ja-JP"/>
        </w:rPr>
        <w:t>is</w:t>
      </w:r>
      <w:r w:rsidR="008143CD">
        <w:rPr>
          <w:lang w:val="en-GB"/>
        </w:rPr>
        <w:t xml:space="preserve"> directly challenging </w:t>
      </w:r>
      <w:r>
        <w:rPr>
          <w:lang w:val="en-GB"/>
        </w:rPr>
        <w:t xml:space="preserve">some </w:t>
      </w:r>
      <w:r w:rsidR="008143CD">
        <w:rPr>
          <w:lang w:val="en-GB"/>
        </w:rPr>
        <w:t>safety functions.</w:t>
      </w:r>
    </w:p>
    <w:p w:rsidR="008143CD" w:rsidRDefault="008143CD" w:rsidP="005079A3">
      <w:pPr>
        <w:rPr>
          <w:lang w:val="en-GB"/>
        </w:rPr>
      </w:pPr>
    </w:p>
    <w:p w:rsidR="00636449" w:rsidRDefault="00636449" w:rsidP="00636449">
      <w:pPr>
        <w:rPr>
          <w:lang w:val="en-GB"/>
        </w:rPr>
      </w:pPr>
      <w:r>
        <w:rPr>
          <w:lang w:val="en-GB"/>
        </w:rPr>
        <w:t xml:space="preserve">As </w:t>
      </w:r>
      <w:r w:rsidR="00604DDF">
        <w:rPr>
          <w:lang w:val="en-GB"/>
        </w:rPr>
        <w:t>confirmed by</w:t>
      </w:r>
      <w:r w:rsidR="00643A9B">
        <w:rPr>
          <w:lang w:val="en-GB"/>
        </w:rPr>
        <w:t xml:space="preserve"> section </w:t>
      </w:r>
      <w:r w:rsidR="00751F34">
        <w:rPr>
          <w:lang w:val="en-GB"/>
        </w:rPr>
        <w:fldChar w:fldCharType="begin"/>
      </w:r>
      <w:r w:rsidR="00751F34">
        <w:rPr>
          <w:lang w:val="en-GB"/>
        </w:rPr>
        <w:instrText xml:space="preserve"> REF _Ref444952926 \w \h </w:instrText>
      </w:r>
      <w:r w:rsidR="00751F34">
        <w:rPr>
          <w:lang w:val="en-GB"/>
        </w:rPr>
      </w:r>
      <w:r w:rsidR="00751F34">
        <w:rPr>
          <w:lang w:val="en-GB"/>
        </w:rPr>
        <w:fldChar w:fldCharType="separate"/>
      </w:r>
      <w:r w:rsidR="00E62976">
        <w:rPr>
          <w:lang w:val="en-GB"/>
        </w:rPr>
        <w:t>5</w:t>
      </w:r>
      <w:r w:rsidR="00751F34">
        <w:rPr>
          <w:lang w:val="en-GB"/>
        </w:rPr>
        <w:fldChar w:fldCharType="end"/>
      </w:r>
      <w:r w:rsidR="00E051E7">
        <w:rPr>
          <w:lang w:val="en-GB"/>
        </w:rPr>
        <w:t>,</w:t>
      </w:r>
      <w:r w:rsidR="00643A9B">
        <w:rPr>
          <w:lang w:val="en-GB"/>
        </w:rPr>
        <w:t xml:space="preserve"> analysis of existing practices </w:t>
      </w:r>
      <w:r w:rsidR="0085644F">
        <w:rPr>
          <w:rFonts w:hint="eastAsia"/>
          <w:lang w:val="en-GB" w:eastAsia="ja-JP"/>
        </w:rPr>
        <w:t>of</w:t>
      </w:r>
      <w:r w:rsidR="00643A9B">
        <w:rPr>
          <w:lang w:val="en-GB"/>
        </w:rPr>
        <w:t xml:space="preserve"> </w:t>
      </w:r>
      <w:r>
        <w:rPr>
          <w:lang w:val="en-GB"/>
        </w:rPr>
        <w:t>the screening entails the following major steps</w:t>
      </w:r>
      <w:r w:rsidR="00604DDF">
        <w:rPr>
          <w:lang w:val="en-GB"/>
        </w:rPr>
        <w:t>.</w:t>
      </w:r>
    </w:p>
    <w:p w:rsidR="00C05007" w:rsidRDefault="00C05007" w:rsidP="00636449">
      <w:pPr>
        <w:rPr>
          <w:lang w:val="en-GB"/>
        </w:rPr>
      </w:pPr>
    </w:p>
    <w:p w:rsidR="00C05007" w:rsidRDefault="00C05007" w:rsidP="00636449">
      <w:pPr>
        <w:rPr>
          <w:lang w:val="en-GB"/>
        </w:rPr>
      </w:pPr>
      <w:r>
        <w:rPr>
          <w:lang w:val="en-GB"/>
        </w:rPr>
        <w:t xml:space="preserve">For </w:t>
      </w:r>
      <w:r w:rsidRPr="00E86A20">
        <w:rPr>
          <w:lang w:val="en-GB"/>
        </w:rPr>
        <w:t>all operating states and all relevant sources on the site</w:t>
      </w:r>
      <w:r>
        <w:rPr>
          <w:lang w:val="en-GB"/>
        </w:rPr>
        <w:t>:</w:t>
      </w:r>
    </w:p>
    <w:p w:rsidR="00636449" w:rsidRPr="00B858FE" w:rsidRDefault="00636449" w:rsidP="00E62976">
      <w:pPr>
        <w:numPr>
          <w:ilvl w:val="0"/>
          <w:numId w:val="66"/>
        </w:numPr>
        <w:rPr>
          <w:lang w:val="en-GB"/>
        </w:rPr>
      </w:pPr>
      <w:r w:rsidRPr="00C70893">
        <w:rPr>
          <w:lang w:val="en-GB"/>
        </w:rPr>
        <w:t>Identification of</w:t>
      </w:r>
      <w:r>
        <w:rPr>
          <w:lang w:val="en-GB"/>
        </w:rPr>
        <w:t xml:space="preserve"> possible</w:t>
      </w:r>
      <w:r w:rsidRPr="00C70893">
        <w:rPr>
          <w:lang w:val="en-GB"/>
        </w:rPr>
        <w:t xml:space="preserve"> initiating event</w:t>
      </w:r>
      <w:r>
        <w:rPr>
          <w:lang w:val="en-GB"/>
        </w:rPr>
        <w:t>s</w:t>
      </w:r>
      <w:r w:rsidR="0016160D">
        <w:rPr>
          <w:lang w:val="en-GB"/>
        </w:rPr>
        <w:t>, hazard scenarios,</w:t>
      </w:r>
      <w:r>
        <w:rPr>
          <w:lang w:val="en-GB"/>
        </w:rPr>
        <w:t xml:space="preserve"> and combinations thereof</w:t>
      </w:r>
      <w:r w:rsidR="00C05007">
        <w:rPr>
          <w:lang w:val="en-GB"/>
        </w:rPr>
        <w:t>,</w:t>
      </w:r>
    </w:p>
    <w:p w:rsidR="00636449" w:rsidRDefault="00000C08" w:rsidP="00E62976">
      <w:pPr>
        <w:numPr>
          <w:ilvl w:val="0"/>
          <w:numId w:val="66"/>
        </w:numPr>
        <w:rPr>
          <w:lang w:val="en-GB"/>
        </w:rPr>
      </w:pPr>
      <w:r>
        <w:rPr>
          <w:lang w:val="en-GB"/>
        </w:rPr>
        <w:t>Plant response analysis and s</w:t>
      </w:r>
      <w:r w:rsidR="00636449">
        <w:rPr>
          <w:lang w:val="en-GB"/>
        </w:rPr>
        <w:t xml:space="preserve">uitable grouping of initiating events or </w:t>
      </w:r>
      <w:r w:rsidR="0016160D">
        <w:rPr>
          <w:lang w:val="en-GB"/>
        </w:rPr>
        <w:t xml:space="preserve">hazard </w:t>
      </w:r>
      <w:r w:rsidR="00636449">
        <w:rPr>
          <w:lang w:val="en-GB"/>
        </w:rPr>
        <w:t xml:space="preserve">scenarios to a representative </w:t>
      </w:r>
      <w:r w:rsidR="0016160D">
        <w:rPr>
          <w:lang w:val="en-GB"/>
        </w:rPr>
        <w:t>group</w:t>
      </w:r>
      <w:r w:rsidR="00FC0DF4">
        <w:rPr>
          <w:lang w:val="en-GB"/>
        </w:rPr>
        <w:t>,</w:t>
      </w:r>
    </w:p>
    <w:p w:rsidR="00636449" w:rsidRDefault="00636449" w:rsidP="00E62976">
      <w:pPr>
        <w:numPr>
          <w:ilvl w:val="0"/>
          <w:numId w:val="66"/>
        </w:numPr>
        <w:rPr>
          <w:lang w:val="en-GB"/>
        </w:rPr>
      </w:pPr>
      <w:r>
        <w:rPr>
          <w:lang w:val="en-GB"/>
        </w:rPr>
        <w:t xml:space="preserve">For each representative </w:t>
      </w:r>
      <w:r w:rsidR="00C05007">
        <w:rPr>
          <w:lang w:val="en-GB"/>
        </w:rPr>
        <w:t>group</w:t>
      </w:r>
      <w:r>
        <w:rPr>
          <w:lang w:val="en-GB"/>
        </w:rPr>
        <w:t>, analysis consisting of</w:t>
      </w:r>
    </w:p>
    <w:p w:rsidR="00636449" w:rsidRDefault="00636449" w:rsidP="00E62976">
      <w:pPr>
        <w:numPr>
          <w:ilvl w:val="1"/>
          <w:numId w:val="66"/>
        </w:numPr>
        <w:rPr>
          <w:lang w:val="en-GB"/>
        </w:rPr>
      </w:pPr>
      <w:r>
        <w:rPr>
          <w:lang w:val="en-GB"/>
        </w:rPr>
        <w:t>Qualitative plant response,</w:t>
      </w:r>
    </w:p>
    <w:p w:rsidR="00636449" w:rsidRDefault="00636449" w:rsidP="00E62976">
      <w:pPr>
        <w:numPr>
          <w:ilvl w:val="1"/>
          <w:numId w:val="66"/>
        </w:numPr>
        <w:rPr>
          <w:lang w:val="en-GB"/>
        </w:rPr>
      </w:pPr>
      <w:r>
        <w:rPr>
          <w:lang w:val="en-GB"/>
        </w:rPr>
        <w:t xml:space="preserve">Quantitative assessment of </w:t>
      </w:r>
      <w:r w:rsidR="007A7C23">
        <w:rPr>
          <w:lang w:val="en-GB"/>
        </w:rPr>
        <w:t>the likelihood of the scenario,</w:t>
      </w:r>
      <w:r>
        <w:rPr>
          <w:lang w:val="en-GB"/>
        </w:rPr>
        <w:t xml:space="preserve"> of its consequences</w:t>
      </w:r>
      <w:r w:rsidR="00643A9B">
        <w:rPr>
          <w:lang w:val="en-GB"/>
        </w:rPr>
        <w:t xml:space="preserve"> for the plant,</w:t>
      </w:r>
    </w:p>
    <w:p w:rsidR="007A7C23" w:rsidRDefault="00636449" w:rsidP="00E62976">
      <w:pPr>
        <w:numPr>
          <w:ilvl w:val="0"/>
          <w:numId w:val="66"/>
        </w:numPr>
        <w:rPr>
          <w:lang w:val="en-GB"/>
        </w:rPr>
      </w:pPr>
      <w:r>
        <w:rPr>
          <w:lang w:val="en-GB"/>
        </w:rPr>
        <w:t xml:space="preserve">Definition of a set of initiating events </w:t>
      </w:r>
      <w:r w:rsidR="006616EC">
        <w:rPr>
          <w:lang w:val="en-GB"/>
        </w:rPr>
        <w:t xml:space="preserve">and hazard scenarios </w:t>
      </w:r>
      <w:r>
        <w:rPr>
          <w:lang w:val="en-GB"/>
        </w:rPr>
        <w:t xml:space="preserve">for </w:t>
      </w:r>
      <w:r w:rsidR="00643A9B">
        <w:rPr>
          <w:lang w:val="en-GB"/>
        </w:rPr>
        <w:t>extended</w:t>
      </w:r>
      <w:r>
        <w:rPr>
          <w:lang w:val="en-GB"/>
        </w:rPr>
        <w:t xml:space="preserve"> PSA analysis.</w:t>
      </w:r>
    </w:p>
    <w:p w:rsidR="007A7C23" w:rsidRDefault="007A7C23" w:rsidP="005079A3">
      <w:pPr>
        <w:rPr>
          <w:lang w:val="en-GB"/>
        </w:rPr>
      </w:pPr>
    </w:p>
    <w:p w:rsidR="00A1233D" w:rsidRDefault="002871B4" w:rsidP="00A1233D">
      <w:pPr>
        <w:rPr>
          <w:lang w:val="en-GB"/>
        </w:rPr>
      </w:pPr>
      <w:r>
        <w:rPr>
          <w:lang w:val="en-GB"/>
        </w:rPr>
        <w:t xml:space="preserve">Screening needs to be done because in practice it is impossible to analyse all potential sequences after each and every initiating event. Therefore, screening is an approach to efficiently make use of available resources. </w:t>
      </w:r>
      <w:r w:rsidR="00A1233D">
        <w:rPr>
          <w:lang w:val="en-GB"/>
        </w:rPr>
        <w:t xml:space="preserve">Consequently, the screening assessment shall be based </w:t>
      </w:r>
      <w:r w:rsidR="00A1233D" w:rsidRPr="00FA6AA7">
        <w:rPr>
          <w:lang w:val="en-GB"/>
        </w:rPr>
        <w:t>on relatively simple analysis, referring to existing studies, often qualitative and using engineering judg</w:t>
      </w:r>
      <w:r w:rsidR="00083EA7">
        <w:rPr>
          <w:lang w:val="en-GB"/>
        </w:rPr>
        <w:t>e</w:t>
      </w:r>
      <w:r w:rsidR="00A1233D" w:rsidRPr="00FA6AA7">
        <w:rPr>
          <w:lang w:val="en-GB"/>
        </w:rPr>
        <w:t>ment</w:t>
      </w:r>
      <w:r w:rsidR="00A1233D">
        <w:rPr>
          <w:lang w:val="en-GB"/>
        </w:rPr>
        <w:t xml:space="preserve">. </w:t>
      </w:r>
      <w:r w:rsidR="00A1233D" w:rsidRPr="00FA6AA7">
        <w:rPr>
          <w:lang w:val="en-GB"/>
        </w:rPr>
        <w:t xml:space="preserve">Realistic assumptions </w:t>
      </w:r>
      <w:r w:rsidR="00A1233D">
        <w:rPr>
          <w:lang w:val="en-GB"/>
        </w:rPr>
        <w:t>can be used as well as</w:t>
      </w:r>
      <w:r w:rsidR="00A1233D" w:rsidRPr="00FA6AA7">
        <w:rPr>
          <w:lang w:val="en-GB"/>
        </w:rPr>
        <w:t xml:space="preserve"> bounding assessment</w:t>
      </w:r>
      <w:r w:rsidR="00A1233D">
        <w:rPr>
          <w:lang w:val="en-GB"/>
        </w:rPr>
        <w:t xml:space="preserve">s. </w:t>
      </w:r>
    </w:p>
    <w:p w:rsidR="00A66DD7" w:rsidRDefault="00A66DD7" w:rsidP="00FA6AA7">
      <w:pPr>
        <w:rPr>
          <w:lang w:val="en-GB"/>
        </w:rPr>
      </w:pPr>
      <w:r>
        <w:rPr>
          <w:lang w:val="en-GB"/>
        </w:rPr>
        <w:t xml:space="preserve">There are two different objectives </w:t>
      </w:r>
      <w:r w:rsidR="002871B4">
        <w:rPr>
          <w:lang w:val="en-GB"/>
        </w:rPr>
        <w:t>how</w:t>
      </w:r>
      <w:r>
        <w:rPr>
          <w:lang w:val="en-GB"/>
        </w:rPr>
        <w:t xml:space="preserve"> screening can be applied: </w:t>
      </w:r>
    </w:p>
    <w:p w:rsidR="002871B4" w:rsidRPr="001B08F4" w:rsidRDefault="00A66DD7" w:rsidP="00E62976">
      <w:pPr>
        <w:numPr>
          <w:ilvl w:val="0"/>
          <w:numId w:val="97"/>
        </w:numPr>
        <w:rPr>
          <w:lang w:val="en-GB"/>
        </w:rPr>
      </w:pPr>
      <w:r w:rsidRPr="002871B4">
        <w:rPr>
          <w:lang w:val="en-GB"/>
        </w:rPr>
        <w:t>First</w:t>
      </w:r>
      <w:r w:rsidRPr="001B08F4">
        <w:rPr>
          <w:lang w:val="en-GB"/>
        </w:rPr>
        <w:t xml:space="preserve">ly, screening can justify that several initiating events may be deleted from analyses, or that they may be binned into specific groups and need not be analysed individually. This approach is relevant if it is necessary to demonstrate that the plant under consideration </w:t>
      </w:r>
      <w:r w:rsidR="002871B4" w:rsidRPr="001B08F4">
        <w:rPr>
          <w:lang w:val="en-GB"/>
        </w:rPr>
        <w:t>complies with a certain quantitative objective.</w:t>
      </w:r>
    </w:p>
    <w:p w:rsidR="002871B4" w:rsidRPr="001B08F4" w:rsidRDefault="00A66DD7" w:rsidP="00E62976">
      <w:pPr>
        <w:numPr>
          <w:ilvl w:val="0"/>
          <w:numId w:val="97"/>
        </w:numPr>
        <w:rPr>
          <w:lang w:val="en-GB"/>
        </w:rPr>
      </w:pPr>
      <w:r w:rsidRPr="001B08F4">
        <w:rPr>
          <w:lang w:val="en-GB"/>
        </w:rPr>
        <w:t>Secondly, screening can identify the most relevant initiating events</w:t>
      </w:r>
      <w:r w:rsidR="002871B4" w:rsidRPr="001B08F4">
        <w:rPr>
          <w:lang w:val="en-GB"/>
        </w:rPr>
        <w:t>. This will help to make the most efficient use of available resources.</w:t>
      </w:r>
    </w:p>
    <w:p w:rsidR="00663230" w:rsidRDefault="00663230" w:rsidP="00663230">
      <w:pPr>
        <w:rPr>
          <w:lang w:val="en-GB"/>
        </w:rPr>
      </w:pPr>
    </w:p>
    <w:p w:rsidR="00C928AB" w:rsidRDefault="00643A9B" w:rsidP="00C928AB">
      <w:pPr>
        <w:rPr>
          <w:lang w:val="en-GB"/>
        </w:rPr>
      </w:pPr>
      <w:r>
        <w:rPr>
          <w:lang w:val="en-GB"/>
        </w:rPr>
        <w:t>The next</w:t>
      </w:r>
      <w:r w:rsidR="00483A76">
        <w:rPr>
          <w:lang w:val="en-GB"/>
        </w:rPr>
        <w:t xml:space="preserve"> sections</w:t>
      </w:r>
      <w:r>
        <w:rPr>
          <w:lang w:val="en-GB"/>
        </w:rPr>
        <w:t xml:space="preserve"> discuss </w:t>
      </w:r>
      <w:r w:rsidR="003251F0">
        <w:rPr>
          <w:lang w:val="en-GB"/>
        </w:rPr>
        <w:t xml:space="preserve">some </w:t>
      </w:r>
      <w:r w:rsidR="00340DDC">
        <w:rPr>
          <w:lang w:val="en-GB"/>
        </w:rPr>
        <w:t xml:space="preserve">envelope </w:t>
      </w:r>
      <w:r>
        <w:rPr>
          <w:lang w:val="en-GB"/>
        </w:rPr>
        <w:t xml:space="preserve">good practices for each step of the selection of extended PSA initiating events. </w:t>
      </w:r>
      <w:r w:rsidR="00663230">
        <w:rPr>
          <w:lang w:val="en-GB"/>
        </w:rPr>
        <w:t xml:space="preserve">From an industrial end-user </w:t>
      </w:r>
      <w:r w:rsidR="00340DDC">
        <w:rPr>
          <w:lang w:val="en-GB"/>
        </w:rPr>
        <w:t>perspective</w:t>
      </w:r>
      <w:r w:rsidR="00663230" w:rsidRPr="00663230">
        <w:rPr>
          <w:lang w:val="en-GB"/>
        </w:rPr>
        <w:t xml:space="preserve">, each step must be adapted and simplified </w:t>
      </w:r>
      <w:r w:rsidR="00B955FA">
        <w:rPr>
          <w:lang w:val="en-GB"/>
        </w:rPr>
        <w:t xml:space="preserve">in accordance with the responsible authorities </w:t>
      </w:r>
      <w:r w:rsidR="00663230">
        <w:rPr>
          <w:lang w:val="en-GB"/>
        </w:rPr>
        <w:t xml:space="preserve">where necessary </w:t>
      </w:r>
      <w:r w:rsidR="00340DDC">
        <w:rPr>
          <w:lang w:val="en-GB"/>
        </w:rPr>
        <w:t>to</w:t>
      </w:r>
      <w:r w:rsidR="00663230">
        <w:rPr>
          <w:lang w:val="en-GB"/>
        </w:rPr>
        <w:t xml:space="preserve"> </w:t>
      </w:r>
      <w:r w:rsidR="00340DDC">
        <w:rPr>
          <w:lang w:val="en-GB"/>
        </w:rPr>
        <w:t>be effective enough to be able to</w:t>
      </w:r>
      <w:r w:rsidR="00340DDC" w:rsidRPr="00FA6AA7">
        <w:rPr>
          <w:lang w:val="en-GB"/>
        </w:rPr>
        <w:t xml:space="preserve"> identify rapidly predominant</w:t>
      </w:r>
      <w:r w:rsidR="00340DDC">
        <w:rPr>
          <w:lang w:val="en-GB"/>
        </w:rPr>
        <w:t xml:space="preserve"> </w:t>
      </w:r>
      <w:r w:rsidR="00340DDC" w:rsidRPr="00FA6AA7">
        <w:rPr>
          <w:lang w:val="en-GB"/>
        </w:rPr>
        <w:t xml:space="preserve">hazards eligible to </w:t>
      </w:r>
      <w:r w:rsidR="00340DDC">
        <w:rPr>
          <w:lang w:val="en-GB"/>
        </w:rPr>
        <w:t xml:space="preserve">extended </w:t>
      </w:r>
      <w:r w:rsidR="00340DDC" w:rsidRPr="00FA6AA7">
        <w:rPr>
          <w:lang w:val="en-GB"/>
        </w:rPr>
        <w:t>PSA</w:t>
      </w:r>
      <w:r w:rsidR="00340DDC">
        <w:rPr>
          <w:lang w:val="en-GB"/>
        </w:rPr>
        <w:t xml:space="preserve"> analysis.</w:t>
      </w:r>
      <w:r w:rsidR="00C82556">
        <w:rPr>
          <w:lang w:val="en-GB"/>
        </w:rPr>
        <w:t xml:space="preserve"> </w:t>
      </w:r>
      <w:r w:rsidR="00C928AB">
        <w:rPr>
          <w:lang w:val="en-GB"/>
        </w:rPr>
        <w:t>Therefore, the screening criteria – especially the quantitative criteria - shall be chosen to help identify the key predominant hazards eligible for extended PSA analysis, and thus to identify a limited subset of screened-in hazards. This is paramount to enable industrial end-user to</w:t>
      </w:r>
      <w:r w:rsidR="00C928AB" w:rsidRPr="00EC5EF9">
        <w:rPr>
          <w:lang w:val="en-GB"/>
        </w:rPr>
        <w:t xml:space="preserve"> better focus resources and direct them to address issues that present the highest significance to NPP Risks and Safety.</w:t>
      </w:r>
    </w:p>
    <w:p w:rsidR="00483A76" w:rsidRDefault="00C82556" w:rsidP="005079A3">
      <w:pPr>
        <w:rPr>
          <w:lang w:val="en-GB"/>
        </w:rPr>
      </w:pPr>
      <w:r>
        <w:rPr>
          <w:lang w:val="en-GB"/>
        </w:rPr>
        <w:t>It is for this reason that the screening process needs to be aligned to the objectives of the PSA in general and</w:t>
      </w:r>
      <w:r w:rsidR="007E7DCA">
        <w:rPr>
          <w:lang w:val="en-GB"/>
        </w:rPr>
        <w:t xml:space="preserve"> to</w:t>
      </w:r>
      <w:r>
        <w:rPr>
          <w:lang w:val="en-GB"/>
        </w:rPr>
        <w:t xml:space="preserve"> overall requirements on the acceptability of limitations in scope and level of detail to decision makers</w:t>
      </w:r>
      <w:r w:rsidR="00340DDC">
        <w:rPr>
          <w:lang w:val="en-GB"/>
        </w:rPr>
        <w:t>.</w:t>
      </w:r>
    </w:p>
    <w:p w:rsidR="00647C94" w:rsidRPr="005079A3" w:rsidRDefault="00647C94" w:rsidP="006B2B4A">
      <w:pPr>
        <w:rPr>
          <w:lang w:val="en-US"/>
        </w:rPr>
      </w:pPr>
    </w:p>
    <w:p w:rsidR="0019554F" w:rsidRDefault="00731003" w:rsidP="005079A3">
      <w:pPr>
        <w:pStyle w:val="Titre2"/>
        <w:rPr>
          <w:lang w:val="en-GB"/>
        </w:rPr>
      </w:pPr>
      <w:bookmarkStart w:id="462" w:name="_Ref445029148"/>
      <w:bookmarkStart w:id="463" w:name="_Toc473303581"/>
      <w:r>
        <w:rPr>
          <w:lang w:val="en-GB"/>
        </w:rPr>
        <w:t>SCREENING CRITERIA</w:t>
      </w:r>
      <w:bookmarkEnd w:id="462"/>
      <w:bookmarkEnd w:id="463"/>
    </w:p>
    <w:p w:rsidR="000055AF" w:rsidRDefault="000055AF">
      <w:pPr>
        <w:rPr>
          <w:lang w:val="en-GB"/>
        </w:rPr>
      </w:pPr>
    </w:p>
    <w:p w:rsidR="000055AF" w:rsidRDefault="000055AF" w:rsidP="000055AF">
      <w:pPr>
        <w:rPr>
          <w:lang w:val="en-GB"/>
        </w:rPr>
      </w:pPr>
      <w:r>
        <w:rPr>
          <w:lang w:val="en-GB"/>
        </w:rPr>
        <w:t xml:space="preserve">The ASAMPSA_E report D30.2 </w:t>
      </w:r>
      <w:r w:rsidR="00CD43F9">
        <w:rPr>
          <w:lang w:val="en-GB"/>
        </w:rPr>
        <w:fldChar w:fldCharType="begin"/>
      </w:r>
      <w:r w:rsidR="00CD43F9">
        <w:rPr>
          <w:lang w:val="en-GB"/>
        </w:rPr>
        <w:instrText xml:space="preserve"> REF _Ref422842679 \w \h </w:instrText>
      </w:r>
      <w:r w:rsidR="00CD43F9">
        <w:rPr>
          <w:lang w:val="en-GB"/>
        </w:rPr>
      </w:r>
      <w:r w:rsidR="00CD43F9">
        <w:rPr>
          <w:lang w:val="en-GB"/>
        </w:rPr>
        <w:fldChar w:fldCharType="separate"/>
      </w:r>
      <w:r w:rsidR="00E62976">
        <w:rPr>
          <w:lang w:val="en-GB"/>
        </w:rPr>
        <w:t>[86]</w:t>
      </w:r>
      <w:r w:rsidR="00CD43F9">
        <w:rPr>
          <w:lang w:val="en-GB"/>
        </w:rPr>
        <w:fldChar w:fldCharType="end"/>
      </w:r>
      <w:r w:rsidR="00CD43F9">
        <w:rPr>
          <w:lang w:val="en-GB"/>
        </w:rPr>
        <w:t xml:space="preserve"> </w:t>
      </w:r>
      <w:r>
        <w:rPr>
          <w:lang w:val="en-GB"/>
        </w:rPr>
        <w:t>includes the following recommendations on screening criteria.</w:t>
      </w:r>
    </w:p>
    <w:p w:rsidR="000055AF" w:rsidRDefault="000055AF" w:rsidP="000055AF">
      <w:pPr>
        <w:ind w:left="567"/>
        <w:rPr>
          <w:lang w:val="en-GB"/>
        </w:rPr>
      </w:pPr>
      <w:r>
        <w:rPr>
          <w:lang w:val="en-GB"/>
        </w:rPr>
        <w:t xml:space="preserve">“[S]creening criteria should be commensurate to overall PSA results and ensure that low probability/high impact events are not screened out. </w:t>
      </w:r>
      <w:r w:rsidRPr="00C70893">
        <w:rPr>
          <w:lang w:val="en-GB"/>
        </w:rPr>
        <w:t>To that effect, a set of suitable risk metrics and threshold values (including CDF and LRF) should be defined.</w:t>
      </w:r>
      <w:r>
        <w:rPr>
          <w:lang w:val="en-GB"/>
        </w:rPr>
        <w:t xml:space="preserve">” </w:t>
      </w:r>
      <w:r w:rsidR="001E56D8">
        <w:rPr>
          <w:lang w:val="en-GB"/>
        </w:rPr>
        <w:fldChar w:fldCharType="begin"/>
      </w:r>
      <w:r w:rsidR="001E56D8">
        <w:rPr>
          <w:lang w:val="en-GB"/>
        </w:rPr>
        <w:instrText xml:space="preserve"> REF _Ref422842679 \r \h </w:instrText>
      </w:r>
      <w:r w:rsidR="001E56D8">
        <w:rPr>
          <w:lang w:val="en-GB"/>
        </w:rPr>
      </w:r>
      <w:r w:rsidR="001E56D8">
        <w:rPr>
          <w:lang w:val="en-GB"/>
        </w:rPr>
        <w:fldChar w:fldCharType="separate"/>
      </w:r>
      <w:r w:rsidR="00E62976">
        <w:rPr>
          <w:lang w:val="en-GB"/>
        </w:rPr>
        <w:t>[86]</w:t>
      </w:r>
      <w:r w:rsidR="001E56D8">
        <w:rPr>
          <w:lang w:val="en-GB"/>
        </w:rPr>
        <w:fldChar w:fldCharType="end"/>
      </w:r>
      <w:r>
        <w:rPr>
          <w:lang w:val="en-GB"/>
        </w:rPr>
        <w:t>, p. 29</w:t>
      </w:r>
    </w:p>
    <w:p w:rsidR="000055AF" w:rsidRDefault="000055AF" w:rsidP="000055AF">
      <w:pPr>
        <w:ind w:left="567"/>
        <w:rPr>
          <w:lang w:val="en-GB"/>
        </w:rPr>
      </w:pPr>
      <w:r>
        <w:rPr>
          <w:lang w:val="en-GB"/>
        </w:rPr>
        <w:t>“</w:t>
      </w:r>
      <w:r w:rsidRPr="004C1D9E">
        <w:rPr>
          <w:lang w:val="en-GB"/>
        </w:rPr>
        <w:t>The screening of initiating events for detailed consideration in the PSA should be performed not only based on PSA Level 1 risk metrics but also on PSA Level 2 risk metrics like e.g. different release categories, including at least one risk metric for large releases and one for early releases. Initiating events (including hazard scenarios) should only be screened out from the PSA, if they are screened out based on Level 1 and on Level</w:t>
      </w:r>
      <w:r w:rsidR="00751F34">
        <w:rPr>
          <w:lang w:val="en-GB"/>
        </w:rPr>
        <w:t> </w:t>
      </w:r>
      <w:r w:rsidRPr="004C1D9E">
        <w:rPr>
          <w:lang w:val="en-GB"/>
        </w:rPr>
        <w:t>2 risk metrics. In addition, if a PSA Level 3 is intended, the screening process should include Level</w:t>
      </w:r>
      <w:r w:rsidR="00751F34">
        <w:rPr>
          <w:lang w:val="en-GB"/>
        </w:rPr>
        <w:t> </w:t>
      </w:r>
      <w:r w:rsidRPr="004C1D9E">
        <w:rPr>
          <w:lang w:val="en-GB"/>
        </w:rPr>
        <w:t>3 risk metrics and thresholds as well</w:t>
      </w:r>
      <w:r>
        <w:rPr>
          <w:lang w:val="en-GB"/>
        </w:rPr>
        <w:t xml:space="preserve">.” </w:t>
      </w:r>
      <w:r w:rsidR="001E56D8">
        <w:rPr>
          <w:lang w:val="en-GB"/>
        </w:rPr>
        <w:fldChar w:fldCharType="begin"/>
      </w:r>
      <w:r w:rsidR="001E56D8">
        <w:rPr>
          <w:lang w:val="en-GB"/>
        </w:rPr>
        <w:instrText xml:space="preserve"> REF _Ref422842679 \r \h </w:instrText>
      </w:r>
      <w:r w:rsidR="001E56D8">
        <w:rPr>
          <w:lang w:val="en-GB"/>
        </w:rPr>
      </w:r>
      <w:r w:rsidR="001E56D8">
        <w:rPr>
          <w:lang w:val="en-GB"/>
        </w:rPr>
        <w:fldChar w:fldCharType="separate"/>
      </w:r>
      <w:r w:rsidR="00E62976">
        <w:rPr>
          <w:lang w:val="en-GB"/>
        </w:rPr>
        <w:t>[86]</w:t>
      </w:r>
      <w:r w:rsidR="001E56D8">
        <w:rPr>
          <w:lang w:val="en-GB"/>
        </w:rPr>
        <w:fldChar w:fldCharType="end"/>
      </w:r>
      <w:r>
        <w:rPr>
          <w:lang w:val="en-GB"/>
        </w:rPr>
        <w:t>, p. 33</w:t>
      </w:r>
      <w:r w:rsidR="004117AE">
        <w:rPr>
          <w:lang w:val="en-GB"/>
        </w:rPr>
        <w:t>.</w:t>
      </w:r>
    </w:p>
    <w:p w:rsidR="000055AF" w:rsidRDefault="000055AF" w:rsidP="005079A3">
      <w:pPr>
        <w:rPr>
          <w:lang w:val="en-GB"/>
        </w:rPr>
      </w:pPr>
    </w:p>
    <w:p w:rsidR="000055AF" w:rsidRDefault="000055AF" w:rsidP="000055AF">
      <w:pPr>
        <w:rPr>
          <w:lang w:val="en-GB"/>
        </w:rPr>
      </w:pPr>
      <w:r>
        <w:rPr>
          <w:lang w:val="en-GB"/>
        </w:rPr>
        <w:t>In addition, any screening procedure should be consistent with the respective goals set out by WENRA, which state for new reactor designs that “</w:t>
      </w:r>
      <w:r w:rsidRPr="00417AEA">
        <w:rPr>
          <w:lang w:val="en-GB"/>
        </w:rPr>
        <w:t>accidents with core mel</w:t>
      </w:r>
      <w:r>
        <w:rPr>
          <w:lang w:val="en-GB"/>
        </w:rPr>
        <w:t>t which would lead to early or large</w:t>
      </w:r>
      <w:r w:rsidRPr="00417AEA">
        <w:rPr>
          <w:lang w:val="en-GB"/>
        </w:rPr>
        <w:t xml:space="preserve"> releases hav</w:t>
      </w:r>
      <w:r>
        <w:rPr>
          <w:lang w:val="en-GB"/>
        </w:rPr>
        <w:t xml:space="preserve">e to be practically eliminated” </w:t>
      </w:r>
      <w:r w:rsidR="00751F34">
        <w:rPr>
          <w:lang w:val="en-GB"/>
        </w:rPr>
        <w:fldChar w:fldCharType="begin"/>
      </w:r>
      <w:r w:rsidR="00751F34">
        <w:rPr>
          <w:lang w:val="en-GB"/>
        </w:rPr>
        <w:instrText xml:space="preserve"> REF _Ref392859457 \w \h </w:instrText>
      </w:r>
      <w:r w:rsidR="00751F34">
        <w:rPr>
          <w:lang w:val="en-GB"/>
        </w:rPr>
      </w:r>
      <w:r w:rsidR="00751F34">
        <w:rPr>
          <w:lang w:val="en-GB"/>
        </w:rPr>
        <w:fldChar w:fldCharType="separate"/>
      </w:r>
      <w:r w:rsidR="00E62976">
        <w:rPr>
          <w:lang w:val="en-GB"/>
        </w:rPr>
        <w:t>[35]</w:t>
      </w:r>
      <w:r w:rsidR="00751F34">
        <w:rPr>
          <w:lang w:val="en-GB"/>
        </w:rPr>
        <w:fldChar w:fldCharType="end"/>
      </w:r>
      <w:r>
        <w:rPr>
          <w:lang w:val="en-GB"/>
        </w:rPr>
        <w:t>, p. 24, and for existing reactors that “</w:t>
      </w:r>
      <w:r w:rsidRPr="00417AEA">
        <w:rPr>
          <w:lang w:val="en-GB"/>
        </w:rPr>
        <w:t>any radioactive release into the environment shall be limited in time and magnitude as far as reasonably practicable</w:t>
      </w:r>
      <w:r>
        <w:rPr>
          <w:lang w:val="en-GB"/>
        </w:rPr>
        <w:t xml:space="preserve">” </w:t>
      </w:r>
      <w:r w:rsidR="00125AF4">
        <w:rPr>
          <w:lang w:val="en-GB"/>
        </w:rPr>
        <w:fldChar w:fldCharType="begin"/>
      </w:r>
      <w:r>
        <w:rPr>
          <w:lang w:val="en-GB"/>
        </w:rPr>
        <w:instrText xml:space="preserve"> REF _Ref384812549 \r \h </w:instrText>
      </w:r>
      <w:r w:rsidR="00125AF4">
        <w:rPr>
          <w:lang w:val="en-GB"/>
        </w:rPr>
      </w:r>
      <w:r w:rsidR="00125AF4">
        <w:rPr>
          <w:lang w:val="en-GB"/>
        </w:rPr>
        <w:fldChar w:fldCharType="separate"/>
      </w:r>
      <w:r w:rsidR="00E62976">
        <w:rPr>
          <w:lang w:val="en-GB"/>
        </w:rPr>
        <w:t>[11]</w:t>
      </w:r>
      <w:r w:rsidR="00125AF4">
        <w:rPr>
          <w:lang w:val="en-GB"/>
        </w:rPr>
        <w:fldChar w:fldCharType="end"/>
      </w:r>
      <w:r>
        <w:rPr>
          <w:lang w:val="en-GB"/>
        </w:rPr>
        <w:t>, p. 23.</w:t>
      </w:r>
    </w:p>
    <w:p w:rsidR="003251F0" w:rsidRDefault="003251F0" w:rsidP="000055AF">
      <w:pPr>
        <w:rPr>
          <w:lang w:val="en-GB"/>
        </w:rPr>
      </w:pPr>
    </w:p>
    <w:p w:rsidR="000055AF" w:rsidRDefault="000055AF" w:rsidP="000055AF">
      <w:pPr>
        <w:rPr>
          <w:lang w:val="en-GB"/>
        </w:rPr>
      </w:pPr>
      <w:r>
        <w:rPr>
          <w:lang w:val="en-GB"/>
        </w:rPr>
        <w:t xml:space="preserve">The recommendations given below are based on these ideas. </w:t>
      </w:r>
      <w:r w:rsidR="00340DDC">
        <w:rPr>
          <w:lang w:val="en-GB"/>
        </w:rPr>
        <w:t>From an industrial end-user perspective</w:t>
      </w:r>
      <w:r w:rsidR="00340DDC" w:rsidRPr="00663230">
        <w:rPr>
          <w:lang w:val="en-GB"/>
        </w:rPr>
        <w:t xml:space="preserve">, </w:t>
      </w:r>
      <w:r w:rsidR="00340DDC">
        <w:rPr>
          <w:lang w:val="en-GB"/>
        </w:rPr>
        <w:t xml:space="preserve">they can be deemed to be more stringent that necessary and can </w:t>
      </w:r>
      <w:r w:rsidR="00340DDC" w:rsidRPr="00663230">
        <w:rPr>
          <w:lang w:val="en-GB"/>
        </w:rPr>
        <w:t xml:space="preserve">be adapted and simplified </w:t>
      </w:r>
      <w:r w:rsidR="00340DDC">
        <w:rPr>
          <w:lang w:val="en-GB"/>
        </w:rPr>
        <w:t xml:space="preserve">where necessary </w:t>
      </w:r>
      <w:r w:rsidR="00590605">
        <w:rPr>
          <w:lang w:val="en-GB"/>
        </w:rPr>
        <w:t xml:space="preserve">in accordance with the responsible authorities </w:t>
      </w:r>
      <w:r w:rsidR="00340DDC">
        <w:rPr>
          <w:lang w:val="en-GB"/>
        </w:rPr>
        <w:t>to be effective enough to be able to</w:t>
      </w:r>
      <w:r w:rsidR="00340DDC" w:rsidRPr="00FA6AA7">
        <w:rPr>
          <w:lang w:val="en-GB"/>
        </w:rPr>
        <w:t xml:space="preserve"> identify rapidly predominant</w:t>
      </w:r>
      <w:r w:rsidR="00340DDC">
        <w:rPr>
          <w:lang w:val="en-GB"/>
        </w:rPr>
        <w:t xml:space="preserve"> </w:t>
      </w:r>
      <w:r w:rsidR="00340DDC" w:rsidRPr="00FA6AA7">
        <w:rPr>
          <w:lang w:val="en-GB"/>
        </w:rPr>
        <w:t xml:space="preserve">hazards eligible to </w:t>
      </w:r>
      <w:r w:rsidR="00340DDC">
        <w:rPr>
          <w:lang w:val="en-GB"/>
        </w:rPr>
        <w:t xml:space="preserve">extended </w:t>
      </w:r>
      <w:r w:rsidR="00340DDC" w:rsidRPr="00FA6AA7">
        <w:rPr>
          <w:lang w:val="en-GB"/>
        </w:rPr>
        <w:t>PSA</w:t>
      </w:r>
      <w:r w:rsidR="00340DDC">
        <w:rPr>
          <w:lang w:val="en-GB"/>
        </w:rPr>
        <w:t xml:space="preserve"> analysis.</w:t>
      </w:r>
    </w:p>
    <w:p w:rsidR="000055AF" w:rsidRDefault="000055AF" w:rsidP="000055AF">
      <w:pPr>
        <w:rPr>
          <w:lang w:val="en-GB"/>
        </w:rPr>
      </w:pPr>
    </w:p>
    <w:p w:rsidR="00B858FE" w:rsidRDefault="00B858FE" w:rsidP="005079A3">
      <w:pPr>
        <w:pStyle w:val="Titre3"/>
        <w:rPr>
          <w:lang w:val="en-GB"/>
        </w:rPr>
      </w:pPr>
      <w:bookmarkStart w:id="464" w:name="_Toc473303582"/>
      <w:r>
        <w:rPr>
          <w:lang w:val="en-GB"/>
        </w:rPr>
        <w:t>Qualitative screening criteria</w:t>
      </w:r>
      <w:bookmarkEnd w:id="464"/>
    </w:p>
    <w:p w:rsidR="00B858FE" w:rsidRDefault="00B858FE" w:rsidP="000055AF">
      <w:pPr>
        <w:rPr>
          <w:lang w:val="en-GB"/>
        </w:rPr>
      </w:pPr>
    </w:p>
    <w:p w:rsidR="000055AF" w:rsidRDefault="000055AF" w:rsidP="000055AF">
      <w:pPr>
        <w:rPr>
          <w:lang w:val="en-GB"/>
        </w:rPr>
      </w:pPr>
      <w:r>
        <w:rPr>
          <w:lang w:val="en-GB"/>
        </w:rPr>
        <w:t xml:space="preserve">With regard to qualitative screening criteria that </w:t>
      </w:r>
      <w:r w:rsidR="003347EC">
        <w:rPr>
          <w:lang w:val="en-GB"/>
        </w:rPr>
        <w:t xml:space="preserve">can </w:t>
      </w:r>
      <w:r w:rsidR="003347EC" w:rsidRPr="003347EC">
        <w:rPr>
          <w:lang w:val="en-GB"/>
        </w:rPr>
        <w:t xml:space="preserve">be </w:t>
      </w:r>
      <w:r w:rsidRPr="003347EC">
        <w:rPr>
          <w:lang w:val="en-GB"/>
        </w:rPr>
        <w:t>used to screen out scenarios from</w:t>
      </w:r>
      <w:r>
        <w:rPr>
          <w:lang w:val="en-GB"/>
        </w:rPr>
        <w:t xml:space="preserve"> </w:t>
      </w:r>
      <w:r w:rsidR="003347EC">
        <w:rPr>
          <w:lang w:val="en-GB"/>
        </w:rPr>
        <w:t xml:space="preserve">an extended PSA </w:t>
      </w:r>
      <w:r w:rsidR="00F125EE">
        <w:rPr>
          <w:lang w:val="en-GB"/>
        </w:rPr>
        <w:t>(</w:t>
      </w:r>
      <w:r w:rsidR="00125AF4">
        <w:rPr>
          <w:lang w:val="en-GB"/>
        </w:rPr>
        <w:fldChar w:fldCharType="begin"/>
      </w:r>
      <w:r w:rsidR="00F125EE">
        <w:rPr>
          <w:lang w:val="en-GB"/>
        </w:rPr>
        <w:instrText xml:space="preserve"> REF _Ref384386913 \r \h </w:instrText>
      </w:r>
      <w:r w:rsidR="00125AF4">
        <w:rPr>
          <w:lang w:val="en-GB"/>
        </w:rPr>
      </w:r>
      <w:r w:rsidR="00125AF4">
        <w:rPr>
          <w:lang w:val="en-GB"/>
        </w:rPr>
        <w:fldChar w:fldCharType="separate"/>
      </w:r>
      <w:r w:rsidR="00E62976">
        <w:rPr>
          <w:lang w:val="en-GB"/>
        </w:rPr>
        <w:t>[4]</w:t>
      </w:r>
      <w:r w:rsidR="00125AF4">
        <w:rPr>
          <w:lang w:val="en-GB"/>
        </w:rPr>
        <w:fldChar w:fldCharType="end"/>
      </w:r>
      <w:r w:rsidR="00F125EE">
        <w:rPr>
          <w:lang w:val="en-GB"/>
        </w:rPr>
        <w:t xml:space="preserve">, </w:t>
      </w:r>
      <w:r w:rsidR="003040C2">
        <w:rPr>
          <w:lang w:val="en-GB"/>
        </w:rPr>
        <w:fldChar w:fldCharType="begin"/>
      </w:r>
      <w:r w:rsidR="003040C2">
        <w:rPr>
          <w:lang w:val="en-GB"/>
        </w:rPr>
        <w:instrText xml:space="preserve"> REF _Ref408832492 \w \h </w:instrText>
      </w:r>
      <w:r w:rsidR="003040C2">
        <w:rPr>
          <w:lang w:val="en-GB"/>
        </w:rPr>
      </w:r>
      <w:r w:rsidR="003040C2">
        <w:rPr>
          <w:lang w:val="en-GB"/>
        </w:rPr>
        <w:fldChar w:fldCharType="separate"/>
      </w:r>
      <w:r w:rsidR="00E62976">
        <w:rPr>
          <w:lang w:val="en-GB"/>
        </w:rPr>
        <w:t>[56]</w:t>
      </w:r>
      <w:r w:rsidR="003040C2">
        <w:rPr>
          <w:lang w:val="en-GB"/>
        </w:rPr>
        <w:fldChar w:fldCharType="end"/>
      </w:r>
      <w:r w:rsidR="00F125EE">
        <w:rPr>
          <w:lang w:val="en-GB"/>
        </w:rPr>
        <w:t xml:space="preserve">, see also section </w:t>
      </w:r>
      <w:r w:rsidR="00125AF4">
        <w:rPr>
          <w:lang w:val="en-GB"/>
        </w:rPr>
        <w:fldChar w:fldCharType="begin"/>
      </w:r>
      <w:r w:rsidR="00F125EE">
        <w:rPr>
          <w:lang w:val="en-GB"/>
        </w:rPr>
        <w:instrText xml:space="preserve"> REF _Ref423507037 \r \h </w:instrText>
      </w:r>
      <w:r w:rsidR="00125AF4">
        <w:rPr>
          <w:lang w:val="en-GB"/>
        </w:rPr>
      </w:r>
      <w:r w:rsidR="00125AF4">
        <w:rPr>
          <w:lang w:val="en-GB"/>
        </w:rPr>
        <w:fldChar w:fldCharType="separate"/>
      </w:r>
      <w:r w:rsidR="00E62976">
        <w:rPr>
          <w:lang w:val="en-GB"/>
        </w:rPr>
        <w:t>5.1.4</w:t>
      </w:r>
      <w:r w:rsidR="00125AF4">
        <w:rPr>
          <w:lang w:val="en-GB"/>
        </w:rPr>
        <w:fldChar w:fldCharType="end"/>
      </w:r>
      <w:r w:rsidR="00F125EE">
        <w:rPr>
          <w:lang w:val="en-GB"/>
        </w:rPr>
        <w:t xml:space="preserve">.), </w:t>
      </w:r>
      <w:r w:rsidR="007C3B20">
        <w:rPr>
          <w:lang w:val="en-GB"/>
        </w:rPr>
        <w:t xml:space="preserve">application of </w:t>
      </w:r>
      <w:r w:rsidR="00B858FE">
        <w:rPr>
          <w:lang w:val="en-GB"/>
        </w:rPr>
        <w:t>the</w:t>
      </w:r>
      <w:r>
        <w:rPr>
          <w:lang w:val="en-GB"/>
        </w:rPr>
        <w:t xml:space="preserve"> </w:t>
      </w:r>
      <w:r w:rsidR="00B858FE">
        <w:rPr>
          <w:lang w:val="en-GB"/>
        </w:rPr>
        <w:t xml:space="preserve">following </w:t>
      </w:r>
      <w:r>
        <w:rPr>
          <w:lang w:val="en-GB"/>
        </w:rPr>
        <w:t xml:space="preserve">criteria </w:t>
      </w:r>
      <w:r w:rsidR="00B858FE">
        <w:rPr>
          <w:lang w:val="en-GB"/>
        </w:rPr>
        <w:t xml:space="preserve">appear </w:t>
      </w:r>
      <w:r w:rsidR="00F125EE">
        <w:rPr>
          <w:lang w:val="en-GB"/>
        </w:rPr>
        <w:t xml:space="preserve">clearly </w:t>
      </w:r>
      <w:r w:rsidR="00B858FE">
        <w:rPr>
          <w:lang w:val="en-GB"/>
        </w:rPr>
        <w:t>to be a good practice:</w:t>
      </w:r>
    </w:p>
    <w:p w:rsidR="00317140" w:rsidRDefault="004102AA" w:rsidP="00E62976">
      <w:pPr>
        <w:numPr>
          <w:ilvl w:val="0"/>
          <w:numId w:val="65"/>
        </w:numPr>
        <w:rPr>
          <w:lang w:val="en-GB"/>
        </w:rPr>
      </w:pPr>
      <w:r>
        <w:rPr>
          <w:lang w:val="en-GB"/>
        </w:rPr>
        <w:t>t</w:t>
      </w:r>
      <w:r w:rsidR="000055AF" w:rsidRPr="00C70893">
        <w:rPr>
          <w:lang w:val="en-GB"/>
        </w:rPr>
        <w:t>he event poses no challenge to safety systems</w:t>
      </w:r>
      <w:r w:rsidR="00B858FE">
        <w:rPr>
          <w:lang w:val="en-GB"/>
        </w:rPr>
        <w:t>,</w:t>
      </w:r>
    </w:p>
    <w:p w:rsidR="00167660" w:rsidRDefault="004102AA" w:rsidP="00E62976">
      <w:pPr>
        <w:numPr>
          <w:ilvl w:val="0"/>
          <w:numId w:val="65"/>
        </w:numPr>
        <w:rPr>
          <w:lang w:val="en-GB"/>
        </w:rPr>
      </w:pPr>
      <w:r>
        <w:rPr>
          <w:lang w:val="en-GB"/>
        </w:rPr>
        <w:t>t</w:t>
      </w:r>
      <w:r w:rsidR="002929B0" w:rsidRPr="00317140">
        <w:rPr>
          <w:lang w:val="en-GB"/>
        </w:rPr>
        <w:t>he event is bounded by another initiating event</w:t>
      </w:r>
      <w:r w:rsidR="00937862">
        <w:rPr>
          <w:lang w:val="en-GB"/>
        </w:rPr>
        <w:t xml:space="preserve"> </w:t>
      </w:r>
      <w:r w:rsidR="00167660">
        <w:rPr>
          <w:lang w:val="en-GB"/>
        </w:rPr>
        <w:t xml:space="preserve">or the </w:t>
      </w:r>
      <w:r>
        <w:rPr>
          <w:lang w:val="en-GB"/>
        </w:rPr>
        <w:t xml:space="preserve">induced </w:t>
      </w:r>
      <w:r w:rsidR="00167660">
        <w:rPr>
          <w:lang w:val="en-GB"/>
        </w:rPr>
        <w:t xml:space="preserve">accident scenario is already included in the PSA (from other causes) </w:t>
      </w:r>
      <w:r w:rsidR="00937862">
        <w:rPr>
          <w:lang w:val="en-GB"/>
        </w:rPr>
        <w:t xml:space="preserve">(in that case, there is no need for a specific development of the PSA but </w:t>
      </w:r>
      <w:r w:rsidR="00B858FE">
        <w:rPr>
          <w:lang w:val="en-GB"/>
        </w:rPr>
        <w:t>its probability shall be considered</w:t>
      </w:r>
      <w:r w:rsidR="002929B0" w:rsidRPr="00317140">
        <w:rPr>
          <w:lang w:val="en-GB"/>
        </w:rPr>
        <w:t xml:space="preserve"> in conjunction with another event (</w:t>
      </w:r>
      <w:r w:rsidR="000E05A9" w:rsidRPr="00317140">
        <w:rPr>
          <w:lang w:val="en-GB"/>
        </w:rPr>
        <w:t xml:space="preserve">or </w:t>
      </w:r>
      <w:r w:rsidR="002929B0" w:rsidRPr="00317140">
        <w:rPr>
          <w:lang w:val="en-GB"/>
        </w:rPr>
        <w:t>group)</w:t>
      </w:r>
      <w:r w:rsidR="00937862">
        <w:rPr>
          <w:lang w:val="en-GB"/>
        </w:rPr>
        <w:t>)</w:t>
      </w:r>
      <w:r w:rsidR="003040C2">
        <w:rPr>
          <w:lang w:val="en-GB"/>
        </w:rPr>
        <w:t>.</w:t>
      </w:r>
    </w:p>
    <w:p w:rsidR="002929B0" w:rsidRPr="00317140" w:rsidRDefault="00037A67" w:rsidP="009803F6">
      <w:pPr>
        <w:rPr>
          <w:lang w:val="en-GB"/>
        </w:rPr>
      </w:pPr>
      <w:r>
        <w:rPr>
          <w:lang w:val="en-GB"/>
        </w:rPr>
        <w:t xml:space="preserve">If </w:t>
      </w:r>
      <w:r w:rsidR="004102AA">
        <w:rPr>
          <w:lang w:val="en-GB"/>
        </w:rPr>
        <w:t>t</w:t>
      </w:r>
      <w:r w:rsidR="00167660">
        <w:rPr>
          <w:lang w:val="en-GB"/>
        </w:rPr>
        <w:t xml:space="preserve">he event (external hazard) has the potential to induce catastrophic levels of destruction on the plant </w:t>
      </w:r>
      <w:r w:rsidR="001F2D9E">
        <w:rPr>
          <w:lang w:val="en-GB"/>
        </w:rPr>
        <w:t xml:space="preserve">and regional scale offsite consequences </w:t>
      </w:r>
      <w:r w:rsidR="009765B8">
        <w:rPr>
          <w:lang w:val="en-GB"/>
        </w:rPr>
        <w:t xml:space="preserve">such scenarios cannot be screened out from </w:t>
      </w:r>
      <w:r w:rsidR="004102AA">
        <w:rPr>
          <w:lang w:val="en-GB"/>
        </w:rPr>
        <w:t xml:space="preserve">the extended </w:t>
      </w:r>
      <w:r w:rsidR="009765B8">
        <w:rPr>
          <w:lang w:val="en-GB"/>
        </w:rPr>
        <w:t>PSA</w:t>
      </w:r>
      <w:r w:rsidR="004102AA">
        <w:rPr>
          <w:lang w:val="en-GB"/>
        </w:rPr>
        <w:t>.</w:t>
      </w:r>
    </w:p>
    <w:p w:rsidR="003251F0" w:rsidRDefault="003251F0" w:rsidP="005079A3">
      <w:pPr>
        <w:rPr>
          <w:lang w:val="en-GB"/>
        </w:rPr>
      </w:pPr>
    </w:p>
    <w:p w:rsidR="002929B0" w:rsidRDefault="00937862" w:rsidP="005079A3">
      <w:pPr>
        <w:rPr>
          <w:lang w:val="en-GB"/>
        </w:rPr>
      </w:pPr>
      <w:r>
        <w:rPr>
          <w:lang w:val="en-GB"/>
        </w:rPr>
        <w:t>T</w:t>
      </w:r>
      <w:r w:rsidR="002929B0">
        <w:rPr>
          <w:lang w:val="en-GB"/>
        </w:rPr>
        <w:t xml:space="preserve">he following qualitative screening criteria </w:t>
      </w:r>
      <w:r w:rsidR="00F125EE">
        <w:rPr>
          <w:lang w:val="en-GB"/>
        </w:rPr>
        <w:t xml:space="preserve">may be </w:t>
      </w:r>
      <w:r w:rsidR="00BA672A">
        <w:rPr>
          <w:lang w:val="en-GB"/>
        </w:rPr>
        <w:t>less relevant:</w:t>
      </w:r>
    </w:p>
    <w:p w:rsidR="00E62976" w:rsidRDefault="000055AF" w:rsidP="00E62976">
      <w:pPr>
        <w:numPr>
          <w:ilvl w:val="0"/>
          <w:numId w:val="69"/>
        </w:numPr>
        <w:rPr>
          <w:lang w:val="en-GB"/>
        </w:rPr>
      </w:pPr>
      <w:r>
        <w:rPr>
          <w:lang w:val="en-GB"/>
        </w:rPr>
        <w:t>The event is very slow in development and fully efficient protection can be put in place on the NPP against the event</w:t>
      </w:r>
      <w:r w:rsidR="005D0200">
        <w:rPr>
          <w:lang w:val="en-GB"/>
        </w:rPr>
        <w:t xml:space="preserve"> with a high level of confidence</w:t>
      </w:r>
      <w:r>
        <w:rPr>
          <w:lang w:val="en-GB"/>
        </w:rPr>
        <w:t>.</w:t>
      </w:r>
      <w:r>
        <w:rPr>
          <w:lang w:val="en-GB"/>
        </w:rPr>
        <w:tab/>
      </w:r>
      <w:r>
        <w:rPr>
          <w:lang w:val="en-GB"/>
        </w:rPr>
        <w:br/>
      </w:r>
      <w:r w:rsidR="00937862">
        <w:rPr>
          <w:lang w:val="en-GB"/>
        </w:rPr>
        <w:t>An</w:t>
      </w:r>
      <w:r>
        <w:rPr>
          <w:lang w:val="en-GB"/>
        </w:rPr>
        <w:t xml:space="preserve"> explicit</w:t>
      </w:r>
      <w:r w:rsidR="002929B0">
        <w:rPr>
          <w:lang w:val="en-GB"/>
        </w:rPr>
        <w:t>ly bounding assessment</w:t>
      </w:r>
      <w:r w:rsidR="00937862">
        <w:rPr>
          <w:lang w:val="en-GB"/>
        </w:rPr>
        <w:t xml:space="preserve"> shall be performed for</w:t>
      </w:r>
      <w:r>
        <w:rPr>
          <w:lang w:val="en-GB"/>
        </w:rPr>
        <w:t xml:space="preserve"> the traceability of </w:t>
      </w:r>
      <w:r w:rsidR="00722DA9">
        <w:rPr>
          <w:lang w:val="en-GB"/>
        </w:rPr>
        <w:t xml:space="preserve">the </w:t>
      </w:r>
      <w:r>
        <w:rPr>
          <w:lang w:val="en-GB"/>
        </w:rPr>
        <w:t>screening process</w:t>
      </w:r>
      <w:r w:rsidR="00937862">
        <w:rPr>
          <w:lang w:val="en-GB"/>
        </w:rPr>
        <w:t xml:space="preserve"> </w:t>
      </w:r>
      <w:r w:rsidR="00BA672A">
        <w:rPr>
          <w:lang w:val="en-GB"/>
        </w:rPr>
        <w:t xml:space="preserve">and emphasize in </w:t>
      </w:r>
      <w:r w:rsidR="00722DA9">
        <w:rPr>
          <w:lang w:val="en-GB"/>
        </w:rPr>
        <w:t xml:space="preserve">the </w:t>
      </w:r>
      <w:r w:rsidR="00BA672A">
        <w:rPr>
          <w:lang w:val="en-GB"/>
        </w:rPr>
        <w:t xml:space="preserve">PSA approach the importance of the “fully efficient protection”. This information can </w:t>
      </w:r>
      <w:r w:rsidR="00BA672A" w:rsidRPr="00BA672A">
        <w:rPr>
          <w:lang w:val="en-GB"/>
        </w:rPr>
        <w:t xml:space="preserve">be </w:t>
      </w:r>
      <w:r w:rsidR="00722DA9">
        <w:rPr>
          <w:lang w:val="en-GB"/>
        </w:rPr>
        <w:t>acquired</w:t>
      </w:r>
      <w:r w:rsidR="00722DA9" w:rsidRPr="00BA672A">
        <w:rPr>
          <w:lang w:val="en-GB"/>
        </w:rPr>
        <w:t xml:space="preserve"> </w:t>
      </w:r>
      <w:r w:rsidR="00BA672A" w:rsidRPr="00BA672A">
        <w:rPr>
          <w:lang w:val="en-GB"/>
        </w:rPr>
        <w:t>during NPP normal operation (maintenance, tests for the protection …).</w:t>
      </w:r>
    </w:p>
    <w:p w:rsidR="00E62976" w:rsidRDefault="000055AF" w:rsidP="00E62976">
      <w:pPr>
        <w:numPr>
          <w:ilvl w:val="0"/>
          <w:numId w:val="69"/>
        </w:numPr>
        <w:rPr>
          <w:lang w:val="en-GB"/>
        </w:rPr>
      </w:pPr>
      <w:r w:rsidRPr="00E62976">
        <w:rPr>
          <w:lang w:val="en-GB"/>
        </w:rPr>
        <w:t xml:space="preserve">The event has a low frequency of occurrence and several trains (e.g. two </w:t>
      </w:r>
      <w:r w:rsidR="003040C2" w:rsidRPr="00E62976">
        <w:rPr>
          <w:lang w:val="en-GB"/>
        </w:rPr>
        <w:fldChar w:fldCharType="begin"/>
      </w:r>
      <w:r w:rsidR="003040C2" w:rsidRPr="00E62976">
        <w:rPr>
          <w:lang w:val="en-GB"/>
        </w:rPr>
        <w:instrText xml:space="preserve"> REF _Ref408832492 \w \h </w:instrText>
      </w:r>
      <w:r w:rsidR="003040C2" w:rsidRPr="00E62976">
        <w:rPr>
          <w:lang w:val="en-GB"/>
        </w:rPr>
      </w:r>
      <w:r w:rsidR="003040C2" w:rsidRPr="00E62976">
        <w:rPr>
          <w:lang w:val="en-GB"/>
        </w:rPr>
        <w:fldChar w:fldCharType="separate"/>
      </w:r>
      <w:r w:rsidR="00E62976">
        <w:rPr>
          <w:lang w:val="en-GB"/>
        </w:rPr>
        <w:t>[56]</w:t>
      </w:r>
      <w:r w:rsidR="003040C2" w:rsidRPr="00E62976">
        <w:rPr>
          <w:lang w:val="en-GB"/>
        </w:rPr>
        <w:fldChar w:fldCharType="end"/>
      </w:r>
      <w:r w:rsidRPr="00E62976">
        <w:rPr>
          <w:lang w:val="en-GB"/>
        </w:rPr>
        <w:t xml:space="preserve">) of relevant safety systems are </w:t>
      </w:r>
      <w:r w:rsidR="00722DA9" w:rsidRPr="00E62976">
        <w:rPr>
          <w:lang w:val="en-GB"/>
        </w:rPr>
        <w:t>unaffected by the event</w:t>
      </w:r>
      <w:r w:rsidRPr="00E62976">
        <w:rPr>
          <w:lang w:val="en-GB"/>
        </w:rPr>
        <w:t xml:space="preserve">. </w:t>
      </w:r>
      <w:r w:rsidRPr="00E62976">
        <w:rPr>
          <w:lang w:val="en-GB"/>
        </w:rPr>
        <w:tab/>
      </w:r>
      <w:r w:rsidRPr="00E62976">
        <w:rPr>
          <w:lang w:val="en-GB"/>
        </w:rPr>
        <w:br/>
      </w:r>
      <w:bookmarkStart w:id="465" w:name="_Ref446676114"/>
    </w:p>
    <w:p w:rsidR="00F125EE" w:rsidRPr="00E62976" w:rsidRDefault="00642FC3" w:rsidP="00E62976">
      <w:pPr>
        <w:pStyle w:val="Titre3"/>
        <w:rPr>
          <w:lang w:val="en-GB"/>
        </w:rPr>
      </w:pPr>
      <w:bookmarkStart w:id="466" w:name="_Toc473303583"/>
      <w:r w:rsidRPr="00E62976">
        <w:rPr>
          <w:lang w:val="en-GB"/>
        </w:rPr>
        <w:t>Quantitative</w:t>
      </w:r>
      <w:r w:rsidR="00F125EE" w:rsidRPr="00E62976">
        <w:rPr>
          <w:lang w:val="en-GB"/>
        </w:rPr>
        <w:t xml:space="preserve"> screening criteria</w:t>
      </w:r>
      <w:bookmarkEnd w:id="465"/>
      <w:bookmarkEnd w:id="466"/>
    </w:p>
    <w:p w:rsidR="00F125EE" w:rsidRDefault="00F125EE">
      <w:pPr>
        <w:rPr>
          <w:lang w:val="en-GB"/>
        </w:rPr>
      </w:pPr>
    </w:p>
    <w:p w:rsidR="009537C7" w:rsidRDefault="007C3B20" w:rsidP="005079A3">
      <w:pPr>
        <w:rPr>
          <w:lang w:val="en-GB"/>
        </w:rPr>
      </w:pPr>
      <w:r>
        <w:rPr>
          <w:lang w:val="en-GB"/>
        </w:rPr>
        <w:t>N</w:t>
      </w:r>
      <w:r w:rsidR="00287716">
        <w:rPr>
          <w:lang w:val="en-GB"/>
        </w:rPr>
        <w:t>umerical</w:t>
      </w:r>
      <w:r>
        <w:rPr>
          <w:lang w:val="en-GB"/>
        </w:rPr>
        <w:t xml:space="preserve"> probabilistic safety targets are</w:t>
      </w:r>
      <w:r w:rsidR="00287716">
        <w:rPr>
          <w:lang w:val="en-GB"/>
        </w:rPr>
        <w:t xml:space="preserve"> </w:t>
      </w:r>
      <w:r>
        <w:rPr>
          <w:lang w:val="en-GB"/>
        </w:rPr>
        <w:t>applied differently depending on</w:t>
      </w:r>
      <w:r w:rsidR="00287716">
        <w:rPr>
          <w:lang w:val="en-GB"/>
        </w:rPr>
        <w:t xml:space="preserve"> countries. Interpretation of quantitative screening criteria may </w:t>
      </w:r>
      <w:r w:rsidR="009537C7">
        <w:rPr>
          <w:lang w:val="en-GB"/>
        </w:rPr>
        <w:t xml:space="preserve">also </w:t>
      </w:r>
      <w:r w:rsidR="00287716">
        <w:rPr>
          <w:lang w:val="en-GB"/>
        </w:rPr>
        <w:t>differ from one country to the other.</w:t>
      </w:r>
    </w:p>
    <w:p w:rsidR="009537C7" w:rsidRDefault="009537C7" w:rsidP="005079A3">
      <w:pPr>
        <w:rPr>
          <w:lang w:val="en-GB"/>
        </w:rPr>
      </w:pPr>
    </w:p>
    <w:p w:rsidR="00846960" w:rsidRDefault="00287716" w:rsidP="005079A3">
      <w:pPr>
        <w:rPr>
          <w:lang w:val="en-GB"/>
        </w:rPr>
      </w:pPr>
      <w:r>
        <w:rPr>
          <w:lang w:val="en-GB"/>
        </w:rPr>
        <w:t>Nevertheless t</w:t>
      </w:r>
      <w:r w:rsidR="00846960">
        <w:rPr>
          <w:lang w:val="en-GB"/>
        </w:rPr>
        <w:t xml:space="preserve">he following approach for defining quantitative screening criteria </w:t>
      </w:r>
      <w:r w:rsidR="009537C7">
        <w:rPr>
          <w:lang w:val="en-GB"/>
        </w:rPr>
        <w:t xml:space="preserve">for the selection of PSA initiating events </w:t>
      </w:r>
      <w:r w:rsidR="00846960">
        <w:rPr>
          <w:lang w:val="en-GB"/>
        </w:rPr>
        <w:t>is proposed</w:t>
      </w:r>
      <w:r>
        <w:rPr>
          <w:lang w:val="en-GB"/>
        </w:rPr>
        <w:t xml:space="preserve"> as a</w:t>
      </w:r>
      <w:r w:rsidR="00340DDC">
        <w:rPr>
          <w:lang w:val="en-GB"/>
        </w:rPr>
        <w:t>n envelop</w:t>
      </w:r>
      <w:r w:rsidR="00722DA9">
        <w:rPr>
          <w:lang w:val="en-GB"/>
        </w:rPr>
        <w:t>ing</w:t>
      </w:r>
      <w:r>
        <w:rPr>
          <w:lang w:val="en-GB"/>
        </w:rPr>
        <w:t xml:space="preserve"> good practice</w:t>
      </w:r>
      <w:r w:rsidR="00846960">
        <w:rPr>
          <w:lang w:val="en-GB"/>
        </w:rPr>
        <w:t>.</w:t>
      </w:r>
    </w:p>
    <w:p w:rsidR="00705D76" w:rsidRPr="008B6CBF" w:rsidRDefault="00705D76" w:rsidP="00E62976">
      <w:pPr>
        <w:numPr>
          <w:ilvl w:val="0"/>
          <w:numId w:val="70"/>
        </w:numPr>
        <w:rPr>
          <w:lang w:val="en-GB"/>
        </w:rPr>
      </w:pPr>
      <w:r>
        <w:rPr>
          <w:lang w:val="en-GB"/>
        </w:rPr>
        <w:t xml:space="preserve">Based on </w:t>
      </w:r>
      <w:r w:rsidRPr="008B6CBF">
        <w:rPr>
          <w:lang w:val="en-GB"/>
        </w:rPr>
        <w:t>regulatory acceptance criteria or established international guidance for CDF/FDF (e.g. 10</w:t>
      </w:r>
      <w:r w:rsidRPr="008B6CBF">
        <w:rPr>
          <w:vertAlign w:val="superscript"/>
          <w:lang w:val="en-GB"/>
        </w:rPr>
        <w:t>-5</w:t>
      </w:r>
      <w:r w:rsidRPr="008B6CBF">
        <w:rPr>
          <w:lang w:val="en-GB"/>
        </w:rPr>
        <w:t>/</w:t>
      </w:r>
      <w:r w:rsidR="008B6CBF" w:rsidRPr="008B6CBF">
        <w:rPr>
          <w:lang w:val="en-GB"/>
        </w:rPr>
        <w:t>a</w:t>
      </w:r>
      <w:r w:rsidR="00C55D2C" w:rsidRPr="008B6CBF">
        <w:rPr>
          <w:lang w:val="en-GB"/>
        </w:rPr>
        <w:t xml:space="preserve"> for new reactor</w:t>
      </w:r>
      <w:r w:rsidR="00340DDC" w:rsidRPr="008B6CBF">
        <w:rPr>
          <w:lang w:val="en-GB"/>
        </w:rPr>
        <w:t>s</w:t>
      </w:r>
      <w:r w:rsidRPr="008B6CBF">
        <w:rPr>
          <w:lang w:val="en-GB"/>
        </w:rPr>
        <w:t xml:space="preserve">) and LRF/LERF, the maximum screening </w:t>
      </w:r>
      <w:r w:rsidR="00287716" w:rsidRPr="008B6CBF">
        <w:rPr>
          <w:lang w:val="en-GB"/>
        </w:rPr>
        <w:t>quantitative criteria</w:t>
      </w:r>
      <w:r w:rsidRPr="008B6CBF">
        <w:rPr>
          <w:lang w:val="en-GB"/>
        </w:rPr>
        <w:t xml:space="preserve"> shall be set to 1 % of that value. This results in the following minimum </w:t>
      </w:r>
      <w:r w:rsidR="00287716" w:rsidRPr="008B6CBF">
        <w:rPr>
          <w:lang w:val="en-GB"/>
        </w:rPr>
        <w:t>criteria:</w:t>
      </w:r>
    </w:p>
    <w:p w:rsidR="00705D76" w:rsidRPr="008B6CBF" w:rsidRDefault="00705D76" w:rsidP="00E62976">
      <w:pPr>
        <w:numPr>
          <w:ilvl w:val="1"/>
          <w:numId w:val="70"/>
        </w:numPr>
        <w:rPr>
          <w:lang w:val="en-GB"/>
        </w:rPr>
      </w:pPr>
      <w:r w:rsidRPr="008B6CBF">
        <w:rPr>
          <w:lang w:val="en-GB"/>
        </w:rPr>
        <w:t>FDF</w:t>
      </w:r>
      <w:r w:rsidRPr="008B6CBF">
        <w:rPr>
          <w:vertAlign w:val="subscript"/>
          <w:lang w:val="en-GB"/>
        </w:rPr>
        <w:t>event</w:t>
      </w:r>
      <w:r w:rsidRPr="008B6CBF">
        <w:rPr>
          <w:lang w:val="en-GB"/>
        </w:rPr>
        <w:t xml:space="preserve"> &lt; 10</w:t>
      </w:r>
      <w:r w:rsidRPr="008B6CBF">
        <w:rPr>
          <w:vertAlign w:val="superscript"/>
          <w:lang w:val="en-GB"/>
        </w:rPr>
        <w:t>-7</w:t>
      </w:r>
      <w:r w:rsidR="008B6CBF" w:rsidRPr="008B6CBF">
        <w:rPr>
          <w:lang w:val="en-GB"/>
        </w:rPr>
        <w:t>/a</w:t>
      </w:r>
      <w:r w:rsidRPr="008B6CBF">
        <w:rPr>
          <w:lang w:val="en-GB"/>
        </w:rPr>
        <w:tab/>
      </w:r>
      <w:r w:rsidRPr="008B6CBF">
        <w:rPr>
          <w:lang w:val="en-GB"/>
        </w:rPr>
        <w:br/>
        <w:t>(RMF</w:t>
      </w:r>
      <w:r w:rsidRPr="008B6CBF">
        <w:rPr>
          <w:vertAlign w:val="subscript"/>
          <w:lang w:val="en-GB"/>
        </w:rPr>
        <w:t>event</w:t>
      </w:r>
      <w:r w:rsidRPr="008B6CBF">
        <w:rPr>
          <w:lang w:val="en-GB"/>
        </w:rPr>
        <w:t xml:space="preserve"> &lt; 10</w:t>
      </w:r>
      <w:r w:rsidRPr="008B6CBF">
        <w:rPr>
          <w:vertAlign w:val="superscript"/>
          <w:lang w:val="en-GB"/>
        </w:rPr>
        <w:t>-7</w:t>
      </w:r>
      <w:r w:rsidR="00494D47">
        <w:rPr>
          <w:lang w:val="en-GB"/>
        </w:rPr>
        <w:t>/a</w:t>
      </w:r>
      <w:r w:rsidRPr="008B6CBF">
        <w:rPr>
          <w:lang w:val="en-GB"/>
        </w:rPr>
        <w:t>)</w:t>
      </w:r>
    </w:p>
    <w:p w:rsidR="00705D76" w:rsidRPr="008B6CBF" w:rsidRDefault="00705D76" w:rsidP="00E62976">
      <w:pPr>
        <w:numPr>
          <w:ilvl w:val="1"/>
          <w:numId w:val="70"/>
        </w:numPr>
        <w:rPr>
          <w:lang w:val="en-GB"/>
        </w:rPr>
      </w:pPr>
      <w:r w:rsidRPr="008B6CBF">
        <w:rPr>
          <w:lang w:val="en-GB"/>
        </w:rPr>
        <w:t>LRF</w:t>
      </w:r>
      <w:r w:rsidRPr="008B6CBF">
        <w:rPr>
          <w:vertAlign w:val="subscript"/>
          <w:lang w:val="en-GB"/>
        </w:rPr>
        <w:t>event</w:t>
      </w:r>
      <w:r w:rsidRPr="008B6CBF">
        <w:rPr>
          <w:lang w:val="en-GB"/>
        </w:rPr>
        <w:t xml:space="preserve"> &lt; 10</w:t>
      </w:r>
      <w:r w:rsidRPr="008B6CBF">
        <w:rPr>
          <w:vertAlign w:val="superscript"/>
          <w:lang w:val="en-GB"/>
        </w:rPr>
        <w:t>-8</w:t>
      </w:r>
      <w:r w:rsidR="008B6CBF" w:rsidRPr="008B6CBF">
        <w:rPr>
          <w:lang w:val="en-GB"/>
        </w:rPr>
        <w:t>/a</w:t>
      </w:r>
    </w:p>
    <w:p w:rsidR="00705D76" w:rsidRPr="008B6CBF" w:rsidRDefault="00705D76" w:rsidP="00E62976">
      <w:pPr>
        <w:numPr>
          <w:ilvl w:val="1"/>
          <w:numId w:val="70"/>
        </w:numPr>
        <w:rPr>
          <w:lang w:val="en-GB"/>
        </w:rPr>
      </w:pPr>
      <w:r w:rsidRPr="008B6CBF">
        <w:rPr>
          <w:lang w:val="en-GB"/>
        </w:rPr>
        <w:t>ERF</w:t>
      </w:r>
      <w:r w:rsidRPr="008B6CBF">
        <w:rPr>
          <w:vertAlign w:val="subscript"/>
          <w:lang w:val="en-GB"/>
        </w:rPr>
        <w:t>event</w:t>
      </w:r>
      <w:r w:rsidRPr="008B6CBF">
        <w:rPr>
          <w:lang w:val="en-GB"/>
        </w:rPr>
        <w:t xml:space="preserve"> &lt; 10</w:t>
      </w:r>
      <w:r w:rsidRPr="008B6CBF">
        <w:rPr>
          <w:vertAlign w:val="superscript"/>
          <w:lang w:val="en-GB"/>
        </w:rPr>
        <w:t>-8</w:t>
      </w:r>
      <w:r w:rsidR="008B6CBF" w:rsidRPr="008B6CBF">
        <w:rPr>
          <w:lang w:val="en-GB"/>
        </w:rPr>
        <w:t>/a</w:t>
      </w:r>
      <w:r w:rsidR="00E16886" w:rsidRPr="008B6CBF">
        <w:rPr>
          <w:lang w:val="en-GB"/>
        </w:rPr>
        <w:tab/>
      </w:r>
      <w:r w:rsidR="00E16886" w:rsidRPr="008B6CBF">
        <w:rPr>
          <w:lang w:val="en-GB"/>
        </w:rPr>
        <w:br/>
        <w:t>(LERF</w:t>
      </w:r>
      <w:r w:rsidR="00E16886" w:rsidRPr="008B6CBF">
        <w:rPr>
          <w:vertAlign w:val="subscript"/>
          <w:lang w:val="en-GB"/>
        </w:rPr>
        <w:t>event</w:t>
      </w:r>
      <w:r w:rsidR="00E16886" w:rsidRPr="008B6CBF">
        <w:rPr>
          <w:lang w:val="en-GB"/>
        </w:rPr>
        <w:t xml:space="preserve"> &lt; 10</w:t>
      </w:r>
      <w:r w:rsidR="00E16886" w:rsidRPr="008B6CBF">
        <w:rPr>
          <w:vertAlign w:val="superscript"/>
          <w:lang w:val="en-GB"/>
        </w:rPr>
        <w:t>-8</w:t>
      </w:r>
      <w:r w:rsidR="008B6CBF" w:rsidRPr="008B6CBF">
        <w:rPr>
          <w:lang w:val="en-GB"/>
        </w:rPr>
        <w:t>/a</w:t>
      </w:r>
      <w:r w:rsidR="00E16886" w:rsidRPr="008B6CBF">
        <w:rPr>
          <w:lang w:val="en-GB"/>
        </w:rPr>
        <w:t>)</w:t>
      </w:r>
    </w:p>
    <w:p w:rsidR="00E16886" w:rsidRDefault="00287716" w:rsidP="00E62976">
      <w:pPr>
        <w:numPr>
          <w:ilvl w:val="0"/>
          <w:numId w:val="70"/>
        </w:numPr>
        <w:rPr>
          <w:lang w:val="en-GB"/>
        </w:rPr>
      </w:pPr>
      <w:r w:rsidRPr="008B6CBF">
        <w:rPr>
          <w:lang w:val="en-GB"/>
        </w:rPr>
        <w:t xml:space="preserve">If </w:t>
      </w:r>
      <w:r w:rsidR="007C3B20" w:rsidRPr="008B6CBF">
        <w:rPr>
          <w:lang w:val="en-GB"/>
        </w:rPr>
        <w:t xml:space="preserve">L1 and L2 </w:t>
      </w:r>
      <w:r w:rsidR="00E16886" w:rsidRPr="008B6CBF">
        <w:rPr>
          <w:lang w:val="en-GB"/>
        </w:rPr>
        <w:t xml:space="preserve">PSA results </w:t>
      </w:r>
      <w:r w:rsidRPr="008B6CBF">
        <w:rPr>
          <w:lang w:val="en-GB"/>
        </w:rPr>
        <w:t xml:space="preserve">are </w:t>
      </w:r>
      <w:r w:rsidR="007C3B20" w:rsidRPr="008B6CBF">
        <w:rPr>
          <w:lang w:val="en-GB"/>
        </w:rPr>
        <w:t>already</w:t>
      </w:r>
      <w:r w:rsidR="007C3B20">
        <w:rPr>
          <w:lang w:val="en-GB"/>
        </w:rPr>
        <w:t xml:space="preserve"> </w:t>
      </w:r>
      <w:r>
        <w:rPr>
          <w:lang w:val="en-GB"/>
        </w:rPr>
        <w:t xml:space="preserve">available, then </w:t>
      </w:r>
      <w:r w:rsidR="00E16886">
        <w:rPr>
          <w:lang w:val="en-GB"/>
        </w:rPr>
        <w:t xml:space="preserve">the above limits </w:t>
      </w:r>
      <w:r>
        <w:rPr>
          <w:lang w:val="en-GB"/>
        </w:rPr>
        <w:t xml:space="preserve">shall be reduced to </w:t>
      </w:r>
      <w:r w:rsidR="00E16886">
        <w:rPr>
          <w:lang w:val="en-GB"/>
        </w:rPr>
        <w:t>1 % of the overall PSA results</w:t>
      </w:r>
      <w:r>
        <w:rPr>
          <w:lang w:val="en-GB"/>
        </w:rPr>
        <w:t xml:space="preserve"> </w:t>
      </w:r>
      <w:r w:rsidR="007C3B20">
        <w:rPr>
          <w:lang w:val="en-GB"/>
        </w:rPr>
        <w:t xml:space="preserve">(if relevant) </w:t>
      </w:r>
      <w:r>
        <w:rPr>
          <w:lang w:val="en-GB"/>
        </w:rPr>
        <w:t>or kept unchanged</w:t>
      </w:r>
      <w:r w:rsidR="00BA3756">
        <w:rPr>
          <w:lang w:val="en-GB"/>
        </w:rPr>
        <w:t>:</w:t>
      </w:r>
    </w:p>
    <w:p w:rsidR="00047954" w:rsidRDefault="00047954" w:rsidP="00E62976">
      <w:pPr>
        <w:numPr>
          <w:ilvl w:val="1"/>
          <w:numId w:val="70"/>
        </w:numPr>
        <w:rPr>
          <w:lang w:val="en-GB"/>
        </w:rPr>
      </w:pPr>
      <w:r>
        <w:rPr>
          <w:lang w:val="en-GB"/>
        </w:rPr>
        <w:t>FDF</w:t>
      </w:r>
      <w:r w:rsidRPr="007A48DD">
        <w:rPr>
          <w:vertAlign w:val="subscript"/>
          <w:lang w:val="en-GB"/>
        </w:rPr>
        <w:t>event</w:t>
      </w:r>
      <w:r>
        <w:rPr>
          <w:lang w:val="en-GB"/>
        </w:rPr>
        <w:t xml:space="preserve"> &lt; </w:t>
      </w:r>
      <w:r w:rsidR="00BD128C">
        <w:rPr>
          <w:lang w:val="en-GB"/>
        </w:rPr>
        <w:t xml:space="preserve">1% </w:t>
      </w:r>
      <w:r>
        <w:rPr>
          <w:lang w:val="en-GB"/>
        </w:rPr>
        <w:t>FDF</w:t>
      </w:r>
      <w:r w:rsidRPr="005079A3">
        <w:rPr>
          <w:vertAlign w:val="subscript"/>
          <w:lang w:val="en-GB"/>
        </w:rPr>
        <w:t>overall</w:t>
      </w:r>
      <w:r>
        <w:rPr>
          <w:vertAlign w:val="subscript"/>
          <w:lang w:val="en-GB"/>
        </w:rPr>
        <w:t xml:space="preserve"> </w:t>
      </w:r>
      <w:r w:rsidR="00BD128C">
        <w:rPr>
          <w:vertAlign w:val="subscript"/>
          <w:lang w:val="en-GB"/>
        </w:rPr>
        <w:t xml:space="preserve"> </w:t>
      </w:r>
      <w:r w:rsidR="00BD128C" w:rsidRPr="005079A3">
        <w:rPr>
          <w:lang w:val="en-GB"/>
        </w:rPr>
        <w:t xml:space="preserve">if </w:t>
      </w:r>
      <w:r>
        <w:rPr>
          <w:lang w:val="en-GB"/>
        </w:rPr>
        <w:t>&lt; 10</w:t>
      </w:r>
      <w:r w:rsidRPr="007A48DD">
        <w:rPr>
          <w:vertAlign w:val="superscript"/>
          <w:lang w:val="en-GB"/>
        </w:rPr>
        <w:t>-7</w:t>
      </w:r>
      <w:r w:rsidR="008B6CBF" w:rsidRPr="008B6CBF">
        <w:rPr>
          <w:lang w:val="en-GB"/>
        </w:rPr>
        <w:t>/a</w:t>
      </w:r>
      <w:r>
        <w:rPr>
          <w:lang w:val="en-GB"/>
        </w:rPr>
        <w:tab/>
      </w:r>
      <w:r>
        <w:rPr>
          <w:lang w:val="en-GB"/>
        </w:rPr>
        <w:br/>
        <w:t>(RMF</w:t>
      </w:r>
      <w:r w:rsidRPr="007A48DD">
        <w:rPr>
          <w:vertAlign w:val="subscript"/>
          <w:lang w:val="en-GB"/>
        </w:rPr>
        <w:t>event</w:t>
      </w:r>
      <w:r>
        <w:rPr>
          <w:lang w:val="en-GB"/>
        </w:rPr>
        <w:t xml:space="preserve"> &lt; </w:t>
      </w:r>
      <w:r w:rsidR="00BD128C">
        <w:rPr>
          <w:lang w:val="en-GB"/>
        </w:rPr>
        <w:t xml:space="preserve">1% </w:t>
      </w:r>
      <w:r>
        <w:rPr>
          <w:lang w:val="en-GB"/>
        </w:rPr>
        <w:t>RMF</w:t>
      </w:r>
      <w:r w:rsidRPr="007A48DD">
        <w:rPr>
          <w:vertAlign w:val="subscript"/>
          <w:lang w:val="en-GB"/>
        </w:rPr>
        <w:t>overall</w:t>
      </w:r>
      <w:r w:rsidRPr="005079A3">
        <w:rPr>
          <w:lang w:val="en-GB"/>
        </w:rPr>
        <w:t xml:space="preserve"> </w:t>
      </w:r>
      <w:r w:rsidR="00BD128C" w:rsidRPr="00E86A20">
        <w:rPr>
          <w:lang w:val="en-GB"/>
        </w:rPr>
        <w:t xml:space="preserve">if </w:t>
      </w:r>
      <w:r>
        <w:rPr>
          <w:lang w:val="en-GB"/>
        </w:rPr>
        <w:t>&lt; 10</w:t>
      </w:r>
      <w:r w:rsidRPr="007A48DD">
        <w:rPr>
          <w:vertAlign w:val="superscript"/>
          <w:lang w:val="en-GB"/>
        </w:rPr>
        <w:t>-7</w:t>
      </w:r>
      <w:r w:rsidR="008B6CBF" w:rsidRPr="008B6CBF">
        <w:rPr>
          <w:lang w:val="en-GB"/>
        </w:rPr>
        <w:t>/a</w:t>
      </w:r>
      <w:r>
        <w:rPr>
          <w:lang w:val="en-GB"/>
        </w:rPr>
        <w:t>)</w:t>
      </w:r>
    </w:p>
    <w:p w:rsidR="00047954" w:rsidRDefault="00047954" w:rsidP="00E62976">
      <w:pPr>
        <w:numPr>
          <w:ilvl w:val="1"/>
          <w:numId w:val="70"/>
        </w:numPr>
        <w:rPr>
          <w:lang w:val="en-GB"/>
        </w:rPr>
      </w:pPr>
      <w:r>
        <w:rPr>
          <w:lang w:val="en-GB"/>
        </w:rPr>
        <w:t>LRF</w:t>
      </w:r>
      <w:r w:rsidRPr="007A48DD">
        <w:rPr>
          <w:vertAlign w:val="subscript"/>
          <w:lang w:val="en-GB"/>
        </w:rPr>
        <w:t>event</w:t>
      </w:r>
      <w:r>
        <w:rPr>
          <w:lang w:val="en-GB"/>
        </w:rPr>
        <w:t xml:space="preserve"> &lt; </w:t>
      </w:r>
      <w:r w:rsidR="00BD128C">
        <w:rPr>
          <w:lang w:val="en-GB"/>
        </w:rPr>
        <w:t xml:space="preserve">1% </w:t>
      </w:r>
      <w:r>
        <w:rPr>
          <w:lang w:val="en-GB"/>
        </w:rPr>
        <w:t>LRF</w:t>
      </w:r>
      <w:r w:rsidRPr="007A48DD">
        <w:rPr>
          <w:vertAlign w:val="subscript"/>
          <w:lang w:val="en-GB"/>
        </w:rPr>
        <w:t>overall</w:t>
      </w:r>
      <w:r>
        <w:rPr>
          <w:lang w:val="en-GB"/>
        </w:rPr>
        <w:t xml:space="preserve"> </w:t>
      </w:r>
      <w:r w:rsidR="00BD128C" w:rsidRPr="00E86A20">
        <w:rPr>
          <w:lang w:val="en-GB"/>
        </w:rPr>
        <w:t xml:space="preserve">if </w:t>
      </w:r>
      <w:r>
        <w:rPr>
          <w:lang w:val="en-GB"/>
        </w:rPr>
        <w:t>&lt; 10</w:t>
      </w:r>
      <w:r w:rsidRPr="007A48DD">
        <w:rPr>
          <w:vertAlign w:val="superscript"/>
          <w:lang w:val="en-GB"/>
        </w:rPr>
        <w:t>-8</w:t>
      </w:r>
      <w:r w:rsidR="008B6CBF" w:rsidRPr="008B6CBF">
        <w:rPr>
          <w:lang w:val="en-GB"/>
        </w:rPr>
        <w:t>/a</w:t>
      </w:r>
    </w:p>
    <w:p w:rsidR="00047954" w:rsidRDefault="00047954" w:rsidP="00E62976">
      <w:pPr>
        <w:numPr>
          <w:ilvl w:val="1"/>
          <w:numId w:val="70"/>
        </w:numPr>
        <w:rPr>
          <w:lang w:val="en-GB"/>
        </w:rPr>
      </w:pPr>
      <w:r>
        <w:rPr>
          <w:lang w:val="en-GB"/>
        </w:rPr>
        <w:t>ERF</w:t>
      </w:r>
      <w:r w:rsidRPr="007A48DD">
        <w:rPr>
          <w:vertAlign w:val="subscript"/>
          <w:lang w:val="en-GB"/>
        </w:rPr>
        <w:t>event</w:t>
      </w:r>
      <w:r>
        <w:rPr>
          <w:lang w:val="en-GB"/>
        </w:rPr>
        <w:t xml:space="preserve"> &lt; </w:t>
      </w:r>
      <w:r w:rsidR="00BD128C">
        <w:rPr>
          <w:lang w:val="en-GB"/>
        </w:rPr>
        <w:t xml:space="preserve">1% </w:t>
      </w:r>
      <w:r>
        <w:rPr>
          <w:lang w:val="en-GB"/>
        </w:rPr>
        <w:t>ERF</w:t>
      </w:r>
      <w:r w:rsidRPr="007A48DD">
        <w:rPr>
          <w:vertAlign w:val="subscript"/>
          <w:lang w:val="en-GB"/>
        </w:rPr>
        <w:t>overall</w:t>
      </w:r>
      <w:r>
        <w:rPr>
          <w:lang w:val="en-GB"/>
        </w:rPr>
        <w:t xml:space="preserve"> </w:t>
      </w:r>
      <w:r w:rsidR="00BD128C" w:rsidRPr="00E86A20">
        <w:rPr>
          <w:lang w:val="en-GB"/>
        </w:rPr>
        <w:t xml:space="preserve">if </w:t>
      </w:r>
      <w:r>
        <w:rPr>
          <w:lang w:val="en-GB"/>
        </w:rPr>
        <w:t>&lt; 10</w:t>
      </w:r>
      <w:r w:rsidRPr="007A48DD">
        <w:rPr>
          <w:vertAlign w:val="superscript"/>
          <w:lang w:val="en-GB"/>
        </w:rPr>
        <w:t>-8</w:t>
      </w:r>
      <w:r w:rsidR="008B6CBF" w:rsidRPr="008B6CBF">
        <w:rPr>
          <w:lang w:val="en-GB"/>
        </w:rPr>
        <w:t>/a</w:t>
      </w:r>
      <w:r>
        <w:rPr>
          <w:lang w:val="en-GB"/>
        </w:rPr>
        <w:tab/>
      </w:r>
      <w:r>
        <w:rPr>
          <w:lang w:val="en-GB"/>
        </w:rPr>
        <w:br/>
        <w:t>(LERF</w:t>
      </w:r>
      <w:r w:rsidRPr="007A48DD">
        <w:rPr>
          <w:vertAlign w:val="subscript"/>
          <w:lang w:val="en-GB"/>
        </w:rPr>
        <w:t>event</w:t>
      </w:r>
      <w:r>
        <w:rPr>
          <w:lang w:val="en-GB"/>
        </w:rPr>
        <w:t xml:space="preserve"> &lt; </w:t>
      </w:r>
      <w:r w:rsidR="00BD128C">
        <w:rPr>
          <w:lang w:val="en-GB"/>
        </w:rPr>
        <w:t>1%</w:t>
      </w:r>
      <w:r>
        <w:rPr>
          <w:lang w:val="en-GB"/>
        </w:rPr>
        <w:t xml:space="preserve"> LERF</w:t>
      </w:r>
      <w:r w:rsidRPr="007A48DD">
        <w:rPr>
          <w:vertAlign w:val="subscript"/>
          <w:lang w:val="en-GB"/>
        </w:rPr>
        <w:t>overall</w:t>
      </w:r>
      <w:r>
        <w:rPr>
          <w:lang w:val="en-GB"/>
        </w:rPr>
        <w:t xml:space="preserve"> </w:t>
      </w:r>
      <w:r w:rsidR="00BD128C" w:rsidRPr="00E86A20">
        <w:rPr>
          <w:lang w:val="en-GB"/>
        </w:rPr>
        <w:t xml:space="preserve">if </w:t>
      </w:r>
      <w:r>
        <w:rPr>
          <w:lang w:val="en-GB"/>
        </w:rPr>
        <w:t>&lt; 10</w:t>
      </w:r>
      <w:r w:rsidRPr="007A48DD">
        <w:rPr>
          <w:vertAlign w:val="superscript"/>
          <w:lang w:val="en-GB"/>
        </w:rPr>
        <w:t>-8</w:t>
      </w:r>
      <w:r w:rsidR="008B6CBF" w:rsidRPr="008B6CBF">
        <w:rPr>
          <w:lang w:val="en-GB"/>
        </w:rPr>
        <w:t>/a</w:t>
      </w:r>
      <w:r>
        <w:rPr>
          <w:lang w:val="en-GB"/>
        </w:rPr>
        <w:t>)</w:t>
      </w:r>
    </w:p>
    <w:p w:rsidR="007C3B20" w:rsidRDefault="005969B3" w:rsidP="00E62976">
      <w:pPr>
        <w:numPr>
          <w:ilvl w:val="0"/>
          <w:numId w:val="70"/>
        </w:numPr>
        <w:rPr>
          <w:lang w:val="en-GB"/>
        </w:rPr>
      </w:pPr>
      <w:r>
        <w:rPr>
          <w:lang w:val="en-GB"/>
        </w:rPr>
        <w:t xml:space="preserve">An initiating event </w:t>
      </w:r>
      <w:r w:rsidR="00722DA9">
        <w:rPr>
          <w:lang w:val="en-GB"/>
        </w:rPr>
        <w:t xml:space="preserve">or </w:t>
      </w:r>
      <w:r>
        <w:rPr>
          <w:lang w:val="en-GB"/>
        </w:rPr>
        <w:t xml:space="preserve">hazard scenario should be screened out from </w:t>
      </w:r>
      <w:r w:rsidR="00BD128C">
        <w:rPr>
          <w:lang w:val="en-GB"/>
        </w:rPr>
        <w:t>extended PSA detailed analysis</w:t>
      </w:r>
      <w:r>
        <w:rPr>
          <w:lang w:val="en-GB"/>
        </w:rPr>
        <w:t xml:space="preserve">, </w:t>
      </w:r>
      <w:r w:rsidR="009537C7">
        <w:rPr>
          <w:lang w:val="en-GB"/>
        </w:rPr>
        <w:t xml:space="preserve">only </w:t>
      </w:r>
      <w:r>
        <w:rPr>
          <w:lang w:val="en-GB"/>
        </w:rPr>
        <w:t xml:space="preserve">if it can be screened out against all </w:t>
      </w:r>
      <w:r w:rsidR="00BD128C">
        <w:rPr>
          <w:lang w:val="en-GB"/>
        </w:rPr>
        <w:t xml:space="preserve">quantitative </w:t>
      </w:r>
      <w:r>
        <w:rPr>
          <w:lang w:val="en-GB"/>
        </w:rPr>
        <w:t>screening criteria</w:t>
      </w:r>
      <w:r w:rsidR="00BA3756">
        <w:rPr>
          <w:lang w:val="en-GB"/>
        </w:rPr>
        <w:t>.</w:t>
      </w:r>
    </w:p>
    <w:p w:rsidR="005B7D87" w:rsidRDefault="002D57AD" w:rsidP="00E62976">
      <w:pPr>
        <w:numPr>
          <w:ilvl w:val="0"/>
          <w:numId w:val="70"/>
        </w:numPr>
        <w:rPr>
          <w:lang w:val="en-GB"/>
        </w:rPr>
      </w:pPr>
      <w:r>
        <w:rPr>
          <w:lang w:val="en-GB"/>
        </w:rPr>
        <w:t>Bounding analysis to estimate the criteria above shall be preferred</w:t>
      </w:r>
      <w:r w:rsidR="005B7D87">
        <w:rPr>
          <w:lang w:val="en-GB"/>
        </w:rPr>
        <w:t xml:space="preserve"> during the screening approach</w:t>
      </w:r>
      <w:r w:rsidR="00BA3756">
        <w:rPr>
          <w:lang w:val="en-GB"/>
        </w:rPr>
        <w:t>.</w:t>
      </w:r>
    </w:p>
    <w:p w:rsidR="00BA3756" w:rsidRDefault="005B7D87" w:rsidP="00E62976">
      <w:pPr>
        <w:numPr>
          <w:ilvl w:val="0"/>
          <w:numId w:val="70"/>
        </w:numPr>
        <w:rPr>
          <w:lang w:val="en-GB"/>
        </w:rPr>
      </w:pPr>
      <w:r>
        <w:rPr>
          <w:lang w:val="en-GB"/>
        </w:rPr>
        <w:t>The bounding</w:t>
      </w:r>
      <w:r w:rsidR="002D57AD">
        <w:rPr>
          <w:lang w:val="en-GB"/>
        </w:rPr>
        <w:t xml:space="preserve"> analysis shall consider both single unit (source) and multi units (sources)</w:t>
      </w:r>
      <w:r>
        <w:rPr>
          <w:lang w:val="en-GB"/>
        </w:rPr>
        <w:t>; the same numerical criteria shall be applied for a single and multi-units site</w:t>
      </w:r>
      <w:r w:rsidR="00BA3756">
        <w:rPr>
          <w:lang w:val="en-GB"/>
        </w:rPr>
        <w:t>.</w:t>
      </w:r>
    </w:p>
    <w:p w:rsidR="005B7D87" w:rsidRPr="00BA3756" w:rsidRDefault="00BA3756" w:rsidP="00E62976">
      <w:pPr>
        <w:numPr>
          <w:ilvl w:val="0"/>
          <w:numId w:val="70"/>
        </w:numPr>
        <w:rPr>
          <w:lang w:val="en-GB"/>
        </w:rPr>
      </w:pPr>
      <w:r w:rsidRPr="00BA3756">
        <w:rPr>
          <w:lang w:val="en-GB"/>
        </w:rPr>
        <w:t xml:space="preserve">Very low frequency events associated to potential major consequences </w:t>
      </w:r>
      <w:r w:rsidRPr="00B955FA">
        <w:rPr>
          <w:lang w:val="en-GB"/>
        </w:rPr>
        <w:t>are often associated to high uncertainties</w:t>
      </w:r>
      <w:r w:rsidRPr="00BA3756">
        <w:rPr>
          <w:lang w:val="en-GB"/>
        </w:rPr>
        <w:t>. Pessimistic bounding analyses or mean values of distributions may lead to results which violate the quantitative criteria above. If they are screened out nevertheless, a prudent approach shall be applied and possibilities to reinforce the plant defences shall be kept open independently of the extended PSA considerations. The extended PSA should clearly identify such events and how they are addressed.</w:t>
      </w:r>
    </w:p>
    <w:p w:rsidR="00047954" w:rsidRDefault="005B7D87" w:rsidP="00E62976">
      <w:pPr>
        <w:numPr>
          <w:ilvl w:val="0"/>
          <w:numId w:val="70"/>
        </w:numPr>
        <w:rPr>
          <w:lang w:val="en-GB"/>
        </w:rPr>
      </w:pPr>
      <w:r>
        <w:rPr>
          <w:lang w:val="en-GB"/>
        </w:rPr>
        <w:t xml:space="preserve">A more precise analysis is needed for events which cannot be appropriately represented by a probability per year (typically reactor refuelling phase or seasonal effects); </w:t>
      </w:r>
      <w:r w:rsidR="00C00B22">
        <w:rPr>
          <w:lang w:val="en-GB"/>
        </w:rPr>
        <w:t>in that case, the maximum probability value for that event within the year shall be prefer</w:t>
      </w:r>
      <w:r w:rsidR="005D0DD0">
        <w:rPr>
          <w:lang w:val="en-GB"/>
        </w:rPr>
        <w:t>red</w:t>
      </w:r>
      <w:r w:rsidR="00C00B22">
        <w:rPr>
          <w:lang w:val="en-GB"/>
        </w:rPr>
        <w:t xml:space="preserve"> when applying quantitative screening criteria.</w:t>
      </w:r>
    </w:p>
    <w:p w:rsidR="00FC6B01" w:rsidRDefault="00FC6B01" w:rsidP="00B14DB0">
      <w:pPr>
        <w:rPr>
          <w:lang w:val="en-GB"/>
        </w:rPr>
      </w:pPr>
    </w:p>
    <w:p w:rsidR="00327EFE" w:rsidRDefault="00C00B22" w:rsidP="00B14DB0">
      <w:pPr>
        <w:rPr>
          <w:lang w:val="en-GB"/>
        </w:rPr>
      </w:pPr>
      <w:r>
        <w:rPr>
          <w:lang w:val="en-GB"/>
        </w:rPr>
        <w:t xml:space="preserve">Explanation of the point 7: </w:t>
      </w:r>
      <w:r w:rsidR="00327EFE">
        <w:rPr>
          <w:lang w:val="en-GB"/>
        </w:rPr>
        <w:t>an important remark relates to the differences between events treated properly by frequency of occurrence (per year) and event</w:t>
      </w:r>
      <w:r w:rsidR="00B14DB0">
        <w:rPr>
          <w:lang w:val="en-GB"/>
        </w:rPr>
        <w:t>s</w:t>
      </w:r>
      <w:r w:rsidR="00327EFE">
        <w:rPr>
          <w:lang w:val="en-GB"/>
        </w:rPr>
        <w:t xml:space="preserve"> properly treated by a probability of occurrence within a year. For the former, the probability for the occurrence of the event is distributed uniformly over time and the event </w:t>
      </w:r>
      <w:r w:rsidR="00B14DB0">
        <w:rPr>
          <w:lang w:val="en-GB"/>
        </w:rPr>
        <w:t xml:space="preserve">probability </w:t>
      </w:r>
      <w:r w:rsidR="00327EFE">
        <w:rPr>
          <w:lang w:val="en-GB"/>
        </w:rPr>
        <w:t xml:space="preserve">scales inversely with the reference time period, i.e. </w:t>
      </w:r>
      <m:oMath>
        <m:r>
          <w:rPr>
            <w:rFonts w:ascii="Cambria Math" w:hAnsi="Cambria Math"/>
            <w:lang w:val="en-GB"/>
          </w:rPr>
          <m:t>T2∙</m:t>
        </m:r>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T1</m:t>
            </m:r>
          </m:sub>
        </m:sSub>
        <m:r>
          <w:rPr>
            <w:rFonts w:ascii="Cambria Math" w:hAnsi="Cambria Math"/>
            <w:lang w:val="en-GB"/>
          </w:rPr>
          <m:t xml:space="preserve">=T1⋅ </m:t>
        </m:r>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T2</m:t>
            </m:r>
          </m:sub>
        </m:sSub>
      </m:oMath>
      <w:r w:rsidR="00327EFE">
        <w:rPr>
          <w:lang w:val="en-GB"/>
        </w:rPr>
        <w:t xml:space="preserve">. For the latter, the event might happen with a certain probability p in a time interval ΔT within a year. Obviously, the “event frequency” does not change for different reference intervals, if these intervals cover ΔT, i.e. </w:t>
      </w:r>
      <m:oMath>
        <m:r>
          <w:rPr>
            <w:rFonts w:ascii="Cambria Math" w:hAnsi="Cambria Math"/>
            <w:lang w:val="en-GB"/>
          </w:rPr>
          <m:t>p=</m:t>
        </m:r>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T2</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p|</m:t>
            </m:r>
          </m:e>
          <m:sub>
            <m:r>
              <m:rPr>
                <m:sty m:val="p"/>
              </m:rPr>
              <w:rPr>
                <w:rFonts w:ascii="Cambria Math" w:hAnsi="Cambria Math"/>
                <w:lang w:val="en-GB"/>
              </w:rPr>
              <m:t>Δ</m:t>
            </m:r>
            <m:r>
              <w:rPr>
                <w:rFonts w:ascii="Cambria Math" w:hAnsi="Cambria Math"/>
                <w:lang w:val="en-GB"/>
              </w:rPr>
              <m:t>T</m:t>
            </m:r>
          </m:sub>
        </m:sSub>
        <m:r>
          <w:rPr>
            <w:rFonts w:ascii="Cambria Math" w:hAnsi="Cambria Math"/>
            <w:lang w:val="en-GB"/>
          </w:rPr>
          <m:t xml:space="preserve">| </m:t>
        </m:r>
        <m:r>
          <m:rPr>
            <m:sty m:val="p"/>
          </m:rPr>
          <w:rPr>
            <w:rFonts w:ascii="Cambria Math" w:hAnsi="Cambria Math"/>
            <w:lang w:val="en-GB"/>
          </w:rPr>
          <m:t>Δ</m:t>
        </m:r>
        <m:r>
          <w:rPr>
            <w:rFonts w:ascii="Cambria Math" w:hAnsi="Cambria Math"/>
            <w:lang w:val="en-GB"/>
          </w:rPr>
          <m:t>T ⊂</m:t>
        </m:r>
        <m:d>
          <m:dPr>
            <m:begChr m:val="{"/>
            <m:endChr m:val="}"/>
            <m:ctrlPr>
              <w:rPr>
                <w:rFonts w:ascii="Cambria Math" w:hAnsi="Cambria Math"/>
                <w:i/>
                <w:lang w:val="en-GB"/>
              </w:rPr>
            </m:ctrlPr>
          </m:dPr>
          <m:e>
            <m:r>
              <w:rPr>
                <w:rFonts w:ascii="Cambria Math" w:hAnsi="Cambria Math"/>
                <w:lang w:val="en-GB"/>
              </w:rPr>
              <m:t>0,T1</m:t>
            </m:r>
          </m:e>
        </m:d>
        <m:r>
          <w:rPr>
            <w:rFonts w:ascii="Cambria Math" w:hAnsi="Cambria Math"/>
            <w:lang w:val="en-GB"/>
          </w:rPr>
          <m:t xml:space="preserve">,  </m:t>
        </m:r>
        <m:r>
          <m:rPr>
            <m:sty m:val="p"/>
          </m:rPr>
          <w:rPr>
            <w:rFonts w:ascii="Cambria Math" w:hAnsi="Cambria Math"/>
            <w:lang w:val="en-GB"/>
          </w:rPr>
          <m:t>Δ</m:t>
        </m:r>
        <m:r>
          <w:rPr>
            <w:rFonts w:ascii="Cambria Math" w:hAnsi="Cambria Math"/>
            <w:lang w:val="en-GB"/>
          </w:rPr>
          <m:t>T ⊂</m:t>
        </m:r>
        <m:d>
          <m:dPr>
            <m:begChr m:val="{"/>
            <m:endChr m:val="}"/>
            <m:ctrlPr>
              <w:rPr>
                <w:rFonts w:ascii="Cambria Math" w:hAnsi="Cambria Math"/>
                <w:i/>
                <w:lang w:val="en-GB"/>
              </w:rPr>
            </m:ctrlPr>
          </m:dPr>
          <m:e>
            <m:r>
              <w:rPr>
                <w:rFonts w:ascii="Cambria Math" w:hAnsi="Cambria Math"/>
                <w:lang w:val="en-GB"/>
              </w:rPr>
              <m:t>0,T2</m:t>
            </m:r>
          </m:e>
        </m:d>
      </m:oMath>
      <w:r w:rsidR="00327EFE">
        <w:rPr>
          <w:lang w:val="en-GB"/>
        </w:rPr>
        <w:t xml:space="preserve">. </w:t>
      </w:r>
    </w:p>
    <w:p w:rsidR="00DE0075" w:rsidRDefault="00C00B22" w:rsidP="002E3C7D">
      <w:pPr>
        <w:rPr>
          <w:lang w:val="en-GB"/>
        </w:rPr>
      </w:pPr>
      <w:r>
        <w:rPr>
          <w:lang w:val="en-GB"/>
        </w:rPr>
        <w:t>It is</w:t>
      </w:r>
      <w:r w:rsidR="002E3C7D">
        <w:rPr>
          <w:lang w:val="en-GB"/>
        </w:rPr>
        <w:t xml:space="preserve"> recommend</w:t>
      </w:r>
      <w:r>
        <w:rPr>
          <w:lang w:val="en-GB"/>
        </w:rPr>
        <w:t>ed</w:t>
      </w:r>
      <w:r w:rsidR="002E3C7D">
        <w:rPr>
          <w:lang w:val="en-GB"/>
        </w:rPr>
        <w:t xml:space="preserve"> performing screening based on time-averaged FDF/CDF</w:t>
      </w:r>
      <w:r w:rsidR="00DE0075">
        <w:rPr>
          <w:lang w:val="en-GB"/>
        </w:rPr>
        <w:t xml:space="preserve"> in general</w:t>
      </w:r>
      <w:r>
        <w:rPr>
          <w:lang w:val="en-GB"/>
        </w:rPr>
        <w:t xml:space="preserve"> but</w:t>
      </w:r>
      <w:r w:rsidR="00DE0075">
        <w:rPr>
          <w:lang w:val="en-GB"/>
        </w:rPr>
        <w:t xml:space="preserve"> this is not applicable </w:t>
      </w:r>
      <w:r w:rsidR="002E3C7D">
        <w:rPr>
          <w:lang w:val="en-GB"/>
        </w:rPr>
        <w:t>for events which are properly described as a probability per year</w:t>
      </w:r>
      <w:r w:rsidR="00DE0075">
        <w:rPr>
          <w:lang w:val="en-GB"/>
        </w:rPr>
        <w:t>. Salient examples of these types of events include internal initiating events specific to refuelling operation or other shutdown operating states. For hazard scenarios, these type of events are relevant e.g. to hazards for which the frequency of occurrence strongly varies over a year, e.g. due to seasonal variations.</w:t>
      </w:r>
      <w:r w:rsidR="002E3C7D">
        <w:rPr>
          <w:lang w:val="en-GB"/>
        </w:rPr>
        <w:t xml:space="preserve"> </w:t>
      </w:r>
      <w:r w:rsidR="00DE0075">
        <w:rPr>
          <w:lang w:val="en-GB"/>
        </w:rPr>
        <w:t xml:space="preserve">Rescaling those probability-per-year types of events to an observation period of one year is not appropriate for screening purposes. In these cases, </w:t>
      </w:r>
      <w:r>
        <w:rPr>
          <w:lang w:val="en-GB"/>
        </w:rPr>
        <w:t>it can be more appropriate</w:t>
      </w:r>
      <w:r w:rsidR="00DE0075">
        <w:rPr>
          <w:lang w:val="en-GB"/>
        </w:rPr>
        <w:t xml:space="preserve"> to use instead the maximum probability value for that event within the year</w:t>
      </w:r>
      <w:r w:rsidR="00DE0075">
        <w:rPr>
          <w:rStyle w:val="Appelnotedebasdep"/>
          <w:lang w:val="en-GB"/>
        </w:rPr>
        <w:footnoteReference w:id="15"/>
      </w:r>
      <w:r w:rsidR="00772C4C">
        <w:rPr>
          <w:lang w:val="en-GB"/>
        </w:rPr>
        <w:t>.</w:t>
      </w:r>
    </w:p>
    <w:p w:rsidR="00C00B22" w:rsidRDefault="002E3C7D">
      <w:pPr>
        <w:rPr>
          <w:lang w:val="en-GB"/>
        </w:rPr>
      </w:pPr>
      <w:r>
        <w:rPr>
          <w:lang w:val="en-GB"/>
        </w:rPr>
        <w:t xml:space="preserve">If there are indications </w:t>
      </w:r>
      <w:r w:rsidR="00DE0075">
        <w:rPr>
          <w:lang w:val="en-GB"/>
        </w:rPr>
        <w:t>of significant risk peaks already</w:t>
      </w:r>
      <w:r>
        <w:rPr>
          <w:lang w:val="en-GB"/>
        </w:rPr>
        <w:t xml:space="preserve"> during screening a more detailed analysis of the scenario</w:t>
      </w:r>
      <w:r w:rsidR="005D0DD0">
        <w:rPr>
          <w:lang w:val="en-GB"/>
        </w:rPr>
        <w:t xml:space="preserve"> is recommended</w:t>
      </w:r>
      <w:r>
        <w:rPr>
          <w:lang w:val="en-GB"/>
        </w:rPr>
        <w:t>, since it might be related to a potential weakness in the safety design of the plant.</w:t>
      </w:r>
    </w:p>
    <w:p w:rsidR="00255D0C" w:rsidRDefault="00255D0C" w:rsidP="005079A3">
      <w:pPr>
        <w:pStyle w:val="Titre2"/>
        <w:rPr>
          <w:lang w:val="en-GB"/>
        </w:rPr>
      </w:pPr>
      <w:bookmarkStart w:id="467" w:name="_Toc446686407"/>
      <w:bookmarkStart w:id="468" w:name="_Toc446686417"/>
      <w:bookmarkStart w:id="469" w:name="_Ref445134178"/>
      <w:bookmarkStart w:id="470" w:name="_Toc473303584"/>
      <w:bookmarkEnd w:id="467"/>
      <w:bookmarkEnd w:id="468"/>
      <w:r>
        <w:rPr>
          <w:lang w:val="en-GB"/>
        </w:rPr>
        <w:t>PLANT RESPONSE ANALYSIS</w:t>
      </w:r>
      <w:r w:rsidR="00B80314">
        <w:rPr>
          <w:lang w:val="en-GB"/>
        </w:rPr>
        <w:t>,</w:t>
      </w:r>
      <w:r>
        <w:rPr>
          <w:lang w:val="en-GB"/>
        </w:rPr>
        <w:t xml:space="preserve"> HAZARDS IMPACT</w:t>
      </w:r>
      <w:r w:rsidR="00731003">
        <w:rPr>
          <w:lang w:val="en-GB"/>
        </w:rPr>
        <w:t xml:space="preserve"> ANALYSIS</w:t>
      </w:r>
      <w:bookmarkEnd w:id="469"/>
      <w:bookmarkEnd w:id="470"/>
    </w:p>
    <w:p w:rsidR="005169E6" w:rsidRDefault="005169E6" w:rsidP="005079A3">
      <w:pPr>
        <w:pStyle w:val="Titre3"/>
        <w:rPr>
          <w:lang w:val="en-GB"/>
        </w:rPr>
      </w:pPr>
      <w:bookmarkStart w:id="471" w:name="_Toc473303585"/>
      <w:r>
        <w:rPr>
          <w:lang w:val="en-GB"/>
        </w:rPr>
        <w:t>General consideration</w:t>
      </w:r>
      <w:bookmarkEnd w:id="471"/>
    </w:p>
    <w:p w:rsidR="005D192F" w:rsidRDefault="00B80314">
      <w:pPr>
        <w:rPr>
          <w:lang w:val="en-GB"/>
        </w:rPr>
      </w:pPr>
      <w:r>
        <w:rPr>
          <w:lang w:val="en-GB"/>
        </w:rPr>
        <w:t xml:space="preserve">Plant response analysis is an essential task for the screening of initiating events and hazard scenarios as well as the subsequent development of probabilistic model, both in </w:t>
      </w:r>
      <w:r w:rsidR="00340DDC">
        <w:rPr>
          <w:lang w:val="en-GB"/>
        </w:rPr>
        <w:t xml:space="preserve">screening </w:t>
      </w:r>
      <w:r>
        <w:rPr>
          <w:lang w:val="en-GB"/>
        </w:rPr>
        <w:t>analysis and in more detailed probabilistic modelling.</w:t>
      </w:r>
      <w:r w:rsidR="005169E6">
        <w:rPr>
          <w:lang w:val="en-GB"/>
        </w:rPr>
        <w:t xml:space="preserve"> </w:t>
      </w:r>
      <w:r w:rsidR="005D192F">
        <w:rPr>
          <w:lang w:val="en-GB"/>
        </w:rPr>
        <w:t xml:space="preserve">The overall objectives of plant response analysis are to identify if the safety of the plant (i.e. safety of the fuel or of other sources) is challenged by the event or scenario under investigation, which fundamental safety functions are challenged either directly or by consequential effects, and if provisions for safety functions (SSC, barriers, other features) are effective or not. </w:t>
      </w:r>
      <w:r w:rsidR="00176C44">
        <w:rPr>
          <w:lang w:val="en-GB"/>
        </w:rPr>
        <w:t xml:space="preserve">For hazards scenarios, hazard impact analysis describes the specific aspect of plant response </w:t>
      </w:r>
      <w:r w:rsidR="00D62F6D">
        <w:rPr>
          <w:lang w:val="en-GB"/>
        </w:rPr>
        <w:t>after</w:t>
      </w:r>
      <w:r w:rsidR="00176C44">
        <w:rPr>
          <w:lang w:val="en-GB"/>
        </w:rPr>
        <w:t xml:space="preserve"> hazard effects within the plant.</w:t>
      </w:r>
    </w:p>
    <w:p w:rsidR="005169E6" w:rsidRDefault="005169E6">
      <w:pPr>
        <w:rPr>
          <w:lang w:val="en-GB"/>
        </w:rPr>
      </w:pPr>
    </w:p>
    <w:p w:rsidR="00D62F6D" w:rsidRDefault="005D192F">
      <w:pPr>
        <w:rPr>
          <w:lang w:val="en-GB"/>
        </w:rPr>
      </w:pPr>
      <w:r>
        <w:rPr>
          <w:lang w:val="en-GB"/>
        </w:rPr>
        <w:t>Plant response analysis makes use from all available sources of information about the (transient) behaviour of the plant</w:t>
      </w:r>
      <w:r w:rsidR="00F54BB1">
        <w:rPr>
          <w:lang w:val="en-GB"/>
        </w:rPr>
        <w:t xml:space="preserve"> from deterministic assessments of PIE, deterministic hazard assessments, and existing PSA models.</w:t>
      </w:r>
    </w:p>
    <w:p w:rsidR="00D62F6D" w:rsidRDefault="00D62F6D">
      <w:pPr>
        <w:rPr>
          <w:lang w:val="en-GB"/>
        </w:rPr>
      </w:pPr>
    </w:p>
    <w:p w:rsidR="003E3B9C" w:rsidRDefault="003E3B9C">
      <w:pPr>
        <w:rPr>
          <w:lang w:val="en-GB"/>
        </w:rPr>
      </w:pPr>
      <w:r>
        <w:rPr>
          <w:lang w:val="en-GB"/>
        </w:rPr>
        <w:t xml:space="preserve">For screening purposes, plant response analysis </w:t>
      </w:r>
      <w:r w:rsidR="00D62F6D">
        <w:rPr>
          <w:lang w:val="en-GB"/>
        </w:rPr>
        <w:t>may rely</w:t>
      </w:r>
      <w:r>
        <w:rPr>
          <w:lang w:val="en-GB"/>
        </w:rPr>
        <w:t xml:space="preserve"> </w:t>
      </w:r>
      <w:r w:rsidR="00BF667A">
        <w:rPr>
          <w:lang w:val="en-GB"/>
        </w:rPr>
        <w:t xml:space="preserve">either on realistic or </w:t>
      </w:r>
      <w:r>
        <w:rPr>
          <w:lang w:val="en-GB"/>
        </w:rPr>
        <w:t xml:space="preserve">on conservative assumptions and expert judgement, where specific information on plant behaviour is not readily available in order to limit analysis effort. </w:t>
      </w:r>
      <w:r w:rsidR="00176C44">
        <w:rPr>
          <w:lang w:val="en-GB"/>
        </w:rPr>
        <w:t xml:space="preserve">Obviously, </w:t>
      </w:r>
      <w:r w:rsidR="00D62F6D">
        <w:rPr>
          <w:lang w:val="en-GB"/>
        </w:rPr>
        <w:t>this</w:t>
      </w:r>
      <w:r w:rsidR="00176C44">
        <w:rPr>
          <w:lang w:val="en-GB"/>
        </w:rPr>
        <w:t xml:space="preserve"> has to be specific to the unit and the site.</w:t>
      </w:r>
    </w:p>
    <w:p w:rsidR="00D62F6D" w:rsidRDefault="00D62F6D">
      <w:pPr>
        <w:rPr>
          <w:lang w:val="en-GB"/>
        </w:rPr>
      </w:pPr>
    </w:p>
    <w:p w:rsidR="005D192F" w:rsidRDefault="0004443C">
      <w:pPr>
        <w:rPr>
          <w:lang w:val="en-GB"/>
        </w:rPr>
      </w:pPr>
      <w:r>
        <w:rPr>
          <w:lang w:val="en-GB"/>
        </w:rPr>
        <w:t>T</w:t>
      </w:r>
      <w:r w:rsidR="00176C44">
        <w:rPr>
          <w:lang w:val="en-GB"/>
        </w:rPr>
        <w:t>he following</w:t>
      </w:r>
      <w:r w:rsidR="00D62F6D">
        <w:rPr>
          <w:lang w:val="en-GB"/>
        </w:rPr>
        <w:t xml:space="preserve"> is </w:t>
      </w:r>
      <w:r w:rsidR="00176C44">
        <w:rPr>
          <w:lang w:val="en-GB"/>
        </w:rPr>
        <w:t xml:space="preserve">a summary of plant response and hazard impact analysis for the screening of </w:t>
      </w:r>
      <w:r w:rsidR="00C25DEC">
        <w:rPr>
          <w:lang w:val="en-GB"/>
        </w:rPr>
        <w:t xml:space="preserve">external </w:t>
      </w:r>
      <w:r w:rsidR="00176C44">
        <w:rPr>
          <w:lang w:val="en-GB"/>
        </w:rPr>
        <w:t>hazard scenarios.</w:t>
      </w:r>
      <w:r w:rsidR="003E3B9C">
        <w:rPr>
          <w:lang w:val="en-GB"/>
        </w:rPr>
        <w:t xml:space="preserve"> </w:t>
      </w:r>
      <w:r w:rsidR="005169E6">
        <w:rPr>
          <w:lang w:val="en-GB"/>
        </w:rPr>
        <w:t>The concepts presented are broadly applicable to internal initiating event</w:t>
      </w:r>
      <w:r>
        <w:rPr>
          <w:lang w:val="en-GB"/>
        </w:rPr>
        <w:t>s and internal hazards, even there</w:t>
      </w:r>
      <w:r w:rsidR="005169E6">
        <w:rPr>
          <w:lang w:val="en-GB"/>
        </w:rPr>
        <w:t xml:space="preserve"> </w:t>
      </w:r>
      <w:r>
        <w:rPr>
          <w:lang w:val="en-GB"/>
        </w:rPr>
        <w:t>are</w:t>
      </w:r>
      <w:r w:rsidR="005169E6">
        <w:rPr>
          <w:lang w:val="en-GB"/>
        </w:rPr>
        <w:t xml:space="preserve"> well-established technique</w:t>
      </w:r>
      <w:r>
        <w:rPr>
          <w:lang w:val="en-GB"/>
        </w:rPr>
        <w:t>s for those</w:t>
      </w:r>
      <w:r w:rsidR="005169E6">
        <w:rPr>
          <w:lang w:val="en-GB"/>
        </w:rPr>
        <w:t>.</w:t>
      </w:r>
      <w:r>
        <w:rPr>
          <w:lang w:val="en-GB"/>
        </w:rPr>
        <w:t xml:space="preserve"> Not only</w:t>
      </w:r>
      <w:r w:rsidR="005169E6">
        <w:rPr>
          <w:lang w:val="en-GB"/>
        </w:rPr>
        <w:t xml:space="preserve"> </w:t>
      </w:r>
      <w:r>
        <w:rPr>
          <w:lang w:val="en-GB"/>
        </w:rPr>
        <w:t>f</w:t>
      </w:r>
      <w:r w:rsidR="00F10D58">
        <w:rPr>
          <w:lang w:val="en-GB"/>
        </w:rPr>
        <w:t>rom an industrial end-user perspective</w:t>
      </w:r>
      <w:r w:rsidR="00F10D58" w:rsidRPr="00663230">
        <w:rPr>
          <w:lang w:val="en-GB"/>
        </w:rPr>
        <w:t xml:space="preserve">, </w:t>
      </w:r>
      <w:r w:rsidR="00F10D58">
        <w:rPr>
          <w:lang w:val="en-GB"/>
        </w:rPr>
        <w:t xml:space="preserve">plant response and hazard impact analysis for the screening of external hazard scenarios shall be based </w:t>
      </w:r>
      <w:r w:rsidR="00F10D58" w:rsidRPr="00FA6AA7">
        <w:rPr>
          <w:lang w:val="en-GB"/>
        </w:rPr>
        <w:t>on relatively simple analysis, referring to existing studies, often qualitative and using engineering judgment</w:t>
      </w:r>
      <w:r w:rsidR="00F10D58">
        <w:rPr>
          <w:lang w:val="en-GB"/>
        </w:rPr>
        <w:t xml:space="preserve">. </w:t>
      </w:r>
      <w:r w:rsidR="00F10D58" w:rsidRPr="00FA6AA7">
        <w:rPr>
          <w:lang w:val="en-GB"/>
        </w:rPr>
        <w:t xml:space="preserve">Realistic assumptions </w:t>
      </w:r>
      <w:r w:rsidR="00F10D58">
        <w:rPr>
          <w:lang w:val="en-GB"/>
        </w:rPr>
        <w:t>can be used as well as</w:t>
      </w:r>
      <w:r w:rsidR="00F10D58" w:rsidRPr="00FA6AA7">
        <w:rPr>
          <w:lang w:val="en-GB"/>
        </w:rPr>
        <w:t xml:space="preserve"> bounding assessment</w:t>
      </w:r>
      <w:r w:rsidR="00F10D58">
        <w:rPr>
          <w:lang w:val="en-GB"/>
        </w:rPr>
        <w:t xml:space="preserve">s. The following concepts can therefore be more stringent that necessary and must </w:t>
      </w:r>
      <w:r w:rsidR="00F10D58" w:rsidRPr="00663230">
        <w:rPr>
          <w:lang w:val="en-GB"/>
        </w:rPr>
        <w:t xml:space="preserve">be adapted and simplified </w:t>
      </w:r>
      <w:r w:rsidR="00F10D58">
        <w:rPr>
          <w:lang w:val="en-GB"/>
        </w:rPr>
        <w:t>where necessary to be effective enough to be able to</w:t>
      </w:r>
      <w:r w:rsidR="00F10D58" w:rsidRPr="00FA6AA7">
        <w:rPr>
          <w:lang w:val="en-GB"/>
        </w:rPr>
        <w:t xml:space="preserve"> identify rapidly predominant</w:t>
      </w:r>
      <w:r w:rsidR="00F10D58">
        <w:rPr>
          <w:lang w:val="en-GB"/>
        </w:rPr>
        <w:t xml:space="preserve"> </w:t>
      </w:r>
      <w:r w:rsidR="00F10D58" w:rsidRPr="00FA6AA7">
        <w:rPr>
          <w:lang w:val="en-GB"/>
        </w:rPr>
        <w:t xml:space="preserve">hazards eligible to </w:t>
      </w:r>
      <w:r w:rsidR="00F10D58">
        <w:rPr>
          <w:lang w:val="en-GB"/>
        </w:rPr>
        <w:t xml:space="preserve">extended </w:t>
      </w:r>
      <w:r w:rsidR="00F10D58" w:rsidRPr="00FA6AA7">
        <w:rPr>
          <w:lang w:val="en-GB"/>
        </w:rPr>
        <w:t>PSA</w:t>
      </w:r>
      <w:r w:rsidR="00F10D58">
        <w:rPr>
          <w:lang w:val="en-GB"/>
        </w:rPr>
        <w:t xml:space="preserve"> analysis.</w:t>
      </w:r>
    </w:p>
    <w:p w:rsidR="00917383" w:rsidRDefault="00917383" w:rsidP="005079A3">
      <w:pPr>
        <w:pStyle w:val="Titre3"/>
        <w:rPr>
          <w:lang w:val="en-GB"/>
        </w:rPr>
      </w:pPr>
      <w:bookmarkStart w:id="472" w:name="_Toc473303586"/>
      <w:r>
        <w:rPr>
          <w:lang w:val="en-GB"/>
        </w:rPr>
        <w:t>Applicability analysis</w:t>
      </w:r>
      <w:bookmarkEnd w:id="472"/>
    </w:p>
    <w:p w:rsidR="0070142A" w:rsidRDefault="0070142A" w:rsidP="0070142A">
      <w:pPr>
        <w:rPr>
          <w:lang w:val="en-GB"/>
        </w:rPr>
      </w:pPr>
      <w:r>
        <w:rPr>
          <w:lang w:val="en-GB"/>
        </w:rPr>
        <w:t xml:space="preserve">The first step </w:t>
      </w:r>
      <w:r w:rsidR="00292131">
        <w:rPr>
          <w:lang w:val="en-GB"/>
        </w:rPr>
        <w:t xml:space="preserve">in the screening of </w:t>
      </w:r>
      <w:r w:rsidR="00D0546D">
        <w:rPr>
          <w:lang w:val="en-GB"/>
        </w:rPr>
        <w:t xml:space="preserve">external </w:t>
      </w:r>
      <w:r w:rsidR="00292131">
        <w:rPr>
          <w:lang w:val="en-GB"/>
        </w:rPr>
        <w:t>hazards relates to applicability. Analysts need to identify those</w:t>
      </w:r>
      <w:r>
        <w:rPr>
          <w:lang w:val="en-GB"/>
        </w:rPr>
        <w:t xml:space="preserve"> </w:t>
      </w:r>
      <w:r w:rsidRPr="0073565E">
        <w:rPr>
          <w:lang w:val="en-GB"/>
        </w:rPr>
        <w:t>potential single or combined external</w:t>
      </w:r>
      <w:r>
        <w:rPr>
          <w:lang w:val="en-GB"/>
        </w:rPr>
        <w:t xml:space="preserve"> hazards that</w:t>
      </w:r>
      <w:r w:rsidRPr="0073565E">
        <w:rPr>
          <w:lang w:val="en-GB"/>
        </w:rPr>
        <w:t xml:space="preserve"> are not relevant to the nuclear power plant </w:t>
      </w:r>
      <w:r>
        <w:rPr>
          <w:lang w:val="en-GB"/>
        </w:rPr>
        <w:t xml:space="preserve">and to the site </w:t>
      </w:r>
      <w:r w:rsidRPr="0073565E">
        <w:rPr>
          <w:lang w:val="en-GB"/>
        </w:rPr>
        <w:t xml:space="preserve">due to </w:t>
      </w:r>
      <w:r>
        <w:rPr>
          <w:lang w:val="en-GB"/>
        </w:rPr>
        <w:t>site characteristics (e.g. tsunamis usually cannot affect plants located far away from seas and oceans)</w:t>
      </w:r>
      <w:r w:rsidRPr="0073565E">
        <w:rPr>
          <w:lang w:val="en-GB"/>
        </w:rPr>
        <w:t>.</w:t>
      </w:r>
      <w:r>
        <w:rPr>
          <w:lang w:val="en-GB"/>
        </w:rPr>
        <w:t xml:space="preserve"> Use is made of the results of site investigation and evaluation to screen out hazards not applicable to the site. Expert judgement </w:t>
      </w:r>
      <w:r w:rsidR="00292131">
        <w:rPr>
          <w:lang w:val="en-GB"/>
        </w:rPr>
        <w:t>will</w:t>
      </w:r>
      <w:r>
        <w:rPr>
          <w:lang w:val="en-GB"/>
        </w:rPr>
        <w:t xml:space="preserve"> play an important role.</w:t>
      </w:r>
    </w:p>
    <w:p w:rsidR="005169E6" w:rsidRDefault="00E86B2F" w:rsidP="005169E6">
      <w:pPr>
        <w:pStyle w:val="Titre3"/>
        <w:rPr>
          <w:lang w:val="en-GB"/>
        </w:rPr>
      </w:pPr>
      <w:bookmarkStart w:id="473" w:name="_Toc473303587"/>
      <w:r>
        <w:rPr>
          <w:lang w:val="en-GB"/>
        </w:rPr>
        <w:t>Impact analysis</w:t>
      </w:r>
      <w:bookmarkEnd w:id="473"/>
    </w:p>
    <w:p w:rsidR="001924C0" w:rsidRDefault="001924C0" w:rsidP="005079A3">
      <w:pPr>
        <w:pStyle w:val="Titre4"/>
        <w:rPr>
          <w:lang w:val="en-GB"/>
        </w:rPr>
      </w:pPr>
      <w:r>
        <w:rPr>
          <w:lang w:val="en-GB"/>
        </w:rPr>
        <w:t>Approach</w:t>
      </w:r>
    </w:p>
    <w:p w:rsidR="005169E6" w:rsidRDefault="0070142A" w:rsidP="0070142A">
      <w:pPr>
        <w:rPr>
          <w:lang w:val="en-GB"/>
        </w:rPr>
      </w:pPr>
      <w:r>
        <w:rPr>
          <w:lang w:val="en-GB"/>
        </w:rPr>
        <w:t xml:space="preserve">A more detailed deterministic impact assessment is performed for hazards that could not be screened out since they are applicable. </w:t>
      </w:r>
      <w:r w:rsidRPr="00486B09">
        <w:rPr>
          <w:lang w:val="en-GB"/>
        </w:rPr>
        <w:t xml:space="preserve">The purpose of </w:t>
      </w:r>
      <w:r w:rsidR="00E86B2F">
        <w:rPr>
          <w:lang w:val="en-GB"/>
        </w:rPr>
        <w:t xml:space="preserve">screening by </w:t>
      </w:r>
      <w:r>
        <w:rPr>
          <w:lang w:val="en-GB"/>
        </w:rPr>
        <w:t xml:space="preserve">impact </w:t>
      </w:r>
      <w:r w:rsidR="00E86B2F">
        <w:rPr>
          <w:lang w:val="en-GB"/>
        </w:rPr>
        <w:t xml:space="preserve">analysis </w:t>
      </w:r>
      <w:r w:rsidRPr="00486B09">
        <w:rPr>
          <w:lang w:val="en-GB"/>
        </w:rPr>
        <w:t xml:space="preserve">is to </w:t>
      </w:r>
      <w:r>
        <w:rPr>
          <w:lang w:val="en-GB"/>
        </w:rPr>
        <w:t xml:space="preserve">eliminate all </w:t>
      </w:r>
      <w:r w:rsidRPr="00486B09">
        <w:rPr>
          <w:lang w:val="en-GB"/>
        </w:rPr>
        <w:t>those potential external events</w:t>
      </w:r>
      <w:r>
        <w:rPr>
          <w:lang w:val="en-GB"/>
        </w:rPr>
        <w:t xml:space="preserve"> from the initial list of external hazard scenarios</w:t>
      </w:r>
      <w:r w:rsidRPr="00486B09">
        <w:rPr>
          <w:lang w:val="en-GB"/>
        </w:rPr>
        <w:t xml:space="preserve"> </w:t>
      </w:r>
      <w:r>
        <w:rPr>
          <w:lang w:val="en-GB"/>
        </w:rPr>
        <w:t xml:space="preserve">that do </w:t>
      </w:r>
      <w:r w:rsidRPr="00486B09">
        <w:rPr>
          <w:lang w:val="en-GB"/>
        </w:rPr>
        <w:t xml:space="preserve">not </w:t>
      </w:r>
      <w:r>
        <w:rPr>
          <w:lang w:val="en-GB"/>
        </w:rPr>
        <w:t>have the potential to induce any</w:t>
      </w:r>
      <w:r w:rsidRPr="00486B09">
        <w:rPr>
          <w:lang w:val="en-GB"/>
        </w:rPr>
        <w:t xml:space="preserve"> </w:t>
      </w:r>
      <w:r>
        <w:rPr>
          <w:lang w:val="en-GB"/>
        </w:rPr>
        <w:t xml:space="preserve">transient on the plant, i.e. the maximum credible impact caused by an external hazard scenario does not induce any of the internal initiating events of the </w:t>
      </w:r>
      <w:r w:rsidRPr="00486B09">
        <w:rPr>
          <w:lang w:val="en-GB"/>
        </w:rPr>
        <w:t>PSA</w:t>
      </w:r>
      <w:r>
        <w:rPr>
          <w:lang w:val="en-GB"/>
        </w:rPr>
        <w:t xml:space="preserve"> or any additional initiating events </w:t>
      </w:r>
      <w:r w:rsidR="00292131">
        <w:rPr>
          <w:lang w:val="en-GB"/>
        </w:rPr>
        <w:t xml:space="preserve">previously </w:t>
      </w:r>
      <w:r>
        <w:rPr>
          <w:lang w:val="en-GB"/>
        </w:rPr>
        <w:t>not considered in the internal events PSA.</w:t>
      </w:r>
    </w:p>
    <w:p w:rsidR="005169E6" w:rsidRDefault="005169E6" w:rsidP="0070142A">
      <w:pPr>
        <w:rPr>
          <w:lang w:val="en-GB"/>
        </w:rPr>
      </w:pPr>
    </w:p>
    <w:p w:rsidR="0070142A" w:rsidRDefault="0070142A" w:rsidP="0070142A">
      <w:pPr>
        <w:rPr>
          <w:lang w:val="en-GB"/>
        </w:rPr>
      </w:pPr>
      <w:r>
        <w:rPr>
          <w:lang w:val="en-GB"/>
        </w:rPr>
        <w:t xml:space="preserve">In general, the following two criteria are applied for </w:t>
      </w:r>
      <w:r w:rsidR="00E86B2F">
        <w:rPr>
          <w:lang w:val="en-GB"/>
        </w:rPr>
        <w:t xml:space="preserve">screening by </w:t>
      </w:r>
      <w:r>
        <w:rPr>
          <w:lang w:val="en-GB"/>
        </w:rPr>
        <w:t xml:space="preserve">impact </w:t>
      </w:r>
      <w:r w:rsidR="00E86B2F">
        <w:rPr>
          <w:lang w:val="en-GB"/>
        </w:rPr>
        <w:t>analysis</w:t>
      </w:r>
      <w:r>
        <w:rPr>
          <w:lang w:val="en-GB"/>
        </w:rPr>
        <w:t>:</w:t>
      </w:r>
    </w:p>
    <w:p w:rsidR="0070142A" w:rsidRPr="00E20701" w:rsidRDefault="0070142A" w:rsidP="00E62976">
      <w:pPr>
        <w:numPr>
          <w:ilvl w:val="0"/>
          <w:numId w:val="41"/>
        </w:numPr>
        <w:rPr>
          <w:lang w:val="en-GB"/>
        </w:rPr>
      </w:pPr>
      <w:r w:rsidRPr="00E20701">
        <w:rPr>
          <w:lang w:val="en-GB"/>
        </w:rPr>
        <w:t xml:space="preserve">Severity: </w:t>
      </w:r>
      <w:r w:rsidR="00E86B2F">
        <w:rPr>
          <w:lang w:val="en-GB"/>
        </w:rPr>
        <w:t>t</w:t>
      </w:r>
      <w:r w:rsidRPr="00E20701">
        <w:rPr>
          <w:lang w:val="en-GB"/>
        </w:rPr>
        <w:t>he effects of the event are not severe enough to cause damage to the plant, since it has been designed for loads with similar or higher strength</w:t>
      </w:r>
      <w:r>
        <w:rPr>
          <w:lang w:val="en-GB"/>
        </w:rPr>
        <w:t xml:space="preserve"> due to other event scenarios</w:t>
      </w:r>
      <w:r w:rsidRPr="00E20701">
        <w:rPr>
          <w:lang w:val="en-GB"/>
        </w:rPr>
        <w:t>.</w:t>
      </w:r>
    </w:p>
    <w:p w:rsidR="0070142A" w:rsidRDefault="0070142A" w:rsidP="00E62976">
      <w:pPr>
        <w:numPr>
          <w:ilvl w:val="0"/>
          <w:numId w:val="41"/>
        </w:numPr>
        <w:rPr>
          <w:lang w:val="en-GB"/>
        </w:rPr>
      </w:pPr>
      <w:r w:rsidRPr="00E20701">
        <w:rPr>
          <w:lang w:val="en-GB"/>
        </w:rPr>
        <w:t xml:space="preserve">Predictability: </w:t>
      </w:r>
      <w:r w:rsidR="00E86B2F">
        <w:rPr>
          <w:lang w:val="en-GB"/>
        </w:rPr>
        <w:t>t</w:t>
      </w:r>
      <w:r w:rsidRPr="00E20701">
        <w:rPr>
          <w:lang w:val="en-GB"/>
        </w:rPr>
        <w:t xml:space="preserve">he event is </w:t>
      </w:r>
      <w:r w:rsidR="00292131">
        <w:rPr>
          <w:lang w:val="en-GB"/>
        </w:rPr>
        <w:t xml:space="preserve">very </w:t>
      </w:r>
      <w:r w:rsidRPr="00E20701">
        <w:rPr>
          <w:lang w:val="en-GB"/>
        </w:rPr>
        <w:t xml:space="preserve">slow in developing, and it can be demonstrated </w:t>
      </w:r>
      <w:r w:rsidR="005D0200">
        <w:rPr>
          <w:lang w:val="en-GB"/>
        </w:rPr>
        <w:t xml:space="preserve">with a high level of confidence </w:t>
      </w:r>
      <w:r w:rsidRPr="00E20701">
        <w:rPr>
          <w:lang w:val="en-GB"/>
        </w:rPr>
        <w:t xml:space="preserve">that there is sufficient time to eliminate the source of the threat or to provide an adequate </w:t>
      </w:r>
      <w:r>
        <w:rPr>
          <w:lang w:val="en-GB"/>
        </w:rPr>
        <w:t xml:space="preserve">and timely </w:t>
      </w:r>
      <w:r w:rsidRPr="00E20701">
        <w:rPr>
          <w:lang w:val="en-GB"/>
        </w:rPr>
        <w:t>response</w:t>
      </w:r>
      <w:r>
        <w:rPr>
          <w:lang w:val="en-GB"/>
        </w:rPr>
        <w:t xml:space="preserve"> without notably jeopardizing safety</w:t>
      </w:r>
      <w:r w:rsidRPr="00E20701">
        <w:rPr>
          <w:lang w:val="en-GB"/>
        </w:rPr>
        <w:t>.</w:t>
      </w:r>
    </w:p>
    <w:p w:rsidR="00630E44" w:rsidRDefault="00630E44" w:rsidP="005079A3">
      <w:pPr>
        <w:rPr>
          <w:lang w:val="en-GB"/>
        </w:rPr>
      </w:pPr>
    </w:p>
    <w:p w:rsidR="00886322" w:rsidRPr="00E20701" w:rsidRDefault="001924C0" w:rsidP="005079A3">
      <w:pPr>
        <w:pStyle w:val="Titre4"/>
        <w:rPr>
          <w:lang w:val="en-GB"/>
        </w:rPr>
      </w:pPr>
      <w:r>
        <w:rPr>
          <w:lang w:val="en-GB"/>
        </w:rPr>
        <w:t>Load parameters</w:t>
      </w:r>
    </w:p>
    <w:p w:rsidR="00015310" w:rsidRDefault="00292131" w:rsidP="0070142A">
      <w:pPr>
        <w:rPr>
          <w:lang w:val="en-GB"/>
        </w:rPr>
      </w:pPr>
      <w:r>
        <w:rPr>
          <w:lang w:val="en-GB"/>
        </w:rPr>
        <w:t xml:space="preserve">With regard to the first criterion, </w:t>
      </w:r>
      <w:r w:rsidR="00015310">
        <w:rPr>
          <w:lang w:val="en-GB"/>
        </w:rPr>
        <w:t>t</w:t>
      </w:r>
      <w:r w:rsidR="0070142A" w:rsidRPr="00AE62AE">
        <w:rPr>
          <w:lang w:val="en-GB"/>
        </w:rPr>
        <w:t xml:space="preserve">he </w:t>
      </w:r>
      <w:r w:rsidR="0070142A">
        <w:rPr>
          <w:lang w:val="en-GB"/>
        </w:rPr>
        <w:t xml:space="preserve">most important </w:t>
      </w:r>
      <w:r w:rsidR="0070142A" w:rsidRPr="00AE62AE">
        <w:rPr>
          <w:lang w:val="en-GB"/>
        </w:rPr>
        <w:t>parameter</w:t>
      </w:r>
      <w:r w:rsidR="0070142A">
        <w:rPr>
          <w:lang w:val="en-GB"/>
        </w:rPr>
        <w:t>s</w:t>
      </w:r>
      <w:r w:rsidR="0070142A" w:rsidRPr="00AE62AE">
        <w:rPr>
          <w:lang w:val="en-GB"/>
        </w:rPr>
        <w:t xml:space="preserve"> which </w:t>
      </w:r>
      <w:r w:rsidR="0070142A">
        <w:rPr>
          <w:lang w:val="en-GB"/>
        </w:rPr>
        <w:t xml:space="preserve">best </w:t>
      </w:r>
      <w:r w:rsidR="0070142A" w:rsidRPr="00AE62AE">
        <w:rPr>
          <w:lang w:val="en-GB"/>
        </w:rPr>
        <w:t xml:space="preserve">represent the load induced by </w:t>
      </w:r>
      <w:r w:rsidR="0070142A">
        <w:rPr>
          <w:lang w:val="en-GB"/>
        </w:rPr>
        <w:t>an</w:t>
      </w:r>
      <w:r w:rsidR="0070142A" w:rsidRPr="00AE62AE">
        <w:rPr>
          <w:lang w:val="en-GB"/>
        </w:rPr>
        <w:t xml:space="preserve"> external hazard</w:t>
      </w:r>
      <w:r w:rsidR="0070142A" w:rsidRPr="00AB0B74">
        <w:rPr>
          <w:lang w:val="en-GB"/>
        </w:rPr>
        <w:t xml:space="preserve"> should be specified</w:t>
      </w:r>
      <w:r w:rsidR="0070142A">
        <w:rPr>
          <w:lang w:val="en-GB"/>
        </w:rPr>
        <w:t xml:space="preserve"> </w:t>
      </w:r>
      <w:r w:rsidR="00125AF4">
        <w:rPr>
          <w:lang w:val="en-GB"/>
        </w:rPr>
        <w:fldChar w:fldCharType="begin"/>
      </w:r>
      <w:r w:rsidR="0070142A">
        <w:rPr>
          <w:lang w:val="en-GB"/>
        </w:rPr>
        <w:instrText xml:space="preserve"> REF _Ref384386913 \r \h </w:instrText>
      </w:r>
      <w:r w:rsidR="00125AF4">
        <w:rPr>
          <w:lang w:val="en-GB"/>
        </w:rPr>
      </w:r>
      <w:r w:rsidR="00125AF4">
        <w:rPr>
          <w:lang w:val="en-GB"/>
        </w:rPr>
        <w:fldChar w:fldCharType="separate"/>
      </w:r>
      <w:r w:rsidR="00E62976">
        <w:rPr>
          <w:lang w:val="en-GB"/>
        </w:rPr>
        <w:t>[4]</w:t>
      </w:r>
      <w:r w:rsidR="00125AF4">
        <w:rPr>
          <w:lang w:val="en-GB"/>
        </w:rPr>
        <w:fldChar w:fldCharType="end"/>
      </w:r>
      <w:r w:rsidR="0070142A">
        <w:rPr>
          <w:lang w:val="en-GB"/>
        </w:rPr>
        <w:t>.</w:t>
      </w:r>
      <w:r w:rsidR="0070142A" w:rsidRPr="00535DC7">
        <w:rPr>
          <w:lang w:val="en-GB"/>
        </w:rPr>
        <w:t xml:space="preserve"> </w:t>
      </w:r>
      <w:r w:rsidR="0070142A" w:rsidRPr="00AB0B74">
        <w:rPr>
          <w:lang w:val="en-GB"/>
        </w:rPr>
        <w:t>All parameters specified</w:t>
      </w:r>
      <w:r w:rsidR="00917383">
        <w:rPr>
          <w:lang w:val="en-GB"/>
        </w:rPr>
        <w:t xml:space="preserve"> </w:t>
      </w:r>
      <w:r w:rsidR="0070142A" w:rsidRPr="00AB0B74">
        <w:rPr>
          <w:lang w:val="en-GB"/>
        </w:rPr>
        <w:t>for the hazards should be taken into</w:t>
      </w:r>
      <w:r w:rsidR="0070142A">
        <w:rPr>
          <w:lang w:val="en-GB"/>
        </w:rPr>
        <w:t xml:space="preserve"> </w:t>
      </w:r>
      <w:r w:rsidR="0070142A" w:rsidRPr="00AB0B74">
        <w:rPr>
          <w:lang w:val="en-GB"/>
        </w:rPr>
        <w:t xml:space="preserve">account in performing the </w:t>
      </w:r>
      <w:r w:rsidR="00E86B2F">
        <w:rPr>
          <w:lang w:val="en-GB"/>
        </w:rPr>
        <w:t>impact</w:t>
      </w:r>
      <w:r w:rsidR="00E86B2F" w:rsidRPr="00AB0B74">
        <w:rPr>
          <w:lang w:val="en-GB"/>
        </w:rPr>
        <w:t xml:space="preserve"> </w:t>
      </w:r>
      <w:r w:rsidR="0070142A" w:rsidRPr="00AB0B74">
        <w:rPr>
          <w:lang w:val="en-GB"/>
        </w:rPr>
        <w:t>analysis</w:t>
      </w:r>
      <w:r w:rsidR="0070142A">
        <w:rPr>
          <w:lang w:val="en-GB"/>
        </w:rPr>
        <w:t xml:space="preserve">. </w:t>
      </w:r>
    </w:p>
    <w:p w:rsidR="00015310" w:rsidRDefault="00015310" w:rsidP="0070142A">
      <w:pPr>
        <w:rPr>
          <w:lang w:val="en-GB"/>
        </w:rPr>
      </w:pPr>
    </w:p>
    <w:p w:rsidR="0070142A" w:rsidRDefault="0070142A" w:rsidP="0070142A">
      <w:pPr>
        <w:rPr>
          <w:lang w:val="en-GB"/>
        </w:rPr>
      </w:pPr>
      <w:r>
        <w:rPr>
          <w:lang w:val="en-GB"/>
        </w:rPr>
        <w:t xml:space="preserve">Examples of external event scenarios and associated load parameters </w:t>
      </w:r>
      <w:r w:rsidR="00E86B2F">
        <w:rPr>
          <w:lang w:val="en-GB"/>
        </w:rPr>
        <w:t>are</w:t>
      </w:r>
      <w:r>
        <w:rPr>
          <w:lang w:val="en-GB"/>
        </w:rPr>
        <w:t xml:space="preserve"> listed </w:t>
      </w:r>
      <w:r w:rsidR="00E86B2F">
        <w:rPr>
          <w:lang w:val="en-GB"/>
        </w:rPr>
        <w:t>below</w:t>
      </w:r>
      <w:r>
        <w:rPr>
          <w:rStyle w:val="Appelnotedebasdep"/>
          <w:lang w:val="en-GB"/>
        </w:rPr>
        <w:footnoteReference w:id="16"/>
      </w:r>
      <w:r>
        <w:rPr>
          <w:lang w:val="en-GB"/>
        </w:rPr>
        <w:t>:</w:t>
      </w:r>
    </w:p>
    <w:p w:rsidR="0070142A" w:rsidRDefault="0070142A" w:rsidP="00E62976">
      <w:pPr>
        <w:numPr>
          <w:ilvl w:val="0"/>
          <w:numId w:val="74"/>
        </w:numPr>
        <w:rPr>
          <w:lang w:val="en-GB"/>
        </w:rPr>
      </w:pPr>
      <w:r>
        <w:rPr>
          <w:lang w:val="en-GB"/>
        </w:rPr>
        <w:t>external explosion:</w:t>
      </w:r>
    </w:p>
    <w:p w:rsidR="0070142A" w:rsidRDefault="0070142A" w:rsidP="00E62976">
      <w:pPr>
        <w:numPr>
          <w:ilvl w:val="1"/>
          <w:numId w:val="74"/>
        </w:numPr>
        <w:rPr>
          <w:lang w:val="en-GB"/>
        </w:rPr>
      </w:pPr>
      <w:r>
        <w:rPr>
          <w:lang w:val="en-GB"/>
        </w:rPr>
        <w:t>maximum pressure wave [kPa];</w:t>
      </w:r>
    </w:p>
    <w:p w:rsidR="0070142A" w:rsidRDefault="0070142A" w:rsidP="00E62976">
      <w:pPr>
        <w:numPr>
          <w:ilvl w:val="1"/>
          <w:numId w:val="74"/>
        </w:numPr>
        <w:rPr>
          <w:lang w:val="en-GB"/>
        </w:rPr>
      </w:pPr>
      <w:r>
        <w:rPr>
          <w:lang w:val="en-GB"/>
        </w:rPr>
        <w:t>maximum heat flux [W/m</w:t>
      </w:r>
      <w:r w:rsidRPr="00744E05">
        <w:rPr>
          <w:vertAlign w:val="superscript"/>
          <w:lang w:val="en-GB"/>
        </w:rPr>
        <w:t>2</w:t>
      </w:r>
      <w:r>
        <w:rPr>
          <w:lang w:val="en-GB"/>
        </w:rPr>
        <w:t>];</w:t>
      </w:r>
    </w:p>
    <w:p w:rsidR="0070142A" w:rsidRDefault="0070142A" w:rsidP="00E62976">
      <w:pPr>
        <w:numPr>
          <w:ilvl w:val="1"/>
          <w:numId w:val="74"/>
        </w:numPr>
        <w:rPr>
          <w:lang w:val="en-GB"/>
        </w:rPr>
      </w:pPr>
      <w:r>
        <w:rPr>
          <w:lang w:val="en-GB"/>
        </w:rPr>
        <w:t>peak ground velocity (due to vibratory ground motion) [m/s];</w:t>
      </w:r>
    </w:p>
    <w:p w:rsidR="0070142A" w:rsidRDefault="0070142A" w:rsidP="00E62976">
      <w:pPr>
        <w:numPr>
          <w:ilvl w:val="1"/>
          <w:numId w:val="74"/>
        </w:numPr>
        <w:rPr>
          <w:lang w:val="en-GB"/>
        </w:rPr>
      </w:pPr>
      <w:r>
        <w:rPr>
          <w:lang w:val="en-GB"/>
        </w:rPr>
        <w:t>maximum momentum of generated missiles [kg m/s];</w:t>
      </w:r>
    </w:p>
    <w:p w:rsidR="0070142A" w:rsidRDefault="0070142A" w:rsidP="00E62976">
      <w:pPr>
        <w:numPr>
          <w:ilvl w:val="1"/>
          <w:numId w:val="74"/>
        </w:numPr>
        <w:rPr>
          <w:lang w:val="en-GB"/>
        </w:rPr>
      </w:pPr>
      <w:r>
        <w:rPr>
          <w:lang w:val="en-GB"/>
        </w:rPr>
        <w:t>maximum concentration of a toxic substance for a certain exposure duration [ppm/hour].</w:t>
      </w:r>
    </w:p>
    <w:p w:rsidR="0070142A" w:rsidRDefault="0070142A" w:rsidP="00E62976">
      <w:pPr>
        <w:numPr>
          <w:ilvl w:val="0"/>
          <w:numId w:val="74"/>
        </w:numPr>
        <w:ind w:left="851"/>
        <w:rPr>
          <w:lang w:val="en-GB"/>
        </w:rPr>
      </w:pPr>
      <w:r>
        <w:rPr>
          <w:lang w:val="en-GB"/>
        </w:rPr>
        <w:t>external fire:</w:t>
      </w:r>
    </w:p>
    <w:p w:rsidR="0070142A" w:rsidRDefault="0070142A" w:rsidP="00E62976">
      <w:pPr>
        <w:numPr>
          <w:ilvl w:val="1"/>
          <w:numId w:val="74"/>
        </w:numPr>
        <w:rPr>
          <w:lang w:val="en-GB"/>
        </w:rPr>
      </w:pPr>
      <w:r>
        <w:rPr>
          <w:lang w:val="en-GB"/>
        </w:rPr>
        <w:t>maximum heat flux [W/m</w:t>
      </w:r>
      <w:r w:rsidRPr="00744E05">
        <w:rPr>
          <w:vertAlign w:val="superscript"/>
          <w:lang w:val="en-GB"/>
        </w:rPr>
        <w:t>2</w:t>
      </w:r>
      <w:r>
        <w:rPr>
          <w:lang w:val="en-GB"/>
        </w:rPr>
        <w:t>];</w:t>
      </w:r>
    </w:p>
    <w:p w:rsidR="0070142A" w:rsidRDefault="0070142A" w:rsidP="00E62976">
      <w:pPr>
        <w:numPr>
          <w:ilvl w:val="1"/>
          <w:numId w:val="74"/>
        </w:numPr>
        <w:rPr>
          <w:lang w:val="en-GB"/>
        </w:rPr>
      </w:pPr>
      <w:r>
        <w:rPr>
          <w:lang w:val="en-GB"/>
        </w:rPr>
        <w:t>maximum concentration of a toxic substance for a certain exposure duration [ppm/hour]</w:t>
      </w:r>
      <w:r w:rsidR="00990410">
        <w:rPr>
          <w:lang w:val="en-GB"/>
        </w:rPr>
        <w:t>.</w:t>
      </w:r>
    </w:p>
    <w:p w:rsidR="0070142A" w:rsidRDefault="0070142A" w:rsidP="00E62976">
      <w:pPr>
        <w:numPr>
          <w:ilvl w:val="0"/>
          <w:numId w:val="74"/>
        </w:numPr>
        <w:ind w:left="851"/>
        <w:rPr>
          <w:lang w:val="en-GB"/>
        </w:rPr>
      </w:pPr>
      <w:r w:rsidRPr="00F15850">
        <w:rPr>
          <w:lang w:val="en-GB"/>
        </w:rPr>
        <w:t>extreme wind</w:t>
      </w:r>
      <w:r>
        <w:rPr>
          <w:lang w:val="en-GB"/>
        </w:rPr>
        <w:t>:</w:t>
      </w:r>
    </w:p>
    <w:p w:rsidR="0070142A" w:rsidRDefault="0070142A" w:rsidP="00E62976">
      <w:pPr>
        <w:numPr>
          <w:ilvl w:val="1"/>
          <w:numId w:val="74"/>
        </w:numPr>
        <w:rPr>
          <w:lang w:val="en-GB"/>
        </w:rPr>
      </w:pPr>
      <w:r w:rsidRPr="00F15850">
        <w:rPr>
          <w:lang w:val="en-GB"/>
        </w:rPr>
        <w:t>maximum gust of wind</w:t>
      </w:r>
      <w:r>
        <w:rPr>
          <w:lang w:val="en-GB"/>
        </w:rPr>
        <w:t xml:space="preserve"> (related to a 2 second period) [m/s];</w:t>
      </w:r>
    </w:p>
    <w:p w:rsidR="0070142A" w:rsidRPr="00F15850" w:rsidRDefault="0070142A" w:rsidP="00E62976">
      <w:pPr>
        <w:numPr>
          <w:ilvl w:val="1"/>
          <w:numId w:val="74"/>
        </w:numPr>
        <w:rPr>
          <w:lang w:val="en-GB"/>
        </w:rPr>
      </w:pPr>
      <w:r>
        <w:rPr>
          <w:lang w:val="en-GB"/>
        </w:rPr>
        <w:t>maximum of 10 minute average wind speed [m/s].</w:t>
      </w:r>
    </w:p>
    <w:p w:rsidR="0070142A" w:rsidRDefault="0070142A" w:rsidP="00E62976">
      <w:pPr>
        <w:numPr>
          <w:ilvl w:val="0"/>
          <w:numId w:val="74"/>
        </w:numPr>
        <w:ind w:left="851"/>
        <w:rPr>
          <w:lang w:val="en-GB"/>
        </w:rPr>
      </w:pPr>
      <w:r>
        <w:rPr>
          <w:lang w:val="en-GB"/>
        </w:rPr>
        <w:t xml:space="preserve">extreme </w:t>
      </w:r>
      <w:r w:rsidRPr="00AE62AE">
        <w:rPr>
          <w:lang w:val="en-GB"/>
        </w:rPr>
        <w:t>air temperature</w:t>
      </w:r>
      <w:r>
        <w:rPr>
          <w:lang w:val="en-GB"/>
        </w:rPr>
        <w:t>:</w:t>
      </w:r>
    </w:p>
    <w:p w:rsidR="0070142A" w:rsidRDefault="0070142A" w:rsidP="00E62976">
      <w:pPr>
        <w:numPr>
          <w:ilvl w:val="1"/>
          <w:numId w:val="74"/>
        </w:numPr>
        <w:rPr>
          <w:lang w:val="en-GB"/>
        </w:rPr>
      </w:pPr>
      <w:r w:rsidRPr="00AE62AE">
        <w:rPr>
          <w:lang w:val="en-GB"/>
        </w:rPr>
        <w:t>maximum and minimum</w:t>
      </w:r>
      <w:r w:rsidRPr="001B7918">
        <w:rPr>
          <w:lang w:val="en-US"/>
        </w:rPr>
        <w:t xml:space="preserve"> instantaneous</w:t>
      </w:r>
      <w:r w:rsidRPr="00AE62AE">
        <w:rPr>
          <w:lang w:val="en-GB"/>
        </w:rPr>
        <w:t xml:space="preserve"> </w:t>
      </w:r>
      <w:r>
        <w:rPr>
          <w:lang w:val="en-GB"/>
        </w:rPr>
        <w:t>temperature</w:t>
      </w:r>
      <w:r w:rsidRPr="00AE62AE">
        <w:rPr>
          <w:lang w:val="en-GB"/>
        </w:rPr>
        <w:t xml:space="preserve"> [°C]</w:t>
      </w:r>
      <w:r>
        <w:rPr>
          <w:lang w:val="en-GB"/>
        </w:rPr>
        <w:t>;</w:t>
      </w:r>
    </w:p>
    <w:p w:rsidR="0070142A" w:rsidRPr="00AE62AE" w:rsidRDefault="0070142A" w:rsidP="00E62976">
      <w:pPr>
        <w:numPr>
          <w:ilvl w:val="1"/>
          <w:numId w:val="74"/>
        </w:numPr>
        <w:rPr>
          <w:lang w:val="en-GB"/>
        </w:rPr>
      </w:pPr>
      <w:r w:rsidRPr="00AE62AE">
        <w:rPr>
          <w:lang w:val="en-GB"/>
        </w:rPr>
        <w:t xml:space="preserve">maximum and minimum </w:t>
      </w:r>
      <w:r>
        <w:rPr>
          <w:lang w:val="en-GB"/>
        </w:rPr>
        <w:t xml:space="preserve">average temperature for a certain duration (e.g. </w:t>
      </w:r>
      <w:r w:rsidRPr="00AE62AE">
        <w:rPr>
          <w:lang w:val="en-GB"/>
        </w:rPr>
        <w:t>daily</w:t>
      </w:r>
      <w:r>
        <w:rPr>
          <w:lang w:val="en-GB"/>
        </w:rPr>
        <w:t xml:space="preserve"> or weekly average temperature) [°C].</w:t>
      </w:r>
    </w:p>
    <w:p w:rsidR="0070142A" w:rsidRDefault="0070142A" w:rsidP="00E62976">
      <w:pPr>
        <w:keepNext/>
        <w:numPr>
          <w:ilvl w:val="0"/>
          <w:numId w:val="74"/>
        </w:numPr>
        <w:ind w:left="850" w:hanging="357"/>
        <w:rPr>
          <w:lang w:val="en-GB"/>
        </w:rPr>
      </w:pPr>
      <w:r w:rsidRPr="00F15850">
        <w:rPr>
          <w:lang w:val="en-GB"/>
        </w:rPr>
        <w:t>extreme precipitation:</w:t>
      </w:r>
    </w:p>
    <w:p w:rsidR="0070142A" w:rsidRPr="00F15850" w:rsidRDefault="0070142A" w:rsidP="00E62976">
      <w:pPr>
        <w:numPr>
          <w:ilvl w:val="1"/>
          <w:numId w:val="74"/>
        </w:numPr>
        <w:rPr>
          <w:lang w:val="en-GB"/>
        </w:rPr>
      </w:pPr>
      <w:r w:rsidRPr="00F15850">
        <w:rPr>
          <w:lang w:val="en-GB"/>
        </w:rPr>
        <w:t xml:space="preserve">maximum </w:t>
      </w:r>
      <w:r>
        <w:rPr>
          <w:lang w:val="en-GB"/>
        </w:rPr>
        <w:t xml:space="preserve">precipitation intensity </w:t>
      </w:r>
      <w:r w:rsidRPr="00F15850">
        <w:rPr>
          <w:lang w:val="en-GB"/>
        </w:rPr>
        <w:t>for a certain duration (e.g. 10, 20, 60 minute or daily</w:t>
      </w:r>
      <w:r>
        <w:rPr>
          <w:lang w:val="en-GB"/>
        </w:rPr>
        <w:t>)</w:t>
      </w:r>
      <w:r w:rsidRPr="00F15850">
        <w:rPr>
          <w:lang w:val="en-GB"/>
        </w:rPr>
        <w:t xml:space="preserve"> </w:t>
      </w:r>
      <w:r>
        <w:rPr>
          <w:lang w:val="en-GB"/>
        </w:rPr>
        <w:t>[mm/min].</w:t>
      </w:r>
    </w:p>
    <w:p w:rsidR="0070142A" w:rsidRDefault="0070142A" w:rsidP="00E62976">
      <w:pPr>
        <w:numPr>
          <w:ilvl w:val="0"/>
          <w:numId w:val="74"/>
        </w:numPr>
        <w:ind w:left="851"/>
        <w:rPr>
          <w:lang w:val="en-GB"/>
        </w:rPr>
      </w:pPr>
      <w:r>
        <w:rPr>
          <w:lang w:val="en-GB"/>
        </w:rPr>
        <w:t>extreme snowfall:</w:t>
      </w:r>
    </w:p>
    <w:p w:rsidR="0070142A" w:rsidRDefault="0070142A" w:rsidP="00E62976">
      <w:pPr>
        <w:numPr>
          <w:ilvl w:val="1"/>
          <w:numId w:val="74"/>
        </w:numPr>
        <w:rPr>
          <w:lang w:val="en-GB"/>
        </w:rPr>
      </w:pPr>
      <w:r>
        <w:rPr>
          <w:lang w:val="en-GB"/>
        </w:rPr>
        <w:t>maximum thickness of snow [cm];</w:t>
      </w:r>
    </w:p>
    <w:p w:rsidR="0070142A" w:rsidRPr="00AE62AE" w:rsidRDefault="0070142A" w:rsidP="00E62976">
      <w:pPr>
        <w:numPr>
          <w:ilvl w:val="1"/>
          <w:numId w:val="74"/>
        </w:numPr>
        <w:rPr>
          <w:lang w:val="en-GB"/>
        </w:rPr>
      </w:pPr>
      <w:r>
        <w:rPr>
          <w:lang w:val="en-GB"/>
        </w:rPr>
        <w:t>maximum snow water equivalent [mm/cm].</w:t>
      </w:r>
    </w:p>
    <w:p w:rsidR="0070142A" w:rsidRDefault="0070142A" w:rsidP="00E62976">
      <w:pPr>
        <w:numPr>
          <w:ilvl w:val="0"/>
          <w:numId w:val="74"/>
        </w:numPr>
        <w:ind w:left="851"/>
        <w:rPr>
          <w:lang w:val="en-GB"/>
        </w:rPr>
      </w:pPr>
      <w:r>
        <w:rPr>
          <w:lang w:val="en-GB"/>
        </w:rPr>
        <w:t>lightning:</w:t>
      </w:r>
    </w:p>
    <w:p w:rsidR="0070142A" w:rsidRDefault="0070142A" w:rsidP="00E62976">
      <w:pPr>
        <w:numPr>
          <w:ilvl w:val="1"/>
          <w:numId w:val="74"/>
        </w:numPr>
        <w:rPr>
          <w:lang w:val="en-GB"/>
        </w:rPr>
      </w:pPr>
      <w:r w:rsidRPr="004C4F22">
        <w:rPr>
          <w:lang w:val="en-GB"/>
        </w:rPr>
        <w:t>peak value of lightning current [kA];</w:t>
      </w:r>
    </w:p>
    <w:p w:rsidR="0070142A" w:rsidRDefault="0070142A" w:rsidP="00E62976">
      <w:pPr>
        <w:numPr>
          <w:ilvl w:val="1"/>
          <w:numId w:val="74"/>
        </w:numPr>
        <w:rPr>
          <w:lang w:val="en-GB"/>
        </w:rPr>
      </w:pPr>
      <w:r>
        <w:rPr>
          <w:lang w:val="en-GB"/>
        </w:rPr>
        <w:t>maximum steepness of the lightning current [kA/s];</w:t>
      </w:r>
    </w:p>
    <w:p w:rsidR="0070142A" w:rsidRPr="004C4F22" w:rsidRDefault="0070142A" w:rsidP="00E62976">
      <w:pPr>
        <w:numPr>
          <w:ilvl w:val="1"/>
          <w:numId w:val="74"/>
        </w:numPr>
        <w:rPr>
          <w:lang w:val="en-GB"/>
        </w:rPr>
      </w:pPr>
      <w:r>
        <w:rPr>
          <w:lang w:val="en-GB"/>
        </w:rPr>
        <w:t>maximum</w:t>
      </w:r>
      <w:r w:rsidRPr="004C4F22">
        <w:rPr>
          <w:lang w:val="en-GB"/>
        </w:rPr>
        <w:t xml:space="preserve"> charge of the lightning current </w:t>
      </w:r>
      <w:r>
        <w:rPr>
          <w:lang w:val="en-GB"/>
        </w:rPr>
        <w:t>[kAs];</w:t>
      </w:r>
    </w:p>
    <w:p w:rsidR="0070142A" w:rsidRPr="004C4F22" w:rsidRDefault="0070142A" w:rsidP="00E62976">
      <w:pPr>
        <w:numPr>
          <w:ilvl w:val="1"/>
          <w:numId w:val="74"/>
        </w:numPr>
        <w:rPr>
          <w:lang w:val="en-GB"/>
        </w:rPr>
      </w:pPr>
      <w:r>
        <w:rPr>
          <w:lang w:val="en-GB"/>
        </w:rPr>
        <w:t xml:space="preserve">maximum </w:t>
      </w:r>
      <w:r w:rsidRPr="004C4F22">
        <w:rPr>
          <w:lang w:val="en-GB"/>
        </w:rPr>
        <w:t>specific energy of the lightning cur</w:t>
      </w:r>
      <w:r>
        <w:rPr>
          <w:lang w:val="en-GB"/>
        </w:rPr>
        <w:t>rent [MJ/Ω].</w:t>
      </w:r>
    </w:p>
    <w:p w:rsidR="00015310" w:rsidRDefault="001924C0" w:rsidP="005079A3">
      <w:pPr>
        <w:pStyle w:val="Titre4"/>
        <w:rPr>
          <w:lang w:val="en-GB"/>
        </w:rPr>
      </w:pPr>
      <w:r>
        <w:rPr>
          <w:lang w:val="en-GB"/>
        </w:rPr>
        <w:t>Maximum impact</w:t>
      </w:r>
    </w:p>
    <w:p w:rsidR="001924C0" w:rsidRDefault="0070142A" w:rsidP="0070142A">
      <w:pPr>
        <w:rPr>
          <w:lang w:val="en-GB"/>
        </w:rPr>
      </w:pPr>
      <w:r>
        <w:rPr>
          <w:lang w:val="en-GB"/>
        </w:rPr>
        <w:t>The maximum impact that can develop in the vicinity of the site due to an</w:t>
      </w:r>
      <w:r w:rsidRPr="00AE62AE">
        <w:rPr>
          <w:lang w:val="en-GB"/>
        </w:rPr>
        <w:t xml:space="preserve"> external </w:t>
      </w:r>
      <w:r>
        <w:rPr>
          <w:lang w:val="en-GB"/>
        </w:rPr>
        <w:t xml:space="preserve">event (or combination of events) should be determined for the purposes of impact screening. This should be based on reasonably conservative assumptions on those factors that determine the harmful effects of an </w:t>
      </w:r>
      <w:r w:rsidRPr="00E46C21">
        <w:rPr>
          <w:lang w:val="en-GB"/>
        </w:rPr>
        <w:t>initiating accident</w:t>
      </w:r>
      <w:r>
        <w:rPr>
          <w:lang w:val="en-GB"/>
        </w:rPr>
        <w:t xml:space="preserve"> (e.g. assumed maximum freight in a transportation accident)</w:t>
      </w:r>
      <w:r w:rsidRPr="00E46C21">
        <w:rPr>
          <w:lang w:val="en-GB"/>
        </w:rPr>
        <w:t>.</w:t>
      </w:r>
      <w:r>
        <w:rPr>
          <w:lang w:val="en-GB"/>
        </w:rPr>
        <w:t xml:space="preserve"> Besides the maximum load induced by the event at the location of the source, the maximum impact on the plant is also assessed and used during screening. These two quantities, i.e. the maximum load at the source and the maximum load that can impact on the plant can be considered identical for most natural events (e.g. extreme wind), but they are usually different for man-made events (e.g. accidents during railway transport). The distance between the event location and the plant, the characteristics of propagation, spread and decay should be taken into consideration to determine the impact on the plant. </w:t>
      </w:r>
    </w:p>
    <w:p w:rsidR="00BD13B6" w:rsidRDefault="00BD13B6" w:rsidP="0070142A">
      <w:pPr>
        <w:rPr>
          <w:lang w:val="en-GB"/>
        </w:rPr>
      </w:pPr>
    </w:p>
    <w:p w:rsidR="0027676D" w:rsidRDefault="0027676D" w:rsidP="0027676D">
      <w:pPr>
        <w:pStyle w:val="Titre4"/>
        <w:rPr>
          <w:lang w:val="en-GB"/>
        </w:rPr>
      </w:pPr>
      <w:r>
        <w:rPr>
          <w:lang w:val="en-GB"/>
        </w:rPr>
        <w:t>Maximum credible impact</w:t>
      </w:r>
    </w:p>
    <w:p w:rsidR="0070142A" w:rsidRDefault="0070142A" w:rsidP="0070142A">
      <w:pPr>
        <w:rPr>
          <w:lang w:val="en-GB"/>
        </w:rPr>
      </w:pPr>
      <w:r>
        <w:rPr>
          <w:lang w:val="en-GB"/>
        </w:rPr>
        <w:t>If engineering estimates prove insufficient for screening, a more detailed analysis should be done as part of bounding analysis and the event should not be screened out at this stage. The maximum load on the plant induced by an external event applicable to the site under realistically possible boundary conditions is called maximum credible impact.</w:t>
      </w:r>
    </w:p>
    <w:p w:rsidR="0070142A" w:rsidRDefault="0070142A" w:rsidP="0070142A">
      <w:pPr>
        <w:rPr>
          <w:lang w:val="en-GB"/>
        </w:rPr>
      </w:pPr>
      <w:r>
        <w:rPr>
          <w:lang w:val="en-GB"/>
        </w:rPr>
        <w:t>The assessment of the maximum credible impact induced by most man-made external events can be based on site</w:t>
      </w:r>
      <w:r w:rsidR="00C25DEC">
        <w:rPr>
          <w:lang w:val="en-GB"/>
        </w:rPr>
        <w:t>-</w:t>
      </w:r>
      <w:r>
        <w:rPr>
          <w:lang w:val="en-GB"/>
        </w:rPr>
        <w:t>specific geographical data. Typically, a limiting value can be determined for those parameters of the source that are relevant for the impact (e.g. energy)</w:t>
      </w:r>
      <w:r w:rsidRPr="00771E75">
        <w:rPr>
          <w:lang w:val="en-GB"/>
        </w:rPr>
        <w:t xml:space="preserve"> </w:t>
      </w:r>
      <w:r>
        <w:rPr>
          <w:lang w:val="en-GB"/>
        </w:rPr>
        <w:t>irrespective of the occurrence frequency of the event. For instance, the maximum pressure wave due to a road transport accident can be assessed by taking into consideration the following:</w:t>
      </w:r>
    </w:p>
    <w:p w:rsidR="00B43A8C" w:rsidRDefault="0070142A" w:rsidP="00E62976">
      <w:pPr>
        <w:numPr>
          <w:ilvl w:val="0"/>
          <w:numId w:val="75"/>
        </w:numPr>
        <w:ind w:left="851"/>
        <w:rPr>
          <w:lang w:val="en-GB"/>
        </w:rPr>
      </w:pPr>
      <w:r w:rsidRPr="00B43A8C">
        <w:rPr>
          <w:lang w:val="en-GB"/>
        </w:rPr>
        <w:t>substances transported by trucks on roads near the plant (based on transportation records),</w:t>
      </w:r>
    </w:p>
    <w:p w:rsidR="0070142A" w:rsidRPr="00B43A8C" w:rsidRDefault="0070142A" w:rsidP="00E62976">
      <w:pPr>
        <w:numPr>
          <w:ilvl w:val="0"/>
          <w:numId w:val="75"/>
        </w:numPr>
        <w:ind w:left="851"/>
        <w:rPr>
          <w:lang w:val="en-GB"/>
        </w:rPr>
      </w:pPr>
      <w:r w:rsidRPr="00B43A8C">
        <w:rPr>
          <w:lang w:val="en-GB"/>
        </w:rPr>
        <w:t>maximum allowed cargo for each substance relevant for the roads in the vicinity of the site (based on national or regional regulations on transport),</w:t>
      </w:r>
    </w:p>
    <w:p w:rsidR="0070142A" w:rsidRDefault="0070142A" w:rsidP="00E62976">
      <w:pPr>
        <w:numPr>
          <w:ilvl w:val="0"/>
          <w:numId w:val="75"/>
        </w:numPr>
        <w:ind w:left="851"/>
        <w:rPr>
          <w:lang w:val="en-GB"/>
        </w:rPr>
      </w:pPr>
      <w:r w:rsidRPr="001016DF">
        <w:rPr>
          <w:lang w:val="en-GB"/>
        </w:rPr>
        <w:t>physical-chemical characteristics of the substances</w:t>
      </w:r>
      <w:r>
        <w:rPr>
          <w:lang w:val="en-GB"/>
        </w:rPr>
        <w:t xml:space="preserve"> transported</w:t>
      </w:r>
      <w:r w:rsidRPr="001016DF">
        <w:rPr>
          <w:lang w:val="en-GB"/>
        </w:rPr>
        <w:t>,</w:t>
      </w:r>
    </w:p>
    <w:p w:rsidR="0070142A" w:rsidRDefault="0070142A" w:rsidP="00E62976">
      <w:pPr>
        <w:numPr>
          <w:ilvl w:val="0"/>
          <w:numId w:val="75"/>
        </w:numPr>
        <w:ind w:left="851"/>
        <w:rPr>
          <w:lang w:val="en-GB"/>
        </w:rPr>
      </w:pPr>
      <w:r>
        <w:rPr>
          <w:lang w:val="en-GB"/>
        </w:rPr>
        <w:t>site specific meteorological data for the assessment of environmental spread,</w:t>
      </w:r>
    </w:p>
    <w:p w:rsidR="0070142A" w:rsidRDefault="0070142A" w:rsidP="00E62976">
      <w:pPr>
        <w:numPr>
          <w:ilvl w:val="0"/>
          <w:numId w:val="75"/>
        </w:numPr>
        <w:ind w:left="851"/>
        <w:rPr>
          <w:lang w:val="en-GB"/>
        </w:rPr>
      </w:pPr>
      <w:r>
        <w:rPr>
          <w:lang w:val="en-GB"/>
        </w:rPr>
        <w:t>geographical data around the site (e.g. topography, terrain).</w:t>
      </w:r>
    </w:p>
    <w:p w:rsidR="00BD13B6" w:rsidRDefault="00BD13B6" w:rsidP="005079A3">
      <w:pPr>
        <w:rPr>
          <w:lang w:val="en-GB"/>
        </w:rPr>
      </w:pPr>
    </w:p>
    <w:p w:rsidR="00BD13B6" w:rsidRDefault="00BD13B6" w:rsidP="00BD13B6">
      <w:pPr>
        <w:rPr>
          <w:lang w:val="en-GB"/>
        </w:rPr>
      </w:pPr>
      <w:r>
        <w:rPr>
          <w:lang w:val="en-GB"/>
        </w:rPr>
        <w:t>E</w:t>
      </w:r>
      <w:r w:rsidRPr="001F7F9A">
        <w:rPr>
          <w:lang w:val="en-GB"/>
        </w:rPr>
        <w:t xml:space="preserve">stimating the maximum credible impact for a hazard or hazard scenario </w:t>
      </w:r>
      <w:r>
        <w:rPr>
          <w:lang w:val="en-GB"/>
        </w:rPr>
        <w:t xml:space="preserve">can be done </w:t>
      </w:r>
      <w:r w:rsidRPr="001F7F9A">
        <w:rPr>
          <w:lang w:val="en-GB"/>
        </w:rPr>
        <w:t xml:space="preserve">by expert judgement, informed by all available information including hazard frequency curves. The maximum credible impact should be estimated in a conservative way. </w:t>
      </w:r>
      <w:r w:rsidR="0004443C">
        <w:rPr>
          <w:lang w:val="en-GB"/>
        </w:rPr>
        <w:t>Deterministic siting and hazard studies will provide valuable input for PSA purposes.</w:t>
      </w:r>
    </w:p>
    <w:p w:rsidR="00630E44" w:rsidRDefault="00630E44" w:rsidP="00630E44">
      <w:pPr>
        <w:pStyle w:val="Titre4"/>
        <w:rPr>
          <w:lang w:val="en-GB"/>
        </w:rPr>
      </w:pPr>
      <w:r>
        <w:rPr>
          <w:lang w:val="en-GB"/>
        </w:rPr>
        <w:t>Comparison of the maximum credible impact with existing protections</w:t>
      </w:r>
    </w:p>
    <w:p w:rsidR="00630E44" w:rsidRDefault="00630E44" w:rsidP="00630E44">
      <w:pPr>
        <w:rPr>
          <w:lang w:val="en-GB"/>
        </w:rPr>
      </w:pPr>
      <w:r>
        <w:rPr>
          <w:lang w:val="en-GB"/>
        </w:rPr>
        <w:t xml:space="preserve">By comparing the maximum credible impact of an external hazard with existing protection of the relevant safety functions </w:t>
      </w:r>
      <w:r w:rsidRPr="00AE62AE">
        <w:rPr>
          <w:lang w:val="en-GB"/>
        </w:rPr>
        <w:t>enable</w:t>
      </w:r>
      <w:r>
        <w:rPr>
          <w:lang w:val="en-GB"/>
        </w:rPr>
        <w:t>s</w:t>
      </w:r>
      <w:r w:rsidRPr="00AE62AE">
        <w:rPr>
          <w:lang w:val="en-GB"/>
        </w:rPr>
        <w:t xml:space="preserve"> to decide if </w:t>
      </w:r>
      <w:r>
        <w:rPr>
          <w:lang w:val="en-GB"/>
        </w:rPr>
        <w:t>the external hazard</w:t>
      </w:r>
      <w:r w:rsidRPr="00AE62AE">
        <w:rPr>
          <w:lang w:val="en-GB"/>
        </w:rPr>
        <w:t xml:space="preserve"> </w:t>
      </w:r>
      <w:r>
        <w:rPr>
          <w:lang w:val="en-GB"/>
        </w:rPr>
        <w:t xml:space="preserve">can be </w:t>
      </w:r>
      <w:r w:rsidRPr="00AE62AE">
        <w:rPr>
          <w:lang w:val="en-GB"/>
        </w:rPr>
        <w:t>screen</w:t>
      </w:r>
      <w:r>
        <w:rPr>
          <w:lang w:val="en-GB"/>
        </w:rPr>
        <w:t>ed</w:t>
      </w:r>
      <w:r w:rsidRPr="00AE62AE">
        <w:rPr>
          <w:lang w:val="en-GB"/>
        </w:rPr>
        <w:t xml:space="preserve"> out</w:t>
      </w:r>
      <w:r>
        <w:rPr>
          <w:lang w:val="en-GB"/>
        </w:rPr>
        <w:t xml:space="preserve"> or not</w:t>
      </w:r>
      <w:r w:rsidRPr="00AE62AE">
        <w:rPr>
          <w:lang w:val="en-GB"/>
        </w:rPr>
        <w:t>.</w:t>
      </w:r>
      <w:r>
        <w:rPr>
          <w:lang w:val="en-GB"/>
        </w:rPr>
        <w:t xml:space="preserve"> For this reason the protection of the safety functions against the loads induced by external hazards has to be assessed. This is done by assembling all relevant design basis data for the SSCs affected by the external event. In some cases, especially for plants in operation, the information needed for the assessment may be incomplete. Consequently, deterministic screening criteria for certain impacts may be difficult to set. Use should be made of expert opinion on the protection against certain impacts (e.g. heat flux, pressure wave, missile penetration, etc.).</w:t>
      </w:r>
    </w:p>
    <w:p w:rsidR="001924C0" w:rsidRDefault="0027676D" w:rsidP="005079A3">
      <w:pPr>
        <w:pStyle w:val="Titre4"/>
        <w:rPr>
          <w:lang w:val="en-GB"/>
        </w:rPr>
      </w:pPr>
      <w:r>
        <w:rPr>
          <w:lang w:val="en-GB"/>
        </w:rPr>
        <w:t>Exceedance frequency curves for the maximum credible impact</w:t>
      </w:r>
    </w:p>
    <w:p w:rsidR="00396EB8" w:rsidRDefault="0070142A" w:rsidP="00396EB8">
      <w:pPr>
        <w:rPr>
          <w:lang w:val="en-GB"/>
        </w:rPr>
      </w:pPr>
      <w:r w:rsidRPr="00F6767D">
        <w:rPr>
          <w:lang w:val="en-GB"/>
        </w:rPr>
        <w:t xml:space="preserve">For </w:t>
      </w:r>
      <w:r w:rsidR="001924C0">
        <w:rPr>
          <w:lang w:val="en-GB"/>
        </w:rPr>
        <w:t>many</w:t>
      </w:r>
      <w:r w:rsidRPr="00F6767D">
        <w:rPr>
          <w:lang w:val="en-GB"/>
        </w:rPr>
        <w:t xml:space="preserve"> natural hazards screened in as applicable, a maximum impact </w:t>
      </w:r>
      <w:r>
        <w:rPr>
          <w:lang w:val="en-GB"/>
        </w:rPr>
        <w:t xml:space="preserve">at the site </w:t>
      </w:r>
      <w:r w:rsidRPr="00F6767D">
        <w:rPr>
          <w:lang w:val="en-GB"/>
        </w:rPr>
        <w:t>cannot be determined</w:t>
      </w:r>
      <w:r>
        <w:rPr>
          <w:lang w:val="en-GB"/>
        </w:rPr>
        <w:t xml:space="preserve"> independent of the</w:t>
      </w:r>
      <w:r w:rsidRPr="00F6767D">
        <w:rPr>
          <w:lang w:val="en-GB"/>
        </w:rPr>
        <w:t xml:space="preserve"> occurrence frequency</w:t>
      </w:r>
      <w:r>
        <w:rPr>
          <w:lang w:val="en-GB"/>
        </w:rPr>
        <w:t xml:space="preserve"> or exceedance frequency. In these cases, the magnitude of hazard impact is effectively not bounded by physical effects or site-specific properties (e.g. tsunami height due to asteroid impact for coastal sites or earthquake magnitude for seismically active regions). Then, a maximum credible impact needs to be determined with explicit reference to frequency of exceedance curves with a reasonably small frequency threshold. This threshold will depend on screening criteria, and might be in the range of </w:t>
      </w:r>
      <w:r w:rsidRPr="00F6767D">
        <w:rPr>
          <w:lang w:val="en-GB"/>
        </w:rPr>
        <w:t>10</w:t>
      </w:r>
      <w:r w:rsidRPr="001B7918">
        <w:rPr>
          <w:vertAlign w:val="superscript"/>
          <w:lang w:val="en-GB"/>
        </w:rPr>
        <w:t>-7</w:t>
      </w:r>
      <w:r w:rsidR="00494D47">
        <w:rPr>
          <w:lang w:val="en-GB"/>
        </w:rPr>
        <w:t>/a</w:t>
      </w:r>
      <w:r w:rsidRPr="00F6767D">
        <w:rPr>
          <w:lang w:val="en-GB"/>
        </w:rPr>
        <w:t xml:space="preserve"> </w:t>
      </w:r>
      <w:r>
        <w:rPr>
          <w:lang w:val="en-GB"/>
        </w:rPr>
        <w:t>to</w:t>
      </w:r>
      <w:r w:rsidRPr="00F6767D">
        <w:rPr>
          <w:lang w:val="en-GB"/>
        </w:rPr>
        <w:t xml:space="preserve"> 10</w:t>
      </w:r>
      <w:r w:rsidRPr="001B7918">
        <w:rPr>
          <w:vertAlign w:val="superscript"/>
          <w:lang w:val="en-GB"/>
        </w:rPr>
        <w:t>-8</w:t>
      </w:r>
      <w:r w:rsidR="00494D47">
        <w:rPr>
          <w:lang w:val="en-GB"/>
        </w:rPr>
        <w:t>/a</w:t>
      </w:r>
      <w:r>
        <w:rPr>
          <w:lang w:val="en-GB"/>
        </w:rPr>
        <w:t xml:space="preserve"> or even below</w:t>
      </w:r>
      <w:r w:rsidR="00FD25C7">
        <w:rPr>
          <w:lang w:val="en-GB"/>
        </w:rPr>
        <w:t xml:space="preserve"> for PSA</w:t>
      </w:r>
      <w:r>
        <w:rPr>
          <w:lang w:val="en-GB"/>
        </w:rPr>
        <w:t>. If the analysts cannot demonstrate that the safety of the plant is not challenged by using such assumptions, the respective hazard should be treated by bounding assessment (see below).</w:t>
      </w:r>
      <w:r w:rsidR="00396EB8">
        <w:rPr>
          <w:lang w:val="en-GB"/>
        </w:rPr>
        <w:t xml:space="preserve"> </w:t>
      </w:r>
      <w:r w:rsidR="00396EB8" w:rsidRPr="001F7F9A">
        <w:rPr>
          <w:lang w:val="en-GB"/>
        </w:rPr>
        <w:t>Often, design basis values are set at exceedance frequencies of 10</w:t>
      </w:r>
      <w:r w:rsidR="00396EB8" w:rsidRPr="003743FB">
        <w:rPr>
          <w:vertAlign w:val="superscript"/>
          <w:lang w:val="en-GB"/>
        </w:rPr>
        <w:t>-4</w:t>
      </w:r>
      <w:r w:rsidR="008B6CBF" w:rsidRPr="008B6CBF">
        <w:rPr>
          <w:lang w:val="en-GB"/>
        </w:rPr>
        <w:t>/a</w:t>
      </w:r>
      <w:r w:rsidR="00396EB8" w:rsidRPr="001F7F9A">
        <w:rPr>
          <w:lang w:val="en-GB"/>
        </w:rPr>
        <w:t xml:space="preserve"> or 10</w:t>
      </w:r>
      <w:r w:rsidR="00396EB8" w:rsidRPr="003743FB">
        <w:rPr>
          <w:vertAlign w:val="superscript"/>
          <w:lang w:val="en-GB"/>
        </w:rPr>
        <w:t>-5</w:t>
      </w:r>
      <w:r w:rsidR="008B6CBF" w:rsidRPr="008B6CBF">
        <w:rPr>
          <w:lang w:val="en-GB"/>
        </w:rPr>
        <w:t>/a</w:t>
      </w:r>
      <w:r w:rsidR="00396EB8">
        <w:rPr>
          <w:lang w:val="en-GB"/>
        </w:rPr>
        <w:t xml:space="preserve"> and the main difficulty for the PSA development is to determine the exceedance frequency curve in the range 10</w:t>
      </w:r>
      <w:r w:rsidR="00396EB8" w:rsidRPr="005079A3">
        <w:rPr>
          <w:vertAlign w:val="superscript"/>
          <w:lang w:val="en-GB"/>
        </w:rPr>
        <w:t>-8</w:t>
      </w:r>
      <w:r w:rsidR="008B6CBF" w:rsidRPr="008B6CBF">
        <w:rPr>
          <w:lang w:val="en-GB"/>
        </w:rPr>
        <w:t>/a</w:t>
      </w:r>
      <w:r w:rsidR="00396EB8">
        <w:rPr>
          <w:lang w:val="en-GB"/>
        </w:rPr>
        <w:t xml:space="preserve"> to 10</w:t>
      </w:r>
      <w:r w:rsidR="00396EB8" w:rsidRPr="005079A3">
        <w:rPr>
          <w:vertAlign w:val="superscript"/>
          <w:lang w:val="en-GB"/>
        </w:rPr>
        <w:t>-4</w:t>
      </w:r>
      <w:r w:rsidR="008B6CBF" w:rsidRPr="008B6CBF">
        <w:rPr>
          <w:lang w:val="en-GB"/>
        </w:rPr>
        <w:t>/a</w:t>
      </w:r>
      <w:r w:rsidR="00396EB8">
        <w:rPr>
          <w:lang w:val="en-GB"/>
        </w:rPr>
        <w:t>.</w:t>
      </w:r>
    </w:p>
    <w:p w:rsidR="00396EB8" w:rsidRDefault="00396EB8" w:rsidP="0070142A">
      <w:pPr>
        <w:rPr>
          <w:lang w:val="en-GB"/>
        </w:rPr>
      </w:pPr>
    </w:p>
    <w:p w:rsidR="00C25DEC" w:rsidRDefault="00396EB8" w:rsidP="0070142A">
      <w:pPr>
        <w:rPr>
          <w:lang w:val="en-GB"/>
        </w:rPr>
      </w:pPr>
      <w:r w:rsidRPr="001F7F9A">
        <w:rPr>
          <w:lang w:val="en-GB"/>
        </w:rPr>
        <w:t xml:space="preserve">If a frequency </w:t>
      </w:r>
      <w:r>
        <w:rPr>
          <w:lang w:val="en-GB"/>
        </w:rPr>
        <w:t>value (or range)</w:t>
      </w:r>
      <w:r w:rsidRPr="001F7F9A">
        <w:rPr>
          <w:lang w:val="en-GB"/>
        </w:rPr>
        <w:t xml:space="preserve"> for the hazard is set, then the maximum probable impact can be assigned to the load parameter value </w:t>
      </w:r>
      <w:r>
        <w:rPr>
          <w:lang w:val="en-GB"/>
        </w:rPr>
        <w:t xml:space="preserve">(or range) </w:t>
      </w:r>
      <w:r w:rsidRPr="001F7F9A">
        <w:rPr>
          <w:lang w:val="en-GB"/>
        </w:rPr>
        <w:t xml:space="preserve">of the frequency of exceedance curve. Often, the parameter at the median (“best-estimate”) value of the curve is taken. However, uncertainty bands should be considered at least as sensitivity cases. </w:t>
      </w:r>
      <w:r>
        <w:rPr>
          <w:lang w:val="en-GB"/>
        </w:rPr>
        <w:t>D</w:t>
      </w:r>
      <w:r w:rsidRPr="001F7F9A">
        <w:rPr>
          <w:lang w:val="en-GB"/>
        </w:rPr>
        <w:t xml:space="preserve">efining maximum credible </w:t>
      </w:r>
      <w:r>
        <w:rPr>
          <w:lang w:val="en-GB"/>
        </w:rPr>
        <w:t>impact for this frequency value (range) at a high</w:t>
      </w:r>
      <w:r w:rsidRPr="001F7F9A">
        <w:rPr>
          <w:lang w:val="en-GB"/>
        </w:rPr>
        <w:t xml:space="preserve"> percentile (e.g. 95%) of uncertainty bands is recommended. This approach is </w:t>
      </w:r>
      <w:r>
        <w:rPr>
          <w:lang w:val="en-GB"/>
        </w:rPr>
        <w:t>meaningful</w:t>
      </w:r>
      <w:r w:rsidRPr="001F7F9A">
        <w:rPr>
          <w:lang w:val="en-GB"/>
        </w:rPr>
        <w:t xml:space="preserve"> if the region of interest of the hazard frequency curve can be determined without excessive uncertainty.</w:t>
      </w:r>
    </w:p>
    <w:p w:rsidR="00FD25C7" w:rsidRDefault="00FD25C7" w:rsidP="0070142A">
      <w:pPr>
        <w:rPr>
          <w:lang w:val="en-GB"/>
        </w:rPr>
      </w:pPr>
    </w:p>
    <w:p w:rsidR="0070142A" w:rsidRDefault="0070142A" w:rsidP="0070142A">
      <w:pPr>
        <w:rPr>
          <w:lang w:val="en-GB"/>
        </w:rPr>
      </w:pPr>
      <w:r w:rsidRPr="001F7F9A">
        <w:rPr>
          <w:lang w:val="en-GB"/>
        </w:rPr>
        <w:t>The hazard can be screened out due to impact if the safety of the plant is not challenged by the maximum credible impact</w:t>
      </w:r>
      <w:r w:rsidR="0075546B">
        <w:rPr>
          <w:lang w:val="en-GB"/>
        </w:rPr>
        <w:t xml:space="preserve"> (obtained from the low frequency part of the exceedance frequency curve)</w:t>
      </w:r>
      <w:r w:rsidRPr="001F7F9A">
        <w:rPr>
          <w:lang w:val="en-GB"/>
        </w:rPr>
        <w:t xml:space="preserve">. </w:t>
      </w:r>
      <w:r w:rsidR="0075546B">
        <w:rPr>
          <w:lang w:val="en-GB"/>
        </w:rPr>
        <w:t>In that case,</w:t>
      </w:r>
      <w:r>
        <w:rPr>
          <w:lang w:val="en-GB"/>
        </w:rPr>
        <w:t xml:space="preserve"> the frequency threshold for maximum credible impact (if applicable) </w:t>
      </w:r>
      <w:r w:rsidR="0075546B">
        <w:rPr>
          <w:lang w:val="en-GB"/>
        </w:rPr>
        <w:t>shall be consistent with the quantitative screening criteria</w:t>
      </w:r>
      <w:r w:rsidR="00C25DEC">
        <w:rPr>
          <w:lang w:val="en-GB"/>
        </w:rPr>
        <w:t xml:space="preserve"> (see section </w:t>
      </w:r>
      <w:r w:rsidR="00125AF4">
        <w:rPr>
          <w:lang w:val="en-GB"/>
        </w:rPr>
        <w:fldChar w:fldCharType="begin"/>
      </w:r>
      <w:r w:rsidR="00C25DEC">
        <w:rPr>
          <w:lang w:val="en-GB"/>
        </w:rPr>
        <w:instrText xml:space="preserve"> REF _Ref445029148 \r \h </w:instrText>
      </w:r>
      <w:r w:rsidR="00125AF4">
        <w:rPr>
          <w:lang w:val="en-GB"/>
        </w:rPr>
      </w:r>
      <w:r w:rsidR="00125AF4">
        <w:rPr>
          <w:lang w:val="en-GB"/>
        </w:rPr>
        <w:fldChar w:fldCharType="separate"/>
      </w:r>
      <w:r w:rsidR="00E62976">
        <w:rPr>
          <w:lang w:val="en-GB"/>
        </w:rPr>
        <w:t>6.2</w:t>
      </w:r>
      <w:r w:rsidR="00125AF4">
        <w:rPr>
          <w:lang w:val="en-GB"/>
        </w:rPr>
        <w:fldChar w:fldCharType="end"/>
      </w:r>
      <w:r w:rsidR="00C25DEC">
        <w:rPr>
          <w:lang w:val="en-GB"/>
        </w:rPr>
        <w:t>)</w:t>
      </w:r>
      <w:r>
        <w:rPr>
          <w:lang w:val="en-GB"/>
        </w:rPr>
        <w:t>.</w:t>
      </w:r>
      <w:r w:rsidRPr="001F7F9A">
        <w:rPr>
          <w:lang w:val="en-GB"/>
        </w:rPr>
        <w:t xml:space="preserve"> </w:t>
      </w:r>
    </w:p>
    <w:p w:rsidR="00FD25C7" w:rsidRDefault="00FD25C7" w:rsidP="00FD25C7">
      <w:pPr>
        <w:pStyle w:val="Titre4"/>
        <w:rPr>
          <w:lang w:val="en-GB"/>
        </w:rPr>
      </w:pPr>
      <w:r>
        <w:rPr>
          <w:lang w:val="en-GB"/>
        </w:rPr>
        <w:t>Multiple impacts, secondary impact analysis</w:t>
      </w:r>
      <w:r w:rsidR="00B54DC6">
        <w:rPr>
          <w:lang w:val="en-GB"/>
        </w:rPr>
        <w:t xml:space="preserve"> on </w:t>
      </w:r>
      <w:r w:rsidR="00630E44">
        <w:rPr>
          <w:lang w:val="en-GB"/>
        </w:rPr>
        <w:t xml:space="preserve">plant </w:t>
      </w:r>
      <w:r w:rsidR="00B54DC6">
        <w:rPr>
          <w:lang w:val="en-GB"/>
        </w:rPr>
        <w:t>structures and systems</w:t>
      </w:r>
    </w:p>
    <w:p w:rsidR="00FD25C7" w:rsidRDefault="00BD13B6" w:rsidP="0070142A">
      <w:pPr>
        <w:rPr>
          <w:lang w:val="en-GB"/>
        </w:rPr>
      </w:pPr>
      <w:r>
        <w:rPr>
          <w:lang w:val="en-GB"/>
        </w:rPr>
        <w:t>Many</w:t>
      </w:r>
      <w:r w:rsidR="0070142A">
        <w:rPr>
          <w:lang w:val="en-GB"/>
        </w:rPr>
        <w:t xml:space="preserve"> external events have more than one harmful effect, including secondary effects</w:t>
      </w:r>
      <w:r w:rsidR="00C25DEC">
        <w:rPr>
          <w:lang w:val="en-GB"/>
        </w:rPr>
        <w:t>,</w:t>
      </w:r>
      <w:r w:rsidR="0070142A">
        <w:rPr>
          <w:lang w:val="en-GB"/>
        </w:rPr>
        <w:t xml:space="preserve"> too. For instance, a transportation accident may have simultaneous effects like pressure wave, heat flux, missile impact, release of toxic gases, etc. Furthermore, external fire, external explosion and release of toxic gases can be additional consequences (secondary effects) of an aircraft crash. These complex impacts may have more serious consequences than the individual ones; therefore they should also be taken into consideration. </w:t>
      </w:r>
    </w:p>
    <w:p w:rsidR="00FD25C7" w:rsidRDefault="00FD25C7" w:rsidP="0070142A">
      <w:pPr>
        <w:rPr>
          <w:lang w:val="en-GB"/>
        </w:rPr>
      </w:pPr>
    </w:p>
    <w:p w:rsidR="0070142A" w:rsidRDefault="0070142A" w:rsidP="0070142A">
      <w:pPr>
        <w:rPr>
          <w:lang w:val="en-GB"/>
        </w:rPr>
      </w:pPr>
      <w:r>
        <w:rPr>
          <w:lang w:val="en-GB"/>
        </w:rPr>
        <w:t xml:space="preserve">In order to support the screening investigations in this regard, the Fault Sequence Analyzer method </w:t>
      </w:r>
      <w:r w:rsidR="00BD13B6">
        <w:rPr>
          <w:lang w:val="en-GB"/>
        </w:rPr>
        <w:t xml:space="preserve">can be useful </w:t>
      </w:r>
      <w:r w:rsidR="00ED38F4">
        <w:rPr>
          <w:lang w:val="en-GB"/>
        </w:rPr>
        <w:fldChar w:fldCharType="begin"/>
      </w:r>
      <w:r w:rsidR="00ED38F4">
        <w:rPr>
          <w:lang w:val="en-GB"/>
        </w:rPr>
        <w:instrText xml:space="preserve"> REF _Ref413682602 \r \h </w:instrText>
      </w:r>
      <w:r w:rsidR="00ED38F4">
        <w:rPr>
          <w:lang w:val="en-GB"/>
        </w:rPr>
      </w:r>
      <w:r w:rsidR="00ED38F4">
        <w:rPr>
          <w:lang w:val="en-GB"/>
        </w:rPr>
        <w:fldChar w:fldCharType="separate"/>
      </w:r>
      <w:r w:rsidR="00E62976">
        <w:rPr>
          <w:lang w:val="en-GB"/>
        </w:rPr>
        <w:t>[68]</w:t>
      </w:r>
      <w:r w:rsidR="00ED38F4">
        <w:rPr>
          <w:lang w:val="en-GB"/>
        </w:rPr>
        <w:fldChar w:fldCharType="end"/>
      </w:r>
      <w:r>
        <w:rPr>
          <w:lang w:val="en-GB"/>
        </w:rPr>
        <w:t xml:space="preserve">, </w:t>
      </w:r>
      <w:r w:rsidR="00ED38F4">
        <w:rPr>
          <w:lang w:val="en-GB"/>
        </w:rPr>
        <w:fldChar w:fldCharType="begin"/>
      </w:r>
      <w:r w:rsidR="00ED38F4">
        <w:rPr>
          <w:lang w:val="en-GB"/>
        </w:rPr>
        <w:instrText xml:space="preserve"> REF _Ref413682601 \r \h </w:instrText>
      </w:r>
      <w:r w:rsidR="00ED38F4">
        <w:rPr>
          <w:lang w:val="en-GB"/>
        </w:rPr>
      </w:r>
      <w:r w:rsidR="00ED38F4">
        <w:rPr>
          <w:lang w:val="en-GB"/>
        </w:rPr>
        <w:fldChar w:fldCharType="separate"/>
      </w:r>
      <w:r w:rsidR="00E62976">
        <w:rPr>
          <w:lang w:val="en-GB"/>
        </w:rPr>
        <w:t>[67]</w:t>
      </w:r>
      <w:r w:rsidR="00ED38F4">
        <w:rPr>
          <w:lang w:val="en-GB"/>
        </w:rPr>
        <w:fldChar w:fldCharType="end"/>
      </w:r>
      <w:r>
        <w:rPr>
          <w:lang w:val="en-GB"/>
        </w:rPr>
        <w:t xml:space="preserve">. This </w:t>
      </w:r>
      <w:r w:rsidR="00D0546D">
        <w:rPr>
          <w:lang w:val="en-GB"/>
        </w:rPr>
        <w:t xml:space="preserve">approach or similar analyses </w:t>
      </w:r>
      <w:r>
        <w:rPr>
          <w:lang w:val="en-GB"/>
        </w:rPr>
        <w:t>can provide valuable insights about potentially challenging combinations of hazard impacts for a specific hazard scenario.</w:t>
      </w:r>
    </w:p>
    <w:p w:rsidR="00BD13B6" w:rsidRDefault="00BD13B6" w:rsidP="0070142A">
      <w:pPr>
        <w:rPr>
          <w:lang w:val="en-GB"/>
        </w:rPr>
      </w:pPr>
    </w:p>
    <w:p w:rsidR="0070142A" w:rsidRDefault="0070142A" w:rsidP="0070142A">
      <w:pPr>
        <w:rPr>
          <w:lang w:val="en-GB"/>
        </w:rPr>
      </w:pPr>
      <w:r>
        <w:rPr>
          <w:lang w:val="en-GB"/>
        </w:rPr>
        <w:t xml:space="preserve">All safety related plant areas affected by the external </w:t>
      </w:r>
      <w:r w:rsidR="00D0546D">
        <w:rPr>
          <w:lang w:val="en-GB"/>
        </w:rPr>
        <w:t>hazard scenario</w:t>
      </w:r>
      <w:r>
        <w:rPr>
          <w:lang w:val="en-GB"/>
        </w:rPr>
        <w:t xml:space="preserve"> in question should be mapped for the purposes of plant response analysis in the initial screening phase. In general, the effects induced by e</w:t>
      </w:r>
      <w:r w:rsidRPr="00037008">
        <w:rPr>
          <w:lang w:val="en-GB"/>
        </w:rPr>
        <w:t xml:space="preserve">xternal events </w:t>
      </w:r>
      <w:r>
        <w:rPr>
          <w:lang w:val="en-GB"/>
        </w:rPr>
        <w:t xml:space="preserve">belong to one or more of the following categories </w:t>
      </w:r>
      <w:r w:rsidR="00ED38F4">
        <w:rPr>
          <w:lang w:val="en-GB"/>
        </w:rPr>
        <w:fldChar w:fldCharType="begin"/>
      </w:r>
      <w:r w:rsidR="00ED38F4">
        <w:rPr>
          <w:lang w:val="en-GB"/>
        </w:rPr>
        <w:instrText xml:space="preserve"> REF _Ref450740465 \r \h </w:instrText>
      </w:r>
      <w:r w:rsidR="00ED38F4">
        <w:rPr>
          <w:lang w:val="en-GB"/>
        </w:rPr>
      </w:r>
      <w:r w:rsidR="00ED38F4">
        <w:rPr>
          <w:lang w:val="en-GB"/>
        </w:rPr>
        <w:fldChar w:fldCharType="separate"/>
      </w:r>
      <w:r w:rsidR="00E62976">
        <w:rPr>
          <w:lang w:val="en-GB"/>
        </w:rPr>
        <w:t>[71]</w:t>
      </w:r>
      <w:r w:rsidR="00ED38F4">
        <w:rPr>
          <w:lang w:val="en-GB"/>
        </w:rPr>
        <w:fldChar w:fldCharType="end"/>
      </w:r>
      <w:r>
        <w:rPr>
          <w:lang w:val="en-GB"/>
        </w:rPr>
        <w:t>:</w:t>
      </w:r>
    </w:p>
    <w:p w:rsidR="0070142A" w:rsidRDefault="00A26B59" w:rsidP="00E62976">
      <w:pPr>
        <w:numPr>
          <w:ilvl w:val="0"/>
          <w:numId w:val="76"/>
        </w:numPr>
        <w:rPr>
          <w:lang w:val="en-GB"/>
        </w:rPr>
      </w:pPr>
      <w:r>
        <w:rPr>
          <w:rFonts w:hint="eastAsia"/>
          <w:lang w:val="en-GB" w:eastAsia="ja-JP"/>
        </w:rPr>
        <w:t>F</w:t>
      </w:r>
      <w:r>
        <w:rPr>
          <w:lang w:val="en-GB"/>
        </w:rPr>
        <w:t>ailure</w:t>
      </w:r>
      <w:r w:rsidR="0070142A">
        <w:rPr>
          <w:lang w:val="en-GB"/>
        </w:rPr>
        <w:t xml:space="preserve"> of </w:t>
      </w:r>
      <w:r w:rsidR="0070142A" w:rsidRPr="003809C9">
        <w:rPr>
          <w:lang w:val="en-GB"/>
        </w:rPr>
        <w:t xml:space="preserve">structures: </w:t>
      </w:r>
      <w:r w:rsidR="0070142A">
        <w:rPr>
          <w:lang w:val="en-GB"/>
        </w:rPr>
        <w:t xml:space="preserve">the </w:t>
      </w:r>
      <w:r w:rsidR="0070142A" w:rsidRPr="003809C9">
        <w:rPr>
          <w:lang w:val="en-GB"/>
        </w:rPr>
        <w:t xml:space="preserve">external event </w:t>
      </w:r>
      <w:r w:rsidR="0070142A">
        <w:rPr>
          <w:lang w:val="en-GB"/>
        </w:rPr>
        <w:t xml:space="preserve">may </w:t>
      </w:r>
      <w:r w:rsidR="0070142A" w:rsidRPr="003809C9">
        <w:rPr>
          <w:lang w:val="en-GB"/>
        </w:rPr>
        <w:t>affect the structure</w:t>
      </w:r>
      <w:r w:rsidR="0070142A">
        <w:rPr>
          <w:lang w:val="en-GB"/>
        </w:rPr>
        <w:t>s by direct pressure (e.g. wind or snow load), pressure waves (e.g. explosion), ground shakes (e.g. explosion, earthquake), etc., so that the structures and/or the related safety functions are degraded or damaged. The following effects of area events are particularly noteworthy.</w:t>
      </w:r>
    </w:p>
    <w:p w:rsidR="0070142A" w:rsidRDefault="0070142A" w:rsidP="00E62976">
      <w:pPr>
        <w:numPr>
          <w:ilvl w:val="1"/>
          <w:numId w:val="76"/>
        </w:numPr>
        <w:rPr>
          <w:lang w:val="en-GB"/>
        </w:rPr>
      </w:pPr>
      <w:r>
        <w:rPr>
          <w:lang w:val="en-GB"/>
        </w:rPr>
        <w:t>e</w:t>
      </w:r>
      <w:r w:rsidRPr="004F47CE">
        <w:rPr>
          <w:lang w:val="en-GB"/>
        </w:rPr>
        <w:t>xternal flooding</w:t>
      </w:r>
      <w:r>
        <w:rPr>
          <w:lang w:val="en-GB"/>
        </w:rPr>
        <w:t xml:space="preserve">: undermining </w:t>
      </w:r>
      <w:r w:rsidRPr="004F47CE">
        <w:rPr>
          <w:lang w:val="en-GB"/>
        </w:rPr>
        <w:t>of buildings or structure</w:t>
      </w:r>
      <w:r>
        <w:rPr>
          <w:lang w:val="en-GB"/>
        </w:rPr>
        <w:t xml:space="preserve">s, consequently </w:t>
      </w:r>
      <w:r w:rsidRPr="004F47CE">
        <w:rPr>
          <w:lang w:val="en-GB"/>
        </w:rPr>
        <w:t>disabl</w:t>
      </w:r>
      <w:r>
        <w:rPr>
          <w:lang w:val="en-GB"/>
        </w:rPr>
        <w:t>ing</w:t>
      </w:r>
      <w:r w:rsidRPr="004F47CE">
        <w:rPr>
          <w:lang w:val="en-GB"/>
        </w:rPr>
        <w:t xml:space="preserve"> the safety functions contained.</w:t>
      </w:r>
    </w:p>
    <w:p w:rsidR="00B43A8C" w:rsidRDefault="0070142A" w:rsidP="00E62976">
      <w:pPr>
        <w:numPr>
          <w:ilvl w:val="1"/>
          <w:numId w:val="76"/>
        </w:numPr>
        <w:rPr>
          <w:lang w:val="en-GB"/>
        </w:rPr>
      </w:pPr>
      <w:r w:rsidRPr="00B43A8C">
        <w:rPr>
          <w:lang w:val="en-GB"/>
        </w:rPr>
        <w:t>Internal and external fire: extreme direct heat flux may destroy/degrade structures.</w:t>
      </w:r>
    </w:p>
    <w:p w:rsidR="0070142A" w:rsidRPr="00B43A8C" w:rsidRDefault="0070142A" w:rsidP="00E62976">
      <w:pPr>
        <w:numPr>
          <w:ilvl w:val="0"/>
          <w:numId w:val="76"/>
        </w:numPr>
        <w:ind w:left="851"/>
        <w:rPr>
          <w:lang w:val="en-GB"/>
        </w:rPr>
      </w:pPr>
      <w:r w:rsidRPr="00B43A8C">
        <w:rPr>
          <w:lang w:val="en-GB"/>
        </w:rPr>
        <w:t>Failures in systems: the external event induces failures in systems or components that lead to challenges of plant safety. The following systems are particularly relevant.</w:t>
      </w:r>
    </w:p>
    <w:p w:rsidR="0070142A" w:rsidRDefault="0070142A" w:rsidP="00E62976">
      <w:pPr>
        <w:numPr>
          <w:ilvl w:val="1"/>
          <w:numId w:val="76"/>
        </w:numPr>
        <w:rPr>
          <w:lang w:val="en-GB"/>
        </w:rPr>
      </w:pPr>
      <w:r>
        <w:rPr>
          <w:lang w:val="en-GB"/>
        </w:rPr>
        <w:t>failure of HVAC (</w:t>
      </w:r>
      <w:r w:rsidRPr="003809C9">
        <w:rPr>
          <w:lang w:val="en-GB"/>
        </w:rPr>
        <w:t>Heating, Ventilation, Air Conditioning</w:t>
      </w:r>
      <w:r>
        <w:rPr>
          <w:lang w:val="en-GB"/>
        </w:rPr>
        <w:t>) system</w:t>
      </w:r>
      <w:r w:rsidRPr="00C646B2">
        <w:rPr>
          <w:lang w:val="en-GB"/>
        </w:rPr>
        <w:t xml:space="preserve">: </w:t>
      </w:r>
      <w:r>
        <w:rPr>
          <w:lang w:val="en-GB"/>
        </w:rPr>
        <w:t>t</w:t>
      </w:r>
      <w:r w:rsidRPr="003809C9">
        <w:rPr>
          <w:lang w:val="en-GB"/>
        </w:rPr>
        <w:t xml:space="preserve">he external event </w:t>
      </w:r>
      <w:r>
        <w:rPr>
          <w:lang w:val="en-GB"/>
        </w:rPr>
        <w:t xml:space="preserve">may </w:t>
      </w:r>
      <w:r w:rsidRPr="003809C9">
        <w:rPr>
          <w:lang w:val="en-GB"/>
        </w:rPr>
        <w:t>affect HVAC functions and may cause partial or total loss of safety systems</w:t>
      </w:r>
      <w:r>
        <w:rPr>
          <w:lang w:val="en-GB"/>
        </w:rPr>
        <w:t xml:space="preserve"> or components</w:t>
      </w:r>
      <w:r w:rsidRPr="003809C9">
        <w:rPr>
          <w:lang w:val="en-GB"/>
        </w:rPr>
        <w:t xml:space="preserve"> relying on heating or cooling</w:t>
      </w:r>
      <w:r>
        <w:rPr>
          <w:lang w:val="en-GB"/>
        </w:rPr>
        <w:t>.</w:t>
      </w:r>
    </w:p>
    <w:p w:rsidR="0070142A" w:rsidRDefault="0070142A" w:rsidP="00E62976">
      <w:pPr>
        <w:numPr>
          <w:ilvl w:val="1"/>
          <w:numId w:val="76"/>
        </w:numPr>
        <w:rPr>
          <w:lang w:val="en-GB"/>
        </w:rPr>
      </w:pPr>
      <w:r>
        <w:rPr>
          <w:lang w:val="en-GB"/>
        </w:rPr>
        <w:t>failure of u</w:t>
      </w:r>
      <w:r w:rsidRPr="003809C9">
        <w:rPr>
          <w:lang w:val="en-GB"/>
        </w:rPr>
        <w:t>ltimate heat sink</w:t>
      </w:r>
      <w:r>
        <w:rPr>
          <w:lang w:val="en-GB"/>
        </w:rPr>
        <w:t>: t</w:t>
      </w:r>
      <w:r w:rsidRPr="003809C9">
        <w:rPr>
          <w:lang w:val="en-GB"/>
        </w:rPr>
        <w:t xml:space="preserve">he external event </w:t>
      </w:r>
      <w:r>
        <w:rPr>
          <w:lang w:val="en-GB"/>
        </w:rPr>
        <w:t xml:space="preserve">may </w:t>
      </w:r>
      <w:r w:rsidRPr="003809C9">
        <w:rPr>
          <w:lang w:val="en-GB"/>
        </w:rPr>
        <w:t>affect the ultimate heat sink</w:t>
      </w:r>
      <w:r>
        <w:rPr>
          <w:lang w:val="en-GB"/>
        </w:rPr>
        <w:t>, consequently it</w:t>
      </w:r>
      <w:r w:rsidRPr="003809C9">
        <w:rPr>
          <w:lang w:val="en-GB"/>
        </w:rPr>
        <w:t xml:space="preserve"> may cause partial or total loss of </w:t>
      </w:r>
      <w:r>
        <w:rPr>
          <w:lang w:val="en-GB"/>
        </w:rPr>
        <w:t>cooling water supply for safety systems.</w:t>
      </w:r>
    </w:p>
    <w:p w:rsidR="0070142A" w:rsidRPr="003743FB" w:rsidRDefault="0070142A" w:rsidP="00E62976">
      <w:pPr>
        <w:numPr>
          <w:ilvl w:val="1"/>
          <w:numId w:val="76"/>
        </w:numPr>
        <w:rPr>
          <w:lang w:val="en-GB"/>
        </w:rPr>
      </w:pPr>
      <w:r w:rsidRPr="00153757">
        <w:rPr>
          <w:lang w:val="en-GB"/>
        </w:rPr>
        <w:t xml:space="preserve">electric: the external event </w:t>
      </w:r>
      <w:r>
        <w:rPr>
          <w:lang w:val="en-GB"/>
        </w:rPr>
        <w:t>may generate</w:t>
      </w:r>
      <w:r w:rsidRPr="00153757">
        <w:rPr>
          <w:lang w:val="en-GB"/>
        </w:rPr>
        <w:t xml:space="preserve"> electrical or magnetic fields, which may potentially affect transmission of power supply or control signals to safety systems.</w:t>
      </w:r>
    </w:p>
    <w:p w:rsidR="0070142A" w:rsidRDefault="0070142A" w:rsidP="00E62976">
      <w:pPr>
        <w:numPr>
          <w:ilvl w:val="1"/>
          <w:numId w:val="76"/>
        </w:numPr>
        <w:rPr>
          <w:lang w:val="en-GB"/>
        </w:rPr>
      </w:pPr>
      <w:r>
        <w:rPr>
          <w:lang w:val="en-GB"/>
        </w:rPr>
        <w:t>failure of p</w:t>
      </w:r>
      <w:r w:rsidRPr="003809C9">
        <w:rPr>
          <w:lang w:val="en-GB"/>
        </w:rPr>
        <w:t>ower supply</w:t>
      </w:r>
      <w:r>
        <w:rPr>
          <w:lang w:val="en-GB"/>
        </w:rPr>
        <w:t>: t</w:t>
      </w:r>
      <w:r w:rsidRPr="003809C9">
        <w:rPr>
          <w:lang w:val="en-GB"/>
        </w:rPr>
        <w:t>he external event affects the offsite power and may cause</w:t>
      </w:r>
      <w:r>
        <w:rPr>
          <w:lang w:val="en-GB"/>
        </w:rPr>
        <w:t xml:space="preserve"> total or partial</w:t>
      </w:r>
      <w:r w:rsidRPr="003809C9">
        <w:rPr>
          <w:lang w:val="en-GB"/>
        </w:rPr>
        <w:t xml:space="preserve"> loss of offsite power</w:t>
      </w:r>
      <w:r>
        <w:rPr>
          <w:lang w:val="en-GB"/>
        </w:rPr>
        <w:t xml:space="preserve"> or other power supply faults</w:t>
      </w:r>
      <w:r w:rsidRPr="003809C9">
        <w:rPr>
          <w:lang w:val="en-GB"/>
        </w:rPr>
        <w:t>.</w:t>
      </w:r>
    </w:p>
    <w:p w:rsidR="0070142A" w:rsidRDefault="0070142A" w:rsidP="00E62976">
      <w:pPr>
        <w:numPr>
          <w:ilvl w:val="0"/>
          <w:numId w:val="76"/>
        </w:numPr>
        <w:ind w:left="851"/>
        <w:rPr>
          <w:lang w:val="en-GB"/>
        </w:rPr>
      </w:pPr>
      <w:r>
        <w:rPr>
          <w:lang w:val="en-GB"/>
        </w:rPr>
        <w:t>Spreading via failed barriers: Due to failures or unavailability of (designed) barriers, hazard effects spread into the plant leading to challenges to other structures (see the first item) or systems and components (see the second item). This is particularly relevant for flooding and fire hazard events.</w:t>
      </w:r>
    </w:p>
    <w:p w:rsidR="00801476" w:rsidRDefault="0070142A" w:rsidP="00E62976">
      <w:pPr>
        <w:numPr>
          <w:ilvl w:val="0"/>
          <w:numId w:val="76"/>
        </w:numPr>
        <w:ind w:left="851"/>
        <w:rPr>
          <w:lang w:val="en-GB"/>
        </w:rPr>
      </w:pPr>
      <w:r w:rsidRPr="001F7F9A">
        <w:rPr>
          <w:lang w:val="en-GB"/>
        </w:rPr>
        <w:t>Spreading via systems and components: Due to effects in systems or components, which were not designed against (the magnitude of) hazard impact, hazard effects spread into the plant leading to challenges to other structures or systems. One salient example would be the HVAC system, which can spread the effects of fire and flooding scenarios.</w:t>
      </w:r>
    </w:p>
    <w:p w:rsidR="0070142A" w:rsidRPr="002D58F8" w:rsidRDefault="00801476" w:rsidP="00E62976">
      <w:pPr>
        <w:numPr>
          <w:ilvl w:val="0"/>
          <w:numId w:val="76"/>
        </w:numPr>
        <w:ind w:left="851"/>
        <w:rPr>
          <w:lang w:val="en-GB"/>
        </w:rPr>
      </w:pPr>
      <w:r>
        <w:rPr>
          <w:lang w:val="en-GB"/>
        </w:rPr>
        <w:t>O</w:t>
      </w:r>
      <w:r w:rsidR="0070142A" w:rsidRPr="00797F6D">
        <w:rPr>
          <w:lang w:val="en-GB"/>
        </w:rPr>
        <w:t>ther direct impact</w:t>
      </w:r>
      <w:r w:rsidR="0070142A">
        <w:rPr>
          <w:lang w:val="en-GB"/>
        </w:rPr>
        <w:t>: i</w:t>
      </w:r>
      <w:r w:rsidR="0070142A" w:rsidRPr="003809C9">
        <w:rPr>
          <w:lang w:val="en-GB"/>
        </w:rPr>
        <w:t xml:space="preserve">n a few cases, the event may </w:t>
      </w:r>
      <w:r w:rsidR="0070142A">
        <w:rPr>
          <w:lang w:val="en-GB"/>
        </w:rPr>
        <w:t>have such effects</w:t>
      </w:r>
      <w:r w:rsidR="0070142A" w:rsidRPr="003809C9">
        <w:rPr>
          <w:lang w:val="en-GB"/>
        </w:rPr>
        <w:t xml:space="preserve"> that </w:t>
      </w:r>
      <w:r w:rsidR="0070142A">
        <w:rPr>
          <w:lang w:val="en-GB"/>
        </w:rPr>
        <w:t>are</w:t>
      </w:r>
      <w:r w:rsidR="0070142A" w:rsidRPr="003809C9">
        <w:rPr>
          <w:lang w:val="en-GB"/>
        </w:rPr>
        <w:t xml:space="preserve"> not covered by the general categories</w:t>
      </w:r>
      <w:r w:rsidR="0070142A">
        <w:rPr>
          <w:lang w:val="en-GB"/>
        </w:rPr>
        <w:t xml:space="preserve"> above (e.g. </w:t>
      </w:r>
      <w:r w:rsidR="0070142A" w:rsidRPr="003809C9">
        <w:rPr>
          <w:lang w:val="en-GB"/>
        </w:rPr>
        <w:t>plant isolation/limited accessibility</w:t>
      </w:r>
      <w:r w:rsidR="0070142A">
        <w:rPr>
          <w:lang w:val="en-GB"/>
        </w:rPr>
        <w:t>, freezing)</w:t>
      </w:r>
      <w:r w:rsidR="0070142A" w:rsidRPr="003809C9">
        <w:rPr>
          <w:lang w:val="en-GB"/>
        </w:rPr>
        <w:t>.</w:t>
      </w:r>
    </w:p>
    <w:p w:rsidR="00B54DC6" w:rsidRDefault="00630E44" w:rsidP="00B54DC6">
      <w:pPr>
        <w:pStyle w:val="Titre4"/>
        <w:rPr>
          <w:lang w:val="en-GB"/>
        </w:rPr>
      </w:pPr>
      <w:r>
        <w:rPr>
          <w:lang w:val="en-GB"/>
        </w:rPr>
        <w:t>I</w:t>
      </w:r>
      <w:r w:rsidR="00B54DC6">
        <w:rPr>
          <w:lang w:val="en-GB"/>
        </w:rPr>
        <w:t>mpact analysis on plant personnel</w:t>
      </w:r>
    </w:p>
    <w:p w:rsidR="00B54DC6" w:rsidRDefault="0070142A" w:rsidP="0070142A">
      <w:pPr>
        <w:rPr>
          <w:lang w:val="en-GB"/>
        </w:rPr>
      </w:pPr>
      <w:r>
        <w:rPr>
          <w:lang w:val="en-GB"/>
        </w:rPr>
        <w:t xml:space="preserve">The existing guidance documents (e.g. </w:t>
      </w:r>
      <w:r w:rsidR="00125AF4">
        <w:rPr>
          <w:lang w:val="en-GB"/>
        </w:rPr>
        <w:fldChar w:fldCharType="begin"/>
      </w:r>
      <w:r>
        <w:rPr>
          <w:lang w:val="en-GB"/>
        </w:rPr>
        <w:instrText xml:space="preserve"> REF _Ref384386913 \r \h </w:instrText>
      </w:r>
      <w:r w:rsidR="00125AF4">
        <w:rPr>
          <w:lang w:val="en-GB"/>
        </w:rPr>
      </w:r>
      <w:r w:rsidR="00125AF4">
        <w:rPr>
          <w:lang w:val="en-GB"/>
        </w:rPr>
        <w:fldChar w:fldCharType="separate"/>
      </w:r>
      <w:r w:rsidR="00E62976">
        <w:rPr>
          <w:lang w:val="en-GB"/>
        </w:rPr>
        <w:t>[4]</w:t>
      </w:r>
      <w:r w:rsidR="00125AF4">
        <w:rPr>
          <w:lang w:val="en-GB"/>
        </w:rPr>
        <w:fldChar w:fldCharType="end"/>
      </w:r>
      <w:r>
        <w:rPr>
          <w:lang w:val="en-GB"/>
        </w:rPr>
        <w:t xml:space="preserve">, </w:t>
      </w:r>
      <w:r w:rsidR="00ED38F4">
        <w:rPr>
          <w:lang w:val="en-GB"/>
        </w:rPr>
        <w:fldChar w:fldCharType="begin"/>
      </w:r>
      <w:r w:rsidR="00ED38F4">
        <w:rPr>
          <w:lang w:val="en-GB"/>
        </w:rPr>
        <w:instrText xml:space="preserve"> REF _Ref450740465 \r \h </w:instrText>
      </w:r>
      <w:r w:rsidR="00ED38F4">
        <w:rPr>
          <w:lang w:val="en-GB"/>
        </w:rPr>
      </w:r>
      <w:r w:rsidR="00ED38F4">
        <w:rPr>
          <w:lang w:val="en-GB"/>
        </w:rPr>
        <w:fldChar w:fldCharType="separate"/>
      </w:r>
      <w:r w:rsidR="00E62976">
        <w:rPr>
          <w:lang w:val="en-GB"/>
        </w:rPr>
        <w:t>[71]</w:t>
      </w:r>
      <w:r w:rsidR="00ED38F4">
        <w:rPr>
          <w:lang w:val="en-GB"/>
        </w:rPr>
        <w:fldChar w:fldCharType="end"/>
      </w:r>
      <w:r>
        <w:rPr>
          <w:lang w:val="en-GB"/>
        </w:rPr>
        <w:t xml:space="preserve">) focus primarily on the impact of external events on systems, structures and components, without much consideration to effects that may influence the ability of the plant personnel to respond correctly in a timely manner. </w:t>
      </w:r>
    </w:p>
    <w:p w:rsidR="0070142A" w:rsidRDefault="00B54DC6" w:rsidP="0070142A">
      <w:pPr>
        <w:rPr>
          <w:lang w:val="en-GB"/>
        </w:rPr>
      </w:pPr>
      <w:r>
        <w:rPr>
          <w:lang w:val="en-GB"/>
        </w:rPr>
        <w:t>T</w:t>
      </w:r>
      <w:r w:rsidR="0070142A">
        <w:rPr>
          <w:lang w:val="en-GB"/>
        </w:rPr>
        <w:t xml:space="preserve">he </w:t>
      </w:r>
      <w:r>
        <w:rPr>
          <w:lang w:val="en-GB"/>
        </w:rPr>
        <w:t xml:space="preserve">impacts </w:t>
      </w:r>
      <w:r w:rsidR="0070142A">
        <w:rPr>
          <w:lang w:val="en-GB"/>
        </w:rPr>
        <w:t>of an external event on plant personnel working open air at a nuclear site as well as the habitability within building enclosures of a nuclear power plant due to toxic gases, heat flux or radiological consequences of accidents at nearby nuclear installations</w:t>
      </w:r>
      <w:r>
        <w:rPr>
          <w:lang w:val="en-GB"/>
        </w:rPr>
        <w:t xml:space="preserve"> are of high importance</w:t>
      </w:r>
      <w:r w:rsidR="0070142A">
        <w:rPr>
          <w:lang w:val="en-GB"/>
        </w:rPr>
        <w:t>. The aforementioned impacts on the plant personnel should be taken into consideration during plant response analysis for initial screening. This is particularly relevant if the hazard scenario prevent</w:t>
      </w:r>
      <w:r>
        <w:rPr>
          <w:lang w:val="en-GB"/>
        </w:rPr>
        <w:t>s</w:t>
      </w:r>
      <w:r w:rsidR="0070142A">
        <w:rPr>
          <w:lang w:val="en-GB"/>
        </w:rPr>
        <w:t xml:space="preserve"> necessary operator actions that are needed to bring and maintain the plant in a stable safe condition. </w:t>
      </w:r>
    </w:p>
    <w:p w:rsidR="00B54DC6" w:rsidRDefault="00B54DC6" w:rsidP="0070142A">
      <w:pPr>
        <w:rPr>
          <w:lang w:val="en-GB"/>
        </w:rPr>
      </w:pPr>
    </w:p>
    <w:p w:rsidR="00B54DC6" w:rsidRDefault="0070142A" w:rsidP="0070142A">
      <w:pPr>
        <w:rPr>
          <w:noProof/>
          <w:lang w:val="en-GB"/>
        </w:rPr>
      </w:pPr>
      <w:r w:rsidRPr="00415103">
        <w:rPr>
          <w:lang w:val="en-GB"/>
        </w:rPr>
        <w:t xml:space="preserve">The accessibility of the plant as well as the conditions and the allowable time for working open air at the site </w:t>
      </w:r>
      <w:r>
        <w:rPr>
          <w:lang w:val="en-GB"/>
        </w:rPr>
        <w:t xml:space="preserve">should be evaluated for certain hazards. In general, protective measures are applied to reduce harmful effects on the plant personnel. These measures </w:t>
      </w:r>
      <w:r w:rsidR="00630E44">
        <w:rPr>
          <w:lang w:val="en-GB"/>
        </w:rPr>
        <w:t xml:space="preserve">and their effectiveness shall be </w:t>
      </w:r>
      <w:r>
        <w:rPr>
          <w:lang w:val="en-GB"/>
        </w:rPr>
        <w:t xml:space="preserve">taken </w:t>
      </w:r>
      <w:r>
        <w:rPr>
          <w:noProof/>
          <w:lang w:val="en-GB"/>
        </w:rPr>
        <w:t>during screening. For that purpose the design basis loads of the protective measures are compared with the loads induced by the given (external) hazard scenario.</w:t>
      </w:r>
    </w:p>
    <w:p w:rsidR="003609E0" w:rsidRDefault="003609E0" w:rsidP="0070142A">
      <w:pPr>
        <w:rPr>
          <w:noProof/>
          <w:lang w:val="en-GB"/>
        </w:rPr>
      </w:pPr>
    </w:p>
    <w:p w:rsidR="0070142A" w:rsidRDefault="0070142A" w:rsidP="0070142A">
      <w:pPr>
        <w:rPr>
          <w:lang w:val="en-GB"/>
        </w:rPr>
      </w:pPr>
      <w:r>
        <w:rPr>
          <w:lang w:val="en-GB"/>
        </w:rPr>
        <w:t>T</w:t>
      </w:r>
      <w:r w:rsidRPr="00FA7FB8">
        <w:rPr>
          <w:lang w:val="en-GB"/>
        </w:rPr>
        <w:t xml:space="preserve">he consequences of accidents </w:t>
      </w:r>
      <w:r>
        <w:rPr>
          <w:lang w:val="en-GB"/>
        </w:rPr>
        <w:t xml:space="preserve">with toxic effects, heat flux or radiological effects </w:t>
      </w:r>
      <w:r w:rsidRPr="00FA7FB8">
        <w:rPr>
          <w:lang w:val="en-GB"/>
        </w:rPr>
        <w:t xml:space="preserve">at nearby nuclear installations should be taken into consideration in order to </w:t>
      </w:r>
      <w:r>
        <w:rPr>
          <w:lang w:val="en-GB"/>
        </w:rPr>
        <w:t xml:space="preserve">ensure the habitability of vital service areas within the building enclosures needed to </w:t>
      </w:r>
      <w:r w:rsidRPr="00FA7FB8">
        <w:rPr>
          <w:lang w:val="en-GB"/>
        </w:rPr>
        <w:t>maintain the safe conditions of the nuclear power plant</w:t>
      </w:r>
      <w:r>
        <w:rPr>
          <w:lang w:val="en-GB"/>
        </w:rPr>
        <w:t xml:space="preserve">. </w:t>
      </w:r>
      <w:r>
        <w:rPr>
          <w:noProof/>
          <w:lang w:val="en-GB"/>
        </w:rPr>
        <w:t xml:space="preserve">A significant reduction in health effects can be achieved by using sufficient air filtration and cleaning systems. </w:t>
      </w:r>
      <w:r>
        <w:rPr>
          <w:lang w:val="en-GB"/>
        </w:rPr>
        <w:t>Therefore, appropriate positioning and orientation of the air filtration equipment also helps to limit the health effects from inhalation within the plant buildings. Furthermore</w:t>
      </w:r>
      <w:r w:rsidRPr="002F3B39">
        <w:rPr>
          <w:lang w:val="en-GB"/>
        </w:rPr>
        <w:t xml:space="preserve">, the exposure time of the operating personnel can be limited by strictly controlling the allowable time </w:t>
      </w:r>
      <w:r>
        <w:rPr>
          <w:lang w:val="en-GB"/>
        </w:rPr>
        <w:t>at work.</w:t>
      </w:r>
    </w:p>
    <w:p w:rsidR="00630E44" w:rsidRDefault="00630E44" w:rsidP="0070142A">
      <w:pPr>
        <w:rPr>
          <w:lang w:val="en-GB"/>
        </w:rPr>
      </w:pPr>
    </w:p>
    <w:p w:rsidR="0070142A" w:rsidRDefault="0070142A" w:rsidP="0070142A">
      <w:pPr>
        <w:rPr>
          <w:lang w:val="en-GB"/>
        </w:rPr>
      </w:pPr>
      <w:r>
        <w:rPr>
          <w:lang w:val="en-GB"/>
        </w:rPr>
        <w:t xml:space="preserve">Besides relevant design data, </w:t>
      </w:r>
      <w:r w:rsidRPr="00E20701">
        <w:rPr>
          <w:szCs w:val="18"/>
          <w:lang w:val="en-GB"/>
        </w:rPr>
        <w:t xml:space="preserve">plant response information regarding an </w:t>
      </w:r>
      <w:r>
        <w:rPr>
          <w:szCs w:val="18"/>
          <w:lang w:val="en-GB"/>
        </w:rPr>
        <w:t>(</w:t>
      </w:r>
      <w:r w:rsidRPr="00E20701">
        <w:rPr>
          <w:szCs w:val="18"/>
          <w:lang w:val="en-GB"/>
        </w:rPr>
        <w:t>external</w:t>
      </w:r>
      <w:r>
        <w:rPr>
          <w:szCs w:val="18"/>
          <w:lang w:val="en-GB"/>
        </w:rPr>
        <w:t>) hazard</w:t>
      </w:r>
      <w:r w:rsidRPr="00E20701">
        <w:rPr>
          <w:szCs w:val="18"/>
          <w:lang w:val="en-GB"/>
        </w:rPr>
        <w:t xml:space="preserve"> event </w:t>
      </w:r>
      <w:r>
        <w:rPr>
          <w:szCs w:val="18"/>
          <w:lang w:val="en-GB"/>
        </w:rPr>
        <w:t xml:space="preserve">scenario includes data on </w:t>
      </w:r>
      <w:r>
        <w:rPr>
          <w:lang w:val="en-GB"/>
        </w:rPr>
        <w:t>protective measures and administrative procedures</w:t>
      </w:r>
      <w:r w:rsidRPr="00E20701">
        <w:rPr>
          <w:szCs w:val="18"/>
          <w:lang w:val="en-GB"/>
        </w:rPr>
        <w:t xml:space="preserve">. The protection may include </w:t>
      </w:r>
      <w:r>
        <w:rPr>
          <w:szCs w:val="18"/>
          <w:lang w:val="en-GB"/>
        </w:rPr>
        <w:t xml:space="preserve">special protective measures and protection features applied to prevent </w:t>
      </w:r>
      <w:r w:rsidRPr="00E20701">
        <w:rPr>
          <w:szCs w:val="18"/>
          <w:lang w:val="en-GB"/>
        </w:rPr>
        <w:t>structur</w:t>
      </w:r>
      <w:r>
        <w:rPr>
          <w:szCs w:val="18"/>
          <w:lang w:val="en-GB"/>
        </w:rPr>
        <w:t xml:space="preserve">es as well as </w:t>
      </w:r>
      <w:r w:rsidRPr="00E20701">
        <w:rPr>
          <w:szCs w:val="18"/>
          <w:lang w:val="en-GB"/>
        </w:rPr>
        <w:t>of active or passive safety functions</w:t>
      </w:r>
      <w:r>
        <w:rPr>
          <w:szCs w:val="18"/>
          <w:lang w:val="en-GB"/>
        </w:rPr>
        <w:t xml:space="preserve"> and the related plant systems. Also,</w:t>
      </w:r>
      <w:r w:rsidRPr="00E20701">
        <w:rPr>
          <w:szCs w:val="18"/>
          <w:lang w:val="en-GB"/>
        </w:rPr>
        <w:t xml:space="preserve"> </w:t>
      </w:r>
      <w:r>
        <w:rPr>
          <w:szCs w:val="18"/>
          <w:lang w:val="en-GB"/>
        </w:rPr>
        <w:t xml:space="preserve">early </w:t>
      </w:r>
      <w:r w:rsidRPr="00E20701">
        <w:rPr>
          <w:szCs w:val="18"/>
          <w:lang w:val="en-GB"/>
        </w:rPr>
        <w:t>protective or mitigating human actions</w:t>
      </w:r>
      <w:r>
        <w:rPr>
          <w:szCs w:val="18"/>
          <w:lang w:val="en-GB"/>
        </w:rPr>
        <w:t xml:space="preserve"> to prevent plant transients due to an external event</w:t>
      </w:r>
      <w:r w:rsidRPr="00E20701">
        <w:rPr>
          <w:szCs w:val="18"/>
          <w:lang w:val="en-GB"/>
        </w:rPr>
        <w:t>, as defined in safety and operating procedures</w:t>
      </w:r>
      <w:r>
        <w:rPr>
          <w:szCs w:val="18"/>
          <w:lang w:val="en-GB"/>
        </w:rPr>
        <w:t>, need to be considered, if the development of the hazard scenario is slow and grace time is large</w:t>
      </w:r>
      <w:r w:rsidRPr="00E20701">
        <w:rPr>
          <w:szCs w:val="18"/>
          <w:lang w:val="en-GB"/>
        </w:rPr>
        <w:t>.</w:t>
      </w:r>
      <w:r>
        <w:rPr>
          <w:szCs w:val="18"/>
          <w:lang w:val="en-GB"/>
        </w:rPr>
        <w:t xml:space="preserve"> </w:t>
      </w:r>
    </w:p>
    <w:p w:rsidR="002A6097" w:rsidRDefault="002A6097" w:rsidP="002A6097">
      <w:pPr>
        <w:pStyle w:val="Titre3"/>
        <w:rPr>
          <w:lang w:val="en-GB"/>
        </w:rPr>
      </w:pPr>
      <w:bookmarkStart w:id="474" w:name="_Toc473303588"/>
      <w:r>
        <w:rPr>
          <w:lang w:val="en-GB"/>
        </w:rPr>
        <w:t>Plant response analysis for combinations of hazards</w:t>
      </w:r>
      <w:r w:rsidR="00A377FA">
        <w:rPr>
          <w:lang w:val="en-GB"/>
        </w:rPr>
        <w:t xml:space="preserve"> including less intense scenarios</w:t>
      </w:r>
      <w:bookmarkEnd w:id="474"/>
    </w:p>
    <w:p w:rsidR="002A6097" w:rsidRDefault="0070142A" w:rsidP="0070142A">
      <w:pPr>
        <w:rPr>
          <w:lang w:val="en-GB"/>
        </w:rPr>
      </w:pPr>
      <w:r>
        <w:rPr>
          <w:lang w:val="en-GB"/>
        </w:rPr>
        <w:t>Plant response analysis is also applicable to combination</w:t>
      </w:r>
      <w:r w:rsidR="001161AB">
        <w:rPr>
          <w:lang w:val="en-GB"/>
        </w:rPr>
        <w:t>s</w:t>
      </w:r>
      <w:r>
        <w:rPr>
          <w:lang w:val="en-GB"/>
        </w:rPr>
        <w:t xml:space="preserve"> of hazards. Usually, correlated hazards have to be evaluated, since most of the hazards without any correlation can be screened out on the basis of event frequency. Combined hazards may have either the same types of impact as individual hazards, </w:t>
      </w:r>
      <w:r w:rsidR="001161AB">
        <w:rPr>
          <w:lang w:val="en-GB"/>
        </w:rPr>
        <w:t>but</w:t>
      </w:r>
      <w:r>
        <w:rPr>
          <w:lang w:val="en-GB"/>
        </w:rPr>
        <w:t xml:space="preserve"> they can also impose different effects on the plant.</w:t>
      </w:r>
    </w:p>
    <w:p w:rsidR="003609E0" w:rsidRDefault="003609E0" w:rsidP="0070142A">
      <w:pPr>
        <w:rPr>
          <w:lang w:val="en-GB"/>
        </w:rPr>
      </w:pPr>
    </w:p>
    <w:p w:rsidR="002A6097" w:rsidRDefault="0070142A" w:rsidP="0070142A">
      <w:pPr>
        <w:rPr>
          <w:lang w:val="en-GB"/>
        </w:rPr>
      </w:pPr>
      <w:r>
        <w:rPr>
          <w:lang w:val="en-GB"/>
        </w:rPr>
        <w:t>If the effects are the same, the maximum credible impact is determined by the summation of the effects induced by the multiple hazards that belong to the combination. If there are different effects, then all types of impacts should be taken into consideration as complex effects.</w:t>
      </w:r>
    </w:p>
    <w:p w:rsidR="002A6097" w:rsidRDefault="002A6097" w:rsidP="0070142A">
      <w:pPr>
        <w:rPr>
          <w:lang w:val="en-GB"/>
        </w:rPr>
      </w:pPr>
    </w:p>
    <w:p w:rsidR="002A6097" w:rsidRDefault="0070142A" w:rsidP="0070142A">
      <w:pPr>
        <w:rPr>
          <w:lang w:val="en-GB"/>
        </w:rPr>
      </w:pPr>
      <w:r>
        <w:rPr>
          <w:lang w:val="en-GB"/>
        </w:rPr>
        <w:t>Impact</w:t>
      </w:r>
      <w:r w:rsidRPr="00612D42">
        <w:rPr>
          <w:lang w:val="en-GB"/>
        </w:rPr>
        <w:t xml:space="preserve"> </w:t>
      </w:r>
      <w:r w:rsidR="00A377FA">
        <w:rPr>
          <w:lang w:val="en-GB"/>
        </w:rPr>
        <w:t xml:space="preserve">analysis for </w:t>
      </w:r>
      <w:r w:rsidRPr="00612D42">
        <w:rPr>
          <w:lang w:val="en-GB"/>
        </w:rPr>
        <w:t xml:space="preserve">screening should not only consider rare, high impact events, </w:t>
      </w:r>
      <w:r w:rsidRPr="005079A3">
        <w:rPr>
          <w:u w:val="single"/>
          <w:lang w:val="en-GB"/>
        </w:rPr>
        <w:t>but also less intense scenarios at or even below design basis values</w:t>
      </w:r>
      <w:r w:rsidRPr="00612D42">
        <w:rPr>
          <w:lang w:val="en-GB"/>
        </w:rPr>
        <w:t xml:space="preserve">, as these might be relevant in combinations with other events. </w:t>
      </w:r>
      <w:r>
        <w:rPr>
          <w:lang w:val="en-GB"/>
        </w:rPr>
        <w:t>This effect has been observed for cases, where the provision of safety functions for one challenge depends on components that are not designed against impacts of the other.</w:t>
      </w:r>
    </w:p>
    <w:p w:rsidR="002A6097" w:rsidRDefault="002A6097" w:rsidP="0070142A">
      <w:pPr>
        <w:rPr>
          <w:lang w:val="en-GB"/>
        </w:rPr>
      </w:pPr>
    </w:p>
    <w:p w:rsidR="002A6097" w:rsidRDefault="0070142A" w:rsidP="0070142A">
      <w:pPr>
        <w:rPr>
          <w:lang w:val="en-GB"/>
        </w:rPr>
      </w:pPr>
      <w:r>
        <w:rPr>
          <w:lang w:val="en-GB"/>
        </w:rPr>
        <w:t xml:space="preserve">One example </w:t>
      </w:r>
      <w:r w:rsidR="002A6097">
        <w:rPr>
          <w:lang w:val="en-GB"/>
        </w:rPr>
        <w:t>can be the</w:t>
      </w:r>
      <w:r>
        <w:rPr>
          <w:lang w:val="en-GB"/>
        </w:rPr>
        <w:t xml:space="preserve"> combination of a below DBE with very high temperatures. If the ventilation systems are not seismically qualified, they will likely fail for earthquake impacts </w:t>
      </w:r>
      <w:r w:rsidR="00037A67">
        <w:rPr>
          <w:lang w:val="en-GB"/>
        </w:rPr>
        <w:t xml:space="preserve">even </w:t>
      </w:r>
      <w:r>
        <w:rPr>
          <w:lang w:val="en-GB"/>
        </w:rPr>
        <w:t>below the DBE threshold. As a consequence, temperatures in the I&amp;C cabinets and other safety-related rooms will soon exceed their design values, leading to a high likelihood for the unavailability of multiple safety functions.</w:t>
      </w:r>
    </w:p>
    <w:p w:rsidR="003609E0" w:rsidRDefault="003609E0" w:rsidP="0070142A">
      <w:pPr>
        <w:rPr>
          <w:lang w:val="en-GB"/>
        </w:rPr>
      </w:pPr>
    </w:p>
    <w:p w:rsidR="0070142A" w:rsidRDefault="002A6097" w:rsidP="0070142A">
      <w:pPr>
        <w:rPr>
          <w:lang w:val="en-GB"/>
        </w:rPr>
      </w:pPr>
      <w:r>
        <w:rPr>
          <w:lang w:val="en-GB"/>
        </w:rPr>
        <w:t>T</w:t>
      </w:r>
      <w:r w:rsidR="0070142A">
        <w:rPr>
          <w:lang w:val="en-GB"/>
        </w:rPr>
        <w:t xml:space="preserve">he Fault Sequence Analyzer approach </w:t>
      </w:r>
      <w:r w:rsidR="00ED38F4">
        <w:rPr>
          <w:lang w:val="en-GB"/>
        </w:rPr>
        <w:fldChar w:fldCharType="begin"/>
      </w:r>
      <w:r w:rsidR="00ED38F4">
        <w:rPr>
          <w:lang w:val="en-GB"/>
        </w:rPr>
        <w:instrText xml:space="preserve"> REF _Ref413682601 \r \h </w:instrText>
      </w:r>
      <w:r w:rsidR="00ED38F4">
        <w:rPr>
          <w:lang w:val="en-GB"/>
        </w:rPr>
      </w:r>
      <w:r w:rsidR="00ED38F4">
        <w:rPr>
          <w:lang w:val="en-GB"/>
        </w:rPr>
        <w:fldChar w:fldCharType="separate"/>
      </w:r>
      <w:r w:rsidR="00E62976">
        <w:rPr>
          <w:lang w:val="en-GB"/>
        </w:rPr>
        <w:t>[67]</w:t>
      </w:r>
      <w:r w:rsidR="00ED38F4">
        <w:rPr>
          <w:lang w:val="en-GB"/>
        </w:rPr>
        <w:fldChar w:fldCharType="end"/>
      </w:r>
      <w:r w:rsidR="0070142A">
        <w:rPr>
          <w:lang w:val="en-GB"/>
        </w:rPr>
        <w:t xml:space="preserve">, </w:t>
      </w:r>
      <w:r w:rsidR="00ED38F4">
        <w:rPr>
          <w:lang w:val="en-GB"/>
        </w:rPr>
        <w:fldChar w:fldCharType="begin"/>
      </w:r>
      <w:r w:rsidR="00ED38F4">
        <w:rPr>
          <w:lang w:val="en-GB"/>
        </w:rPr>
        <w:instrText xml:space="preserve"> REF _Ref413682602 \r \h </w:instrText>
      </w:r>
      <w:r w:rsidR="00ED38F4">
        <w:rPr>
          <w:lang w:val="en-GB"/>
        </w:rPr>
      </w:r>
      <w:r w:rsidR="00ED38F4">
        <w:rPr>
          <w:lang w:val="en-GB"/>
        </w:rPr>
        <w:fldChar w:fldCharType="separate"/>
      </w:r>
      <w:r w:rsidR="00E62976">
        <w:rPr>
          <w:lang w:val="en-GB"/>
        </w:rPr>
        <w:t>[68]</w:t>
      </w:r>
      <w:r w:rsidR="00ED38F4">
        <w:rPr>
          <w:lang w:val="en-GB"/>
        </w:rPr>
        <w:fldChar w:fldCharType="end"/>
      </w:r>
      <w:r>
        <w:rPr>
          <w:lang w:val="en-GB"/>
        </w:rPr>
        <w:t xml:space="preserve"> (or equivalent</w:t>
      </w:r>
      <w:r w:rsidR="00A377FA">
        <w:rPr>
          <w:lang w:val="en-GB"/>
        </w:rPr>
        <w:t xml:space="preserve"> approach</w:t>
      </w:r>
      <w:r>
        <w:rPr>
          <w:lang w:val="en-GB"/>
        </w:rPr>
        <w:t>) may</w:t>
      </w:r>
      <w:r w:rsidR="0070142A">
        <w:rPr>
          <w:lang w:val="en-GB"/>
        </w:rPr>
        <w:t xml:space="preserve"> give valuable information on potentially critical impact scenarios and can thus inform impact screening</w:t>
      </w:r>
      <w:r w:rsidR="001161AB">
        <w:rPr>
          <w:lang w:val="en-GB"/>
        </w:rPr>
        <w:t xml:space="preserve"> as well as bounding analysis</w:t>
      </w:r>
      <w:r w:rsidR="0070142A">
        <w:rPr>
          <w:lang w:val="en-GB"/>
        </w:rPr>
        <w:t>.</w:t>
      </w:r>
    </w:p>
    <w:p w:rsidR="00A377FA" w:rsidRDefault="00A377FA" w:rsidP="005079A3">
      <w:pPr>
        <w:pStyle w:val="Titre3"/>
        <w:rPr>
          <w:lang w:val="en-GB"/>
        </w:rPr>
      </w:pPr>
      <w:bookmarkStart w:id="475" w:name="_Toc473303589"/>
      <w:r>
        <w:rPr>
          <w:lang w:val="en-GB"/>
        </w:rPr>
        <w:t>Bounding analysis</w:t>
      </w:r>
      <w:bookmarkEnd w:id="475"/>
    </w:p>
    <w:p w:rsidR="006D7DEF" w:rsidRDefault="00C15AC6">
      <w:pPr>
        <w:rPr>
          <w:lang w:val="en-GB"/>
        </w:rPr>
      </w:pPr>
      <w:r>
        <w:rPr>
          <w:lang w:val="en-GB"/>
        </w:rPr>
        <w:t xml:space="preserve">Bounding analysis </w:t>
      </w:r>
      <w:r w:rsidR="00872CD0">
        <w:rPr>
          <w:lang w:val="en-GB"/>
        </w:rPr>
        <w:t>describes that task of estimating</w:t>
      </w:r>
      <w:r w:rsidR="006D7DEF">
        <w:rPr>
          <w:lang w:val="en-GB"/>
        </w:rPr>
        <w:t>, with conservative approach,</w:t>
      </w:r>
      <w:r w:rsidR="00872CD0">
        <w:rPr>
          <w:lang w:val="en-GB"/>
        </w:rPr>
        <w:t xml:space="preserve"> </w:t>
      </w:r>
      <w:r w:rsidR="00801476">
        <w:rPr>
          <w:lang w:val="en-GB"/>
        </w:rPr>
        <w:t xml:space="preserve">initiating event and hazard scenario frequencies as well as the respective </w:t>
      </w:r>
      <w:r w:rsidR="00872CD0">
        <w:rPr>
          <w:lang w:val="en-GB"/>
        </w:rPr>
        <w:t>conditional failure probability of plant safety provisions.</w:t>
      </w:r>
    </w:p>
    <w:p w:rsidR="003609E0" w:rsidRDefault="003609E0">
      <w:pPr>
        <w:rPr>
          <w:lang w:val="en-GB"/>
        </w:rPr>
      </w:pPr>
    </w:p>
    <w:p w:rsidR="00DD1959" w:rsidRDefault="00DD1959">
      <w:pPr>
        <w:rPr>
          <w:lang w:val="en-GB"/>
        </w:rPr>
      </w:pPr>
      <w:r>
        <w:rPr>
          <w:lang w:val="en-GB"/>
        </w:rPr>
        <w:t>From an industrial end-user perspective</w:t>
      </w:r>
      <w:r w:rsidRPr="00663230">
        <w:rPr>
          <w:lang w:val="en-GB"/>
        </w:rPr>
        <w:t xml:space="preserve">, </w:t>
      </w:r>
      <w:r w:rsidR="00CB6A9B">
        <w:rPr>
          <w:lang w:val="en-GB"/>
        </w:rPr>
        <w:t>the task of estimating initiating event and hazard scenario frequencies as well as the respective conditional failure probability of plant safety provisions can be performed using either</w:t>
      </w:r>
      <w:r>
        <w:rPr>
          <w:lang w:val="en-GB"/>
        </w:rPr>
        <w:t xml:space="preserve"> </w:t>
      </w:r>
      <w:r w:rsidR="00CB6A9B">
        <w:rPr>
          <w:lang w:val="en-GB"/>
        </w:rPr>
        <w:t>r</w:t>
      </w:r>
      <w:r w:rsidRPr="00FA6AA7">
        <w:rPr>
          <w:lang w:val="en-GB"/>
        </w:rPr>
        <w:t xml:space="preserve">ealistic assumptions </w:t>
      </w:r>
      <w:r w:rsidR="00CB6A9B">
        <w:rPr>
          <w:lang w:val="en-GB"/>
        </w:rPr>
        <w:t>or</w:t>
      </w:r>
      <w:r w:rsidRPr="00FA6AA7">
        <w:rPr>
          <w:lang w:val="en-GB"/>
        </w:rPr>
        <w:t xml:space="preserve"> bounding assessment</w:t>
      </w:r>
      <w:r>
        <w:rPr>
          <w:lang w:val="en-GB"/>
        </w:rPr>
        <w:t xml:space="preserve">s. The following </w:t>
      </w:r>
      <w:r w:rsidR="00CB6A9B">
        <w:rPr>
          <w:lang w:val="en-GB"/>
        </w:rPr>
        <w:t>proposal</w:t>
      </w:r>
      <w:r>
        <w:rPr>
          <w:lang w:val="en-GB"/>
        </w:rPr>
        <w:t xml:space="preserve"> can therefore be more stringent that necessary and must </w:t>
      </w:r>
      <w:r w:rsidRPr="00663230">
        <w:rPr>
          <w:lang w:val="en-GB"/>
        </w:rPr>
        <w:t xml:space="preserve">be adapted and simplified </w:t>
      </w:r>
      <w:r>
        <w:rPr>
          <w:lang w:val="en-GB"/>
        </w:rPr>
        <w:t>where necessary to be effective enough to be able to</w:t>
      </w:r>
      <w:r w:rsidRPr="00FA6AA7">
        <w:rPr>
          <w:lang w:val="en-GB"/>
        </w:rPr>
        <w:t xml:space="preserve"> identify rapidly predominant</w:t>
      </w:r>
      <w:r>
        <w:rPr>
          <w:lang w:val="en-GB"/>
        </w:rPr>
        <w:t xml:space="preserve"> </w:t>
      </w:r>
      <w:r w:rsidRPr="00FA6AA7">
        <w:rPr>
          <w:lang w:val="en-GB"/>
        </w:rPr>
        <w:t xml:space="preserve">hazards eligible to </w:t>
      </w:r>
      <w:r>
        <w:rPr>
          <w:lang w:val="en-GB"/>
        </w:rPr>
        <w:t xml:space="preserve">extended </w:t>
      </w:r>
      <w:r w:rsidRPr="00FA6AA7">
        <w:rPr>
          <w:lang w:val="en-GB"/>
        </w:rPr>
        <w:t>PSA</w:t>
      </w:r>
      <w:r>
        <w:rPr>
          <w:lang w:val="en-GB"/>
        </w:rPr>
        <w:t xml:space="preserve"> analysis.</w:t>
      </w:r>
    </w:p>
    <w:p w:rsidR="006D7DEF" w:rsidRDefault="006D7DEF">
      <w:pPr>
        <w:rPr>
          <w:lang w:val="en-GB"/>
        </w:rPr>
      </w:pPr>
    </w:p>
    <w:p w:rsidR="00801476" w:rsidRDefault="00801476">
      <w:pPr>
        <w:rPr>
          <w:lang w:val="en-GB"/>
        </w:rPr>
      </w:pPr>
      <w:r>
        <w:rPr>
          <w:lang w:val="en-GB"/>
        </w:rPr>
        <w:t>SSG-3 specifies (with respect to hazards) the following.</w:t>
      </w:r>
    </w:p>
    <w:p w:rsidR="00801476" w:rsidRPr="00801476" w:rsidRDefault="00801476" w:rsidP="00801476">
      <w:pPr>
        <w:rPr>
          <w:lang w:val="en-GB"/>
        </w:rPr>
      </w:pPr>
      <w:r>
        <w:rPr>
          <w:lang w:val="en-GB"/>
        </w:rPr>
        <w:t xml:space="preserve">“8.7 </w:t>
      </w:r>
      <w:r w:rsidRPr="00801476">
        <w:rPr>
          <w:lang w:val="en-GB"/>
        </w:rPr>
        <w:t>The bounding estimations should be based on models and data that are</w:t>
      </w:r>
      <w:r>
        <w:rPr>
          <w:lang w:val="en-GB"/>
        </w:rPr>
        <w:t xml:space="preserve"> </w:t>
      </w:r>
      <w:r w:rsidRPr="00801476">
        <w:rPr>
          <w:lang w:val="en-GB"/>
        </w:rPr>
        <w:t>either realistic or demonstratively conservative. Such models and data include:</w:t>
      </w:r>
    </w:p>
    <w:p w:rsidR="00801476" w:rsidRPr="00801476" w:rsidRDefault="00801476" w:rsidP="00801476">
      <w:pPr>
        <w:rPr>
          <w:lang w:val="en-GB"/>
        </w:rPr>
      </w:pPr>
      <w:r w:rsidRPr="00801476">
        <w:rPr>
          <w:lang w:val="en-GB"/>
        </w:rPr>
        <w:t>(a) Assessment of the frequency of hazards (i.e. estimations of the frequency of</w:t>
      </w:r>
      <w:r>
        <w:rPr>
          <w:lang w:val="en-GB"/>
        </w:rPr>
        <w:t xml:space="preserve"> </w:t>
      </w:r>
      <w:r w:rsidRPr="00801476">
        <w:rPr>
          <w:lang w:val="en-GB"/>
        </w:rPr>
        <w:t>exceedance of particular intensities);</w:t>
      </w:r>
    </w:p>
    <w:p w:rsidR="00801476" w:rsidRPr="00801476" w:rsidRDefault="00801476" w:rsidP="00801476">
      <w:pPr>
        <w:rPr>
          <w:lang w:val="en-GB"/>
        </w:rPr>
      </w:pPr>
      <w:r w:rsidRPr="00801476">
        <w:rPr>
          <w:lang w:val="en-GB"/>
        </w:rPr>
        <w:t>(b) Analysis of the impact of hazards on the plant (i.e. loads associated with the</w:t>
      </w:r>
      <w:r>
        <w:rPr>
          <w:lang w:val="en-GB"/>
        </w:rPr>
        <w:t xml:space="preserve"> </w:t>
      </w:r>
      <w:r w:rsidRPr="00801476">
        <w:rPr>
          <w:lang w:val="en-GB"/>
        </w:rPr>
        <w:t>hazard);</w:t>
      </w:r>
    </w:p>
    <w:p w:rsidR="00801476" w:rsidRPr="00801476" w:rsidRDefault="00801476" w:rsidP="00801476">
      <w:pPr>
        <w:rPr>
          <w:lang w:val="en-GB"/>
        </w:rPr>
      </w:pPr>
      <w:r w:rsidRPr="00801476">
        <w:rPr>
          <w:lang w:val="en-GB"/>
        </w:rPr>
        <w:t>(c) Analysis of the plant response (i.e. fragilities);</w:t>
      </w:r>
    </w:p>
    <w:p w:rsidR="00801476" w:rsidRDefault="00801476" w:rsidP="00801476">
      <w:pPr>
        <w:rPr>
          <w:lang w:val="en-GB"/>
        </w:rPr>
      </w:pPr>
      <w:r w:rsidRPr="00801476">
        <w:rPr>
          <w:lang w:val="en-GB"/>
        </w:rPr>
        <w:t>(d) Level 1 PSA models and data, etc., for the plant.</w:t>
      </w:r>
      <w:r>
        <w:rPr>
          <w:lang w:val="en-GB"/>
        </w:rPr>
        <w:t xml:space="preserve">” </w:t>
      </w:r>
      <w:r w:rsidR="00125AF4">
        <w:rPr>
          <w:lang w:val="en-GB"/>
        </w:rPr>
        <w:fldChar w:fldCharType="begin"/>
      </w:r>
      <w:r>
        <w:rPr>
          <w:lang w:val="en-GB"/>
        </w:rPr>
        <w:instrText xml:space="preserve"> REF _Ref384386913 \r \h </w:instrText>
      </w:r>
      <w:r w:rsidR="00125AF4">
        <w:rPr>
          <w:lang w:val="en-GB"/>
        </w:rPr>
      </w:r>
      <w:r w:rsidR="00125AF4">
        <w:rPr>
          <w:lang w:val="en-GB"/>
        </w:rPr>
        <w:fldChar w:fldCharType="separate"/>
      </w:r>
      <w:r w:rsidR="00E62976">
        <w:rPr>
          <w:lang w:val="en-GB"/>
        </w:rPr>
        <w:t>[4]</w:t>
      </w:r>
      <w:r w:rsidR="00125AF4">
        <w:rPr>
          <w:lang w:val="en-GB"/>
        </w:rPr>
        <w:fldChar w:fldCharType="end"/>
      </w:r>
      <w:r>
        <w:rPr>
          <w:lang w:val="en-GB"/>
        </w:rPr>
        <w:t>, p. 92.</w:t>
      </w:r>
    </w:p>
    <w:p w:rsidR="00801476" w:rsidRDefault="00801476" w:rsidP="00801476">
      <w:pPr>
        <w:rPr>
          <w:lang w:val="en-GB"/>
        </w:rPr>
      </w:pPr>
    </w:p>
    <w:p w:rsidR="00801476" w:rsidRDefault="006D7DEF">
      <w:pPr>
        <w:rPr>
          <w:lang w:val="en-GB"/>
        </w:rPr>
      </w:pPr>
      <w:r>
        <w:rPr>
          <w:lang w:val="en-GB"/>
        </w:rPr>
        <w:t xml:space="preserve">The </w:t>
      </w:r>
      <w:r w:rsidR="00801476">
        <w:rPr>
          <w:lang w:val="en-GB"/>
        </w:rPr>
        <w:t xml:space="preserve">bounding analysis </w:t>
      </w:r>
      <w:r>
        <w:rPr>
          <w:lang w:val="en-GB"/>
        </w:rPr>
        <w:t>is</w:t>
      </w:r>
      <w:r w:rsidR="00801476">
        <w:rPr>
          <w:lang w:val="en-GB"/>
        </w:rPr>
        <w:t xml:space="preserve"> an important element for reducing the number of internal initiating events which need to be analysed in more detail.</w:t>
      </w:r>
    </w:p>
    <w:p w:rsidR="006D7DEF" w:rsidRDefault="006D7DEF">
      <w:pPr>
        <w:rPr>
          <w:lang w:val="en-GB"/>
        </w:rPr>
      </w:pPr>
    </w:p>
    <w:p w:rsidR="00872CD0" w:rsidRDefault="00872CD0">
      <w:pPr>
        <w:rPr>
          <w:lang w:val="en-GB"/>
        </w:rPr>
      </w:pPr>
      <w:r>
        <w:rPr>
          <w:lang w:val="en-GB"/>
        </w:rPr>
        <w:t xml:space="preserve">Bounding analysis </w:t>
      </w:r>
      <w:r w:rsidR="00801476">
        <w:rPr>
          <w:lang w:val="en-GB"/>
        </w:rPr>
        <w:t xml:space="preserve">for screening </w:t>
      </w:r>
      <w:r>
        <w:rPr>
          <w:lang w:val="en-GB"/>
        </w:rPr>
        <w:t xml:space="preserve">is </w:t>
      </w:r>
      <w:r w:rsidR="001525ED">
        <w:rPr>
          <w:lang w:val="en-GB"/>
        </w:rPr>
        <w:t xml:space="preserve">usually </w:t>
      </w:r>
      <w:r>
        <w:rPr>
          <w:lang w:val="en-GB"/>
        </w:rPr>
        <w:t xml:space="preserve">inherently based on expert judgement. </w:t>
      </w:r>
      <w:r w:rsidR="00801476">
        <w:rPr>
          <w:lang w:val="en-GB"/>
        </w:rPr>
        <w:t>Experts need to use all available information on events, hazards, and plant response</w:t>
      </w:r>
      <w:r w:rsidR="001525ED">
        <w:rPr>
          <w:lang w:val="en-GB"/>
        </w:rPr>
        <w:t>, using sources from deterministic analysis, probabilistic evaluations, operating experience, siting, simulation models, etc</w:t>
      </w:r>
      <w:r w:rsidR="00801476">
        <w:rPr>
          <w:lang w:val="en-GB"/>
        </w:rPr>
        <w:t xml:space="preserve">. These are then translated into claims on frequencies and conditional probabilities. </w:t>
      </w:r>
      <w:r w:rsidR="006D7DEF">
        <w:rPr>
          <w:lang w:val="en-GB"/>
        </w:rPr>
        <w:t>J</w:t>
      </w:r>
      <w:r w:rsidR="00801476">
        <w:rPr>
          <w:lang w:val="en-GB"/>
        </w:rPr>
        <w:t>ustifying these claims in a traceable manner</w:t>
      </w:r>
      <w:r>
        <w:rPr>
          <w:lang w:val="en-GB"/>
        </w:rPr>
        <w:t xml:space="preserve"> </w:t>
      </w:r>
      <w:r w:rsidR="00801476">
        <w:rPr>
          <w:lang w:val="en-GB"/>
        </w:rPr>
        <w:t>but explaining the underlying reasoning, providing supporting arguments, and linking to available evidence is good practice.</w:t>
      </w:r>
    </w:p>
    <w:p w:rsidR="00CD6ED6" w:rsidRDefault="00CD6ED6" w:rsidP="00CD6ED6">
      <w:pPr>
        <w:rPr>
          <w:lang w:val="en-GB"/>
        </w:rPr>
      </w:pPr>
      <w:r>
        <w:rPr>
          <w:lang w:val="en-GB"/>
        </w:rPr>
        <w:t>Moreover, it should be considered if and how work for bounding assessment in PSA can in turn inform or benefit deterministic safety cases and other safety demonstrations.</w:t>
      </w:r>
    </w:p>
    <w:p w:rsidR="006D7DEF" w:rsidRDefault="006D7DEF">
      <w:pPr>
        <w:rPr>
          <w:lang w:val="en-GB"/>
        </w:rPr>
      </w:pPr>
    </w:p>
    <w:p w:rsidR="001525ED" w:rsidRDefault="001525ED">
      <w:pPr>
        <w:rPr>
          <w:lang w:val="en-GB"/>
        </w:rPr>
      </w:pPr>
      <w:r>
        <w:rPr>
          <w:lang w:val="en-GB"/>
        </w:rPr>
        <w:t xml:space="preserve">As with every expert judgement, only generic guidance can be provided. </w:t>
      </w:r>
      <w:r w:rsidR="006D7DEF">
        <w:rPr>
          <w:lang w:val="en-GB"/>
        </w:rPr>
        <w:t>T</w:t>
      </w:r>
      <w:r>
        <w:rPr>
          <w:lang w:val="en-GB"/>
        </w:rPr>
        <w:t>he following recommendations</w:t>
      </w:r>
      <w:r w:rsidR="006D7DEF">
        <w:rPr>
          <w:lang w:val="en-GB"/>
        </w:rPr>
        <w:t xml:space="preserve"> are proposed:</w:t>
      </w:r>
    </w:p>
    <w:p w:rsidR="00545C77" w:rsidRDefault="00545C77" w:rsidP="00E62976">
      <w:pPr>
        <w:numPr>
          <w:ilvl w:val="0"/>
          <w:numId w:val="77"/>
        </w:numPr>
        <w:ind w:left="851"/>
        <w:rPr>
          <w:lang w:val="en-GB"/>
        </w:rPr>
      </w:pPr>
      <w:r>
        <w:rPr>
          <w:lang w:val="en-GB"/>
        </w:rPr>
        <w:t>Bounding analysis for screening needs to be demonstrably conservative. This prevents scenarios to be screened out with potentially relevant contributions to risk.</w:t>
      </w:r>
    </w:p>
    <w:p w:rsidR="00545C77" w:rsidRDefault="00545C77" w:rsidP="00E62976">
      <w:pPr>
        <w:numPr>
          <w:ilvl w:val="0"/>
          <w:numId w:val="77"/>
        </w:numPr>
        <w:ind w:left="851"/>
        <w:rPr>
          <w:lang w:val="en-GB"/>
        </w:rPr>
      </w:pPr>
      <w:r w:rsidRPr="00545C77">
        <w:rPr>
          <w:lang w:val="en-GB"/>
        </w:rPr>
        <w:t>Bounding analysis can be made at different levels of sophistication.</w:t>
      </w:r>
      <w:r>
        <w:rPr>
          <w:lang w:val="en-GB"/>
        </w:rPr>
        <w:t xml:space="preserve"> </w:t>
      </w:r>
      <w:r w:rsidRPr="00545C77">
        <w:rPr>
          <w:lang w:val="en-GB"/>
        </w:rPr>
        <w:t xml:space="preserve">Particularly for initial screening, (very) conservative estimates are acceptable. </w:t>
      </w:r>
      <w:r>
        <w:rPr>
          <w:lang w:val="en-GB"/>
        </w:rPr>
        <w:t>Such values could be based on a high confidence of a small value type of approach or could correspond to a 95% percentile of the (possibly unknown) distribution at a confidence level of 95%</w:t>
      </w:r>
      <w:r w:rsidR="00342A71">
        <w:rPr>
          <w:lang w:val="en-GB"/>
        </w:rPr>
        <w:t>.</w:t>
      </w:r>
    </w:p>
    <w:p w:rsidR="00342A71" w:rsidRDefault="00342A71" w:rsidP="00E62976">
      <w:pPr>
        <w:numPr>
          <w:ilvl w:val="0"/>
          <w:numId w:val="77"/>
        </w:numPr>
        <w:ind w:left="851"/>
        <w:rPr>
          <w:lang w:val="en-GB"/>
        </w:rPr>
      </w:pPr>
      <w:r>
        <w:rPr>
          <w:lang w:val="en-GB"/>
        </w:rPr>
        <w:t>In order to limit the a</w:t>
      </w:r>
      <w:r w:rsidR="00970E04">
        <w:rPr>
          <w:lang w:val="en-GB"/>
        </w:rPr>
        <w:t>mount of initiating events and hazard scenarios for a more detailed analysis, more realistic bounding estimates can be necessary. Such estimates can be</w:t>
      </w:r>
    </w:p>
    <w:p w:rsidR="00970E04" w:rsidRDefault="007B494E" w:rsidP="00E62976">
      <w:pPr>
        <w:numPr>
          <w:ilvl w:val="1"/>
          <w:numId w:val="77"/>
        </w:numPr>
        <w:rPr>
          <w:lang w:val="en-GB"/>
        </w:rPr>
      </w:pPr>
      <w:r>
        <w:rPr>
          <w:lang w:val="en-GB"/>
        </w:rPr>
        <w:t>Based on conservatively estimated mean values for frequencies or probabilities</w:t>
      </w:r>
      <w:r w:rsidR="00423509">
        <w:rPr>
          <w:lang w:val="en-GB"/>
        </w:rPr>
        <w:t>.</w:t>
      </w:r>
    </w:p>
    <w:p w:rsidR="007B494E" w:rsidRDefault="007B494E" w:rsidP="00E62976">
      <w:pPr>
        <w:numPr>
          <w:ilvl w:val="1"/>
          <w:numId w:val="77"/>
        </w:numPr>
        <w:rPr>
          <w:lang w:val="en-GB"/>
        </w:rPr>
      </w:pPr>
      <w:r>
        <w:rPr>
          <w:lang w:val="en-GB"/>
        </w:rPr>
        <w:t>Based on simplified probabilistic models</w:t>
      </w:r>
      <w:r w:rsidR="005D0200">
        <w:rPr>
          <w:lang w:val="en-GB"/>
        </w:rPr>
        <w:tab/>
      </w:r>
      <w:r>
        <w:rPr>
          <w:lang w:val="en-GB"/>
        </w:rPr>
        <w:br/>
        <w:t>Analysts could make separate (bounding) estimates for the failure probability of different (groups of) safety functions, barriers, related plant compartments, or other provisions available to control the scenario.</w:t>
      </w:r>
    </w:p>
    <w:p w:rsidR="007B494E" w:rsidRDefault="007B494E" w:rsidP="00E62976">
      <w:pPr>
        <w:numPr>
          <w:ilvl w:val="1"/>
          <w:numId w:val="77"/>
        </w:numPr>
        <w:rPr>
          <w:lang w:val="en-GB"/>
        </w:rPr>
      </w:pPr>
      <w:r>
        <w:rPr>
          <w:lang w:val="en-GB"/>
        </w:rPr>
        <w:t>With regard to hazard scenarios, simplified probabilistic modelling can include separate estimations on the conditional probabilities for hazard impact propagation, consequential effects, triggering of initiating events, and protection measures.</w:t>
      </w:r>
    </w:p>
    <w:p w:rsidR="007B494E" w:rsidRDefault="007B494E" w:rsidP="00E62976">
      <w:pPr>
        <w:numPr>
          <w:ilvl w:val="0"/>
          <w:numId w:val="77"/>
        </w:numPr>
        <w:rPr>
          <w:lang w:val="en-GB"/>
        </w:rPr>
      </w:pPr>
      <w:r>
        <w:rPr>
          <w:lang w:val="en-GB"/>
        </w:rPr>
        <w:t xml:space="preserve">Estimations based on simplified </w:t>
      </w:r>
      <w:r w:rsidR="004618CB">
        <w:rPr>
          <w:lang w:val="en-GB"/>
        </w:rPr>
        <w:t>probabilistic modelling need to critically examine</w:t>
      </w:r>
    </w:p>
    <w:p w:rsidR="004618CB" w:rsidRDefault="004618CB" w:rsidP="00E62976">
      <w:pPr>
        <w:numPr>
          <w:ilvl w:val="1"/>
          <w:numId w:val="77"/>
        </w:numPr>
        <w:rPr>
          <w:lang w:val="en-GB"/>
        </w:rPr>
      </w:pPr>
      <w:r>
        <w:rPr>
          <w:lang w:val="en-GB"/>
        </w:rPr>
        <w:t>Potential common cause failures</w:t>
      </w:r>
      <w:r w:rsidR="00423509">
        <w:rPr>
          <w:lang w:val="en-GB"/>
        </w:rPr>
        <w:t>.</w:t>
      </w:r>
    </w:p>
    <w:p w:rsidR="004618CB" w:rsidRDefault="004618CB" w:rsidP="00E62976">
      <w:pPr>
        <w:numPr>
          <w:ilvl w:val="1"/>
          <w:numId w:val="77"/>
        </w:numPr>
        <w:rPr>
          <w:lang w:val="en-GB"/>
        </w:rPr>
      </w:pPr>
      <w:r>
        <w:rPr>
          <w:lang w:val="en-GB"/>
        </w:rPr>
        <w:t>Boundary conditions (e.g. impact of hazard effects)</w:t>
      </w:r>
      <w:r w:rsidR="00423509">
        <w:rPr>
          <w:lang w:val="en-GB"/>
        </w:rPr>
        <w:t>.</w:t>
      </w:r>
    </w:p>
    <w:p w:rsidR="004618CB" w:rsidRDefault="004618CB" w:rsidP="00E62976">
      <w:pPr>
        <w:numPr>
          <w:ilvl w:val="1"/>
          <w:numId w:val="77"/>
        </w:numPr>
        <w:rPr>
          <w:lang w:val="en-GB"/>
        </w:rPr>
      </w:pPr>
      <w:r>
        <w:rPr>
          <w:lang w:val="en-GB"/>
        </w:rPr>
        <w:t>Interactions and interdependencies with other units.</w:t>
      </w:r>
    </w:p>
    <w:p w:rsidR="00FA2CDA" w:rsidRDefault="00FA2CDA" w:rsidP="00E62976">
      <w:pPr>
        <w:numPr>
          <w:ilvl w:val="1"/>
          <w:numId w:val="77"/>
        </w:numPr>
        <w:rPr>
          <w:lang w:val="en-GB"/>
        </w:rPr>
      </w:pPr>
      <w:r>
        <w:rPr>
          <w:lang w:val="en-GB"/>
        </w:rPr>
        <w:t xml:space="preserve">Shared systems and resources, which cannot </w:t>
      </w:r>
      <w:r w:rsidR="000C4820">
        <w:rPr>
          <w:lang w:val="en-GB"/>
        </w:rPr>
        <w:t xml:space="preserve">(simultaneously) </w:t>
      </w:r>
      <w:r>
        <w:rPr>
          <w:lang w:val="en-GB"/>
        </w:rPr>
        <w:t xml:space="preserve">supply </w:t>
      </w:r>
      <w:r w:rsidR="000C4820">
        <w:rPr>
          <w:lang w:val="en-GB"/>
        </w:rPr>
        <w:t xml:space="preserve">all relevant demands from the connected units, </w:t>
      </w:r>
      <w:r w:rsidR="004F035D">
        <w:rPr>
          <w:lang w:val="en-GB"/>
        </w:rPr>
        <w:t>c</w:t>
      </w:r>
      <w:r w:rsidR="000C4820">
        <w:rPr>
          <w:lang w:val="en-GB"/>
        </w:rPr>
        <w:t>ould be assumed to be unavailable for bounding assessment.</w:t>
      </w:r>
    </w:p>
    <w:p w:rsidR="007B494E" w:rsidRDefault="007B494E" w:rsidP="004B3DA1">
      <w:pPr>
        <w:ind w:left="360"/>
        <w:rPr>
          <w:lang w:val="en-GB"/>
        </w:rPr>
      </w:pPr>
      <w:r w:rsidRPr="00423509">
        <w:rPr>
          <w:lang w:val="en-GB"/>
        </w:rPr>
        <w:t xml:space="preserve">Bounding analysis for hazards needs to be based </w:t>
      </w:r>
      <w:r w:rsidR="00CE210A" w:rsidRPr="00423509">
        <w:rPr>
          <w:lang w:val="en-GB"/>
        </w:rPr>
        <w:t>on their</w:t>
      </w:r>
      <w:r w:rsidRPr="00423509">
        <w:rPr>
          <w:lang w:val="en-GB"/>
        </w:rPr>
        <w:t xml:space="preserve"> impact characteristics.</w:t>
      </w:r>
    </w:p>
    <w:p w:rsidR="00423509" w:rsidRPr="00423509" w:rsidRDefault="00423509" w:rsidP="004B3DA1">
      <w:pPr>
        <w:ind w:left="360"/>
        <w:rPr>
          <w:lang w:val="en-GB"/>
        </w:rPr>
      </w:pPr>
    </w:p>
    <w:p w:rsidR="001525ED" w:rsidRDefault="007B494E">
      <w:pPr>
        <w:rPr>
          <w:lang w:val="en-GB"/>
        </w:rPr>
      </w:pPr>
      <w:r>
        <w:rPr>
          <w:lang w:val="en-GB"/>
        </w:rPr>
        <w:t xml:space="preserve">For some hazards like e.g. internal fire, specific bounding analysis approaches have </w:t>
      </w:r>
      <w:r w:rsidR="00CE210A">
        <w:rPr>
          <w:lang w:val="en-GB"/>
        </w:rPr>
        <w:t xml:space="preserve">already </w:t>
      </w:r>
      <w:r>
        <w:rPr>
          <w:lang w:val="en-GB"/>
        </w:rPr>
        <w:t>been developed.</w:t>
      </w:r>
    </w:p>
    <w:p w:rsidR="00C12916" w:rsidRDefault="00C12916">
      <w:pPr>
        <w:rPr>
          <w:lang w:val="en-GB"/>
        </w:rPr>
      </w:pPr>
    </w:p>
    <w:p w:rsidR="00AC50DD" w:rsidRDefault="00AC50DD">
      <w:pPr>
        <w:rPr>
          <w:lang w:val="en-GB"/>
        </w:rPr>
      </w:pPr>
      <w:r>
        <w:rPr>
          <w:lang w:val="en-GB"/>
        </w:rPr>
        <w:t>Bounding analysis should be made in a progressive manner.</w:t>
      </w:r>
    </w:p>
    <w:p w:rsidR="00AC50DD" w:rsidRDefault="00AC50DD" w:rsidP="00E62976">
      <w:pPr>
        <w:numPr>
          <w:ilvl w:val="0"/>
          <w:numId w:val="78"/>
        </w:numPr>
        <w:rPr>
          <w:lang w:val="en-GB"/>
        </w:rPr>
      </w:pPr>
      <w:r>
        <w:rPr>
          <w:lang w:val="en-GB"/>
        </w:rPr>
        <w:t>The first step will be the estimation of the frequency of occurrence of the initiating event or hazard scenario.</w:t>
      </w:r>
      <w:r w:rsidR="00037A67">
        <w:rPr>
          <w:lang w:val="en-GB"/>
        </w:rPr>
        <w:t xml:space="preserve"> </w:t>
      </w:r>
      <w:r>
        <w:rPr>
          <w:lang w:val="en-GB"/>
        </w:rPr>
        <w:t xml:space="preserve">At this step, the conditional probabilities </w:t>
      </w:r>
      <w:r w:rsidR="00037A67">
        <w:rPr>
          <w:lang w:val="en-GB"/>
        </w:rPr>
        <w:t xml:space="preserve">for severe consequences (whatever they may be) </w:t>
      </w:r>
      <w:r>
        <w:rPr>
          <w:lang w:val="en-GB"/>
        </w:rPr>
        <w:t>should be assumed to be 1.</w:t>
      </w:r>
    </w:p>
    <w:p w:rsidR="00AC50DD" w:rsidRDefault="00AC50DD" w:rsidP="00E62976">
      <w:pPr>
        <w:numPr>
          <w:ilvl w:val="0"/>
          <w:numId w:val="78"/>
        </w:numPr>
        <w:rPr>
          <w:lang w:val="en-GB"/>
        </w:rPr>
      </w:pPr>
      <w:r>
        <w:rPr>
          <w:lang w:val="en-GB"/>
        </w:rPr>
        <w:t>If the event or scenario</w:t>
      </w:r>
      <w:r w:rsidRPr="00AC50DD">
        <w:rPr>
          <w:lang w:val="en-GB"/>
        </w:rPr>
        <w:t xml:space="preserve"> cannot be screened out on frequency alone (a quite common case), estimates on the PSA Level 1 risk metric, i.e. FDP and possibly RMP, have to be made with an adequate level of sophistication (see above). At this stage, CLRP and CERP should be assumed to be 1.</w:t>
      </w:r>
    </w:p>
    <w:p w:rsidR="00AC50DD" w:rsidRPr="00AC50DD" w:rsidRDefault="00AC50DD" w:rsidP="00E62976">
      <w:pPr>
        <w:numPr>
          <w:ilvl w:val="0"/>
          <w:numId w:val="78"/>
        </w:numPr>
        <w:rPr>
          <w:lang w:val="en-GB"/>
        </w:rPr>
      </w:pPr>
      <w:r>
        <w:rPr>
          <w:lang w:val="en-GB"/>
        </w:rPr>
        <w:t xml:space="preserve">If the event or scenario cannot be screened out because it fails the Level 2 criteria, additional estimates on CLRP and CERP </w:t>
      </w:r>
      <w:r w:rsidR="00FA4B00">
        <w:rPr>
          <w:lang w:val="en-GB"/>
        </w:rPr>
        <w:t xml:space="preserve">with an adequate level of sophistication </w:t>
      </w:r>
      <w:r>
        <w:rPr>
          <w:lang w:val="en-GB"/>
        </w:rPr>
        <w:t>have to be made.</w:t>
      </w:r>
      <w:r w:rsidRPr="00AC50DD">
        <w:rPr>
          <w:lang w:val="en-GB"/>
        </w:rPr>
        <w:t xml:space="preserve"> </w:t>
      </w:r>
    </w:p>
    <w:p w:rsidR="00AC50DD" w:rsidRDefault="00AC50DD">
      <w:pPr>
        <w:rPr>
          <w:lang w:val="en-GB"/>
        </w:rPr>
      </w:pPr>
    </w:p>
    <w:p w:rsidR="004618CB" w:rsidRDefault="004618CB">
      <w:pPr>
        <w:rPr>
          <w:lang w:val="en-GB"/>
        </w:rPr>
      </w:pPr>
      <w:r>
        <w:rPr>
          <w:lang w:val="en-GB"/>
        </w:rPr>
        <w:t>During bounding analysis, the analyst might notice that the scenario under consideration can be reasonably assigned to an already existing initiating event or hazard scenario group based on plant response analysis. This option should be preferred, especially if there is a detailed PSA model available for that group.</w:t>
      </w:r>
    </w:p>
    <w:p w:rsidR="00C15AC6" w:rsidRDefault="00C15AC6">
      <w:pPr>
        <w:rPr>
          <w:lang w:val="en-GB"/>
        </w:rPr>
      </w:pPr>
    </w:p>
    <w:p w:rsidR="0017545A" w:rsidRPr="00413519" w:rsidRDefault="0017545A" w:rsidP="00C12916">
      <w:pPr>
        <w:rPr>
          <w:lang w:val="en-GB"/>
        </w:rPr>
      </w:pPr>
      <w:r w:rsidRPr="009803F6">
        <w:rPr>
          <w:lang w:val="en-GB"/>
        </w:rPr>
        <w:t xml:space="preserve">Bounding analysis should allow for demonstrating that certain events are extremely unlikely to develop into a </w:t>
      </w:r>
      <w:r w:rsidR="00CE210A" w:rsidRPr="009803F6">
        <w:rPr>
          <w:lang w:val="en-GB"/>
        </w:rPr>
        <w:t>large release</w:t>
      </w:r>
      <w:r w:rsidRPr="009803F6">
        <w:rPr>
          <w:lang w:val="en-GB"/>
        </w:rPr>
        <w:t xml:space="preserve"> or an </w:t>
      </w:r>
      <w:r w:rsidR="00CE210A" w:rsidRPr="009803F6">
        <w:rPr>
          <w:lang w:val="en-GB"/>
        </w:rPr>
        <w:t>early release</w:t>
      </w:r>
      <w:r w:rsidRPr="009803F6">
        <w:rPr>
          <w:lang w:val="en-GB"/>
        </w:rPr>
        <w:t xml:space="preserve"> scenario. </w:t>
      </w:r>
      <w:r w:rsidR="00CE210A" w:rsidRPr="009803F6">
        <w:rPr>
          <w:lang w:val="en-GB"/>
        </w:rPr>
        <w:t>T</w:t>
      </w:r>
      <w:r w:rsidRPr="009803F6">
        <w:rPr>
          <w:lang w:val="en-GB"/>
        </w:rPr>
        <w:t>his provides valuable justification to decision makers and stakeholders that low probability/high consequence events have been comprehensively identified</w:t>
      </w:r>
      <w:r w:rsidR="00CE210A" w:rsidRPr="009803F6">
        <w:rPr>
          <w:lang w:val="en-GB"/>
        </w:rPr>
        <w:t xml:space="preserve"> so traceability is crucial.</w:t>
      </w:r>
      <w:r w:rsidR="00CE210A">
        <w:rPr>
          <w:lang w:val="en-GB"/>
        </w:rPr>
        <w:t xml:space="preserve"> </w:t>
      </w:r>
      <w:r w:rsidR="00C12916" w:rsidRPr="009803F6">
        <w:rPr>
          <w:lang w:val="en-GB"/>
        </w:rPr>
        <w:t>Importantly, using bounding analysis for the assessment of a scenario does not remove the need for practical elimination of a sequence with unacceptable risk.</w:t>
      </w:r>
    </w:p>
    <w:p w:rsidR="007647B7" w:rsidRDefault="007647B7">
      <w:pPr>
        <w:rPr>
          <w:lang w:val="en-GB"/>
        </w:rPr>
      </w:pPr>
    </w:p>
    <w:p w:rsidR="00C12916" w:rsidRDefault="009E4F29" w:rsidP="007647B7">
      <w:pPr>
        <w:rPr>
          <w:lang w:val="en-GB"/>
        </w:rPr>
      </w:pPr>
      <w:r>
        <w:rPr>
          <w:lang w:val="en-GB"/>
        </w:rPr>
        <w:t>F</w:t>
      </w:r>
      <w:r w:rsidR="00C44A8A">
        <w:rPr>
          <w:lang w:val="en-GB"/>
        </w:rPr>
        <w:t>or screening purposes bounding assessment related to site risk measures should not be necessary. Claims for each unit from bounding assessment should be added up to arrive at site-level risk contributions from bounding assessment.</w:t>
      </w:r>
    </w:p>
    <w:p w:rsidR="00A262B4" w:rsidRDefault="00731003" w:rsidP="005079A3">
      <w:pPr>
        <w:pStyle w:val="Titre2"/>
        <w:rPr>
          <w:lang w:val="en-GB"/>
        </w:rPr>
      </w:pPr>
      <w:bookmarkStart w:id="476" w:name="_Toc446686424"/>
      <w:bookmarkStart w:id="477" w:name="_Toc446686425"/>
      <w:bookmarkStart w:id="478" w:name="_Toc446686426"/>
      <w:bookmarkStart w:id="479" w:name="_Toc446686427"/>
      <w:bookmarkStart w:id="480" w:name="_Toc446686428"/>
      <w:bookmarkStart w:id="481" w:name="_Toc446686429"/>
      <w:bookmarkStart w:id="482" w:name="_Toc446686430"/>
      <w:bookmarkStart w:id="483" w:name="_Toc446686431"/>
      <w:bookmarkStart w:id="484" w:name="_Toc446686432"/>
      <w:bookmarkStart w:id="485" w:name="_Toc446686433"/>
      <w:bookmarkStart w:id="486" w:name="_Toc446686434"/>
      <w:bookmarkStart w:id="487" w:name="_Toc446686435"/>
      <w:bookmarkStart w:id="488" w:name="_Toc446686436"/>
      <w:bookmarkStart w:id="489" w:name="_Toc446686437"/>
      <w:bookmarkStart w:id="490" w:name="_Toc446686438"/>
      <w:bookmarkStart w:id="491" w:name="_Toc446686439"/>
      <w:bookmarkStart w:id="492" w:name="_Toc446686440"/>
      <w:bookmarkStart w:id="493" w:name="_Toc446686441"/>
      <w:bookmarkStart w:id="494" w:name="_Toc446686442"/>
      <w:bookmarkStart w:id="495" w:name="_Toc446686443"/>
      <w:bookmarkStart w:id="496" w:name="_Toc446686444"/>
      <w:bookmarkStart w:id="497" w:name="_Toc446686445"/>
      <w:bookmarkStart w:id="498" w:name="_Toc446686446"/>
      <w:bookmarkStart w:id="499" w:name="_Ref445133088"/>
      <w:bookmarkStart w:id="500" w:name="_Ref445134854"/>
      <w:bookmarkStart w:id="501" w:name="_Toc473303590"/>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r>
        <w:rPr>
          <w:lang w:val="en-GB"/>
        </w:rPr>
        <w:t>SELECTION</w:t>
      </w:r>
      <w:r w:rsidR="00A262B4" w:rsidRPr="00A262B4">
        <w:rPr>
          <w:lang w:val="en-GB"/>
        </w:rPr>
        <w:t xml:space="preserve"> </w:t>
      </w:r>
      <w:r>
        <w:rPr>
          <w:lang w:val="en-GB"/>
        </w:rPr>
        <w:t>OF</w:t>
      </w:r>
      <w:r w:rsidR="00A262B4" w:rsidRPr="00A262B4">
        <w:rPr>
          <w:lang w:val="en-GB"/>
        </w:rPr>
        <w:t xml:space="preserve"> </w:t>
      </w:r>
      <w:r w:rsidR="006101D2">
        <w:rPr>
          <w:lang w:val="en-GB"/>
        </w:rPr>
        <w:t xml:space="preserve">THE INDIVIDUAL </w:t>
      </w:r>
      <w:r>
        <w:rPr>
          <w:lang w:val="en-GB"/>
        </w:rPr>
        <w:t>INTERNAL INITIATING EVENTS</w:t>
      </w:r>
      <w:r w:rsidR="00A262B4" w:rsidRPr="00A262B4">
        <w:rPr>
          <w:lang w:val="en-GB"/>
        </w:rPr>
        <w:t xml:space="preserve"> </w:t>
      </w:r>
      <w:r w:rsidR="006101D2">
        <w:rPr>
          <w:lang w:val="en-GB"/>
        </w:rPr>
        <w:t>TO BE CONSIDERED IN</w:t>
      </w:r>
      <w:r w:rsidR="00A262B4" w:rsidRPr="00A262B4">
        <w:rPr>
          <w:lang w:val="en-GB"/>
        </w:rPr>
        <w:t xml:space="preserve"> </w:t>
      </w:r>
      <w:r w:rsidR="006101D2">
        <w:rPr>
          <w:lang w:val="en-GB"/>
        </w:rPr>
        <w:t>A SINGLE UNIT</w:t>
      </w:r>
      <w:r w:rsidR="00A262B4" w:rsidRPr="00A262B4">
        <w:rPr>
          <w:lang w:val="en-GB"/>
        </w:rPr>
        <w:t xml:space="preserve"> PSA</w:t>
      </w:r>
      <w:bookmarkEnd w:id="499"/>
      <w:bookmarkEnd w:id="500"/>
      <w:bookmarkEnd w:id="501"/>
    </w:p>
    <w:p w:rsidR="00BC4BA5" w:rsidRPr="001B7918" w:rsidRDefault="00E9706A" w:rsidP="00BC4BA5">
      <w:pPr>
        <w:autoSpaceDE w:val="0"/>
        <w:autoSpaceDN w:val="0"/>
        <w:adjustRightInd w:val="0"/>
        <w:rPr>
          <w:szCs w:val="18"/>
          <w:lang w:val="en-GB"/>
        </w:rPr>
      </w:pPr>
      <w:r>
        <w:rPr>
          <w:lang w:val="en-GB"/>
        </w:rPr>
        <w:t xml:space="preserve">The screening process for internal initiating events is </w:t>
      </w:r>
      <w:r w:rsidR="00226EBD">
        <w:rPr>
          <w:lang w:val="en-GB"/>
        </w:rPr>
        <w:t xml:space="preserve">an </w:t>
      </w:r>
      <w:r>
        <w:rPr>
          <w:lang w:val="en-GB"/>
        </w:rPr>
        <w:t xml:space="preserve">established practice for current PSA. </w:t>
      </w:r>
      <w:r w:rsidR="00BC4BA5" w:rsidRPr="001B7918">
        <w:rPr>
          <w:szCs w:val="18"/>
          <w:lang w:val="en-GB"/>
        </w:rPr>
        <w:t>F</w:t>
      </w:r>
      <w:r w:rsidR="00BC4BA5" w:rsidRPr="005D4428">
        <w:rPr>
          <w:szCs w:val="18"/>
          <w:lang w:val="en-GB"/>
        </w:rPr>
        <w:t xml:space="preserve">or the identification of </w:t>
      </w:r>
      <w:r w:rsidR="00BC4BA5" w:rsidRPr="00815D61">
        <w:rPr>
          <w:szCs w:val="18"/>
          <w:lang w:val="en-GB"/>
        </w:rPr>
        <w:t xml:space="preserve">initiating events, the following </w:t>
      </w:r>
      <w:r w:rsidR="00BC4BA5">
        <w:rPr>
          <w:szCs w:val="18"/>
          <w:lang w:val="en-GB"/>
        </w:rPr>
        <w:t>approaches</w:t>
      </w:r>
      <w:r w:rsidR="00BC4BA5" w:rsidRPr="00815D61">
        <w:rPr>
          <w:szCs w:val="18"/>
          <w:lang w:val="en-GB"/>
        </w:rPr>
        <w:t xml:space="preserve"> </w:t>
      </w:r>
      <w:r w:rsidR="00125AF4" w:rsidRPr="00815D61">
        <w:rPr>
          <w:szCs w:val="18"/>
          <w:lang w:val="en-GB"/>
        </w:rPr>
        <w:fldChar w:fldCharType="begin"/>
      </w:r>
      <w:r w:rsidR="00BC4BA5" w:rsidRPr="005D4428">
        <w:rPr>
          <w:szCs w:val="18"/>
          <w:lang w:val="en-GB"/>
        </w:rPr>
        <w:instrText xml:space="preserve"> REF _Ref384386913 \r \h </w:instrText>
      </w:r>
      <w:r w:rsidR="00125AF4" w:rsidRPr="00815D61">
        <w:rPr>
          <w:szCs w:val="18"/>
          <w:lang w:val="en-GB"/>
        </w:rPr>
      </w:r>
      <w:r w:rsidR="00125AF4" w:rsidRPr="00815D61">
        <w:rPr>
          <w:szCs w:val="18"/>
          <w:lang w:val="en-GB"/>
        </w:rPr>
        <w:fldChar w:fldCharType="separate"/>
      </w:r>
      <w:r w:rsidR="00E62976">
        <w:rPr>
          <w:szCs w:val="18"/>
          <w:lang w:val="en-GB"/>
        </w:rPr>
        <w:t>[4]</w:t>
      </w:r>
      <w:r w:rsidR="00125AF4" w:rsidRPr="00815D61">
        <w:rPr>
          <w:szCs w:val="18"/>
          <w:lang w:val="en-GB"/>
        </w:rPr>
        <w:fldChar w:fldCharType="end"/>
      </w:r>
      <w:r w:rsidR="00BC4BA5" w:rsidRPr="005D4428">
        <w:rPr>
          <w:szCs w:val="18"/>
          <w:lang w:val="en-GB"/>
        </w:rPr>
        <w:t xml:space="preserve">, </w:t>
      </w:r>
      <w:r w:rsidR="00125AF4" w:rsidRPr="00815D61">
        <w:rPr>
          <w:szCs w:val="18"/>
          <w:lang w:val="en-GB"/>
        </w:rPr>
        <w:fldChar w:fldCharType="begin"/>
      </w:r>
      <w:r w:rsidR="00BC4BA5" w:rsidRPr="005D4428">
        <w:rPr>
          <w:szCs w:val="18"/>
          <w:lang w:val="en-GB"/>
        </w:rPr>
        <w:instrText xml:space="preserve"> REF _Ref384826455 \r \h </w:instrText>
      </w:r>
      <w:r w:rsidR="00125AF4" w:rsidRPr="00815D61">
        <w:rPr>
          <w:szCs w:val="18"/>
          <w:lang w:val="en-GB"/>
        </w:rPr>
      </w:r>
      <w:r w:rsidR="00125AF4" w:rsidRPr="00815D61">
        <w:rPr>
          <w:szCs w:val="18"/>
          <w:lang w:val="en-GB"/>
        </w:rPr>
        <w:fldChar w:fldCharType="separate"/>
      </w:r>
      <w:r w:rsidR="00E62976">
        <w:rPr>
          <w:szCs w:val="18"/>
          <w:lang w:val="en-GB"/>
        </w:rPr>
        <w:t>[7]</w:t>
      </w:r>
      <w:r w:rsidR="00125AF4" w:rsidRPr="00815D61">
        <w:rPr>
          <w:szCs w:val="18"/>
          <w:lang w:val="en-GB"/>
        </w:rPr>
        <w:fldChar w:fldCharType="end"/>
      </w:r>
      <w:r w:rsidR="00BC4BA5" w:rsidRPr="005D4428">
        <w:rPr>
          <w:szCs w:val="18"/>
          <w:lang w:val="en-GB"/>
        </w:rPr>
        <w:t xml:space="preserve"> </w:t>
      </w:r>
      <w:r w:rsidR="00BC4BA5" w:rsidRPr="00815D61">
        <w:rPr>
          <w:szCs w:val="18"/>
          <w:lang w:val="en-GB"/>
        </w:rPr>
        <w:t>can be used in general</w:t>
      </w:r>
      <w:r w:rsidR="00BC4BA5" w:rsidRPr="005D4428">
        <w:rPr>
          <w:szCs w:val="18"/>
          <w:lang w:val="en-GB"/>
        </w:rPr>
        <w:t>:</w:t>
      </w:r>
    </w:p>
    <w:p w:rsidR="00BC4BA5" w:rsidRPr="00815D61" w:rsidRDefault="00BC4BA5" w:rsidP="00E62976">
      <w:pPr>
        <w:numPr>
          <w:ilvl w:val="0"/>
          <w:numId w:val="42"/>
        </w:numPr>
        <w:rPr>
          <w:szCs w:val="18"/>
          <w:lang w:val="en-GB"/>
        </w:rPr>
      </w:pPr>
      <w:r w:rsidRPr="005D4428">
        <w:rPr>
          <w:szCs w:val="18"/>
          <w:lang w:val="en-GB"/>
        </w:rPr>
        <w:t>List of initiating events</w:t>
      </w:r>
      <w:r w:rsidRPr="00815D61">
        <w:rPr>
          <w:szCs w:val="18"/>
          <w:lang w:val="en-GB"/>
        </w:rPr>
        <w:t>, either from other existing PSA or recommended in standards and guides;</w:t>
      </w:r>
    </w:p>
    <w:p w:rsidR="00BC4BA5" w:rsidRPr="005D4428" w:rsidRDefault="00BC4BA5" w:rsidP="00E62976">
      <w:pPr>
        <w:numPr>
          <w:ilvl w:val="0"/>
          <w:numId w:val="42"/>
        </w:numPr>
        <w:rPr>
          <w:szCs w:val="18"/>
          <w:lang w:val="en-GB"/>
        </w:rPr>
      </w:pPr>
      <w:r w:rsidRPr="005D4428">
        <w:rPr>
          <w:szCs w:val="18"/>
          <w:lang w:val="en-GB"/>
        </w:rPr>
        <w:t>Evaluation of operating experience events</w:t>
      </w:r>
      <w:r w:rsidR="00D67F2F">
        <w:rPr>
          <w:szCs w:val="18"/>
          <w:lang w:val="en-GB"/>
        </w:rPr>
        <w:t xml:space="preserve"> (databases like INES, IRS, WANO etc.)</w:t>
      </w:r>
      <w:r w:rsidRPr="005D4428">
        <w:rPr>
          <w:szCs w:val="18"/>
          <w:lang w:val="en-GB"/>
        </w:rPr>
        <w:t>, and events specific to spent fuel pool;</w:t>
      </w:r>
    </w:p>
    <w:p w:rsidR="00BC4BA5" w:rsidRPr="005D4428" w:rsidRDefault="00BC4BA5" w:rsidP="00E62976">
      <w:pPr>
        <w:numPr>
          <w:ilvl w:val="0"/>
          <w:numId w:val="42"/>
        </w:numPr>
        <w:rPr>
          <w:szCs w:val="18"/>
          <w:lang w:val="en-GB"/>
        </w:rPr>
      </w:pPr>
      <w:r w:rsidRPr="005D4428">
        <w:rPr>
          <w:szCs w:val="18"/>
          <w:lang w:val="en-GB"/>
        </w:rPr>
        <w:t>Bottom-up analysis approaches like hazard and operability (HAZOP) studies or failure mode and effects analysis (FMEA);</w:t>
      </w:r>
    </w:p>
    <w:p w:rsidR="00BC4BA5" w:rsidRPr="005D4428" w:rsidRDefault="00BC4BA5" w:rsidP="00E62976">
      <w:pPr>
        <w:numPr>
          <w:ilvl w:val="0"/>
          <w:numId w:val="42"/>
        </w:numPr>
        <w:rPr>
          <w:szCs w:val="18"/>
          <w:lang w:val="en-GB"/>
        </w:rPr>
      </w:pPr>
      <w:r w:rsidRPr="005D4428">
        <w:rPr>
          <w:szCs w:val="18"/>
          <w:lang w:val="en-GB"/>
        </w:rPr>
        <w:t>Master logic diagrams which develops a plant level logic structure whose basic input events are the initiating events, for identifying failures leading to challenges of normal operation;</w:t>
      </w:r>
    </w:p>
    <w:p w:rsidR="00BC4BA5" w:rsidRPr="005D4428" w:rsidRDefault="00BC4BA5" w:rsidP="00E62976">
      <w:pPr>
        <w:numPr>
          <w:ilvl w:val="0"/>
          <w:numId w:val="42"/>
        </w:numPr>
        <w:rPr>
          <w:szCs w:val="18"/>
          <w:lang w:val="en-GB"/>
        </w:rPr>
      </w:pPr>
      <w:r w:rsidRPr="005D4428">
        <w:rPr>
          <w:szCs w:val="18"/>
          <w:lang w:val="en-GB"/>
        </w:rPr>
        <w:t>Evaluation of the plant safety analysis report and other deterministic analyses on design and beyond design basis accidents.</w:t>
      </w:r>
    </w:p>
    <w:p w:rsidR="00443F72" w:rsidRDefault="00484390" w:rsidP="00A64C8E">
      <w:pPr>
        <w:autoSpaceDE w:val="0"/>
        <w:autoSpaceDN w:val="0"/>
        <w:adjustRightInd w:val="0"/>
        <w:rPr>
          <w:rFonts w:eastAsiaTheme="minorHAnsi"/>
          <w:szCs w:val="18"/>
          <w:lang w:val="en-GB" w:eastAsia="en-US"/>
        </w:rPr>
      </w:pPr>
      <w:r>
        <w:rPr>
          <w:rFonts w:eastAsiaTheme="minorHAnsi"/>
          <w:szCs w:val="18"/>
          <w:lang w:val="en-GB" w:eastAsia="en-US"/>
        </w:rPr>
        <w:t xml:space="preserve">It should be also noted that approach in </w:t>
      </w:r>
      <w:r w:rsidRPr="00815D61">
        <w:rPr>
          <w:szCs w:val="18"/>
          <w:lang w:val="en-GB"/>
        </w:rPr>
        <w:fldChar w:fldCharType="begin"/>
      </w:r>
      <w:r w:rsidRPr="005D4428">
        <w:rPr>
          <w:szCs w:val="18"/>
          <w:lang w:val="en-GB"/>
        </w:rPr>
        <w:instrText xml:space="preserve"> REF _Ref384386913 \r \h </w:instrText>
      </w:r>
      <w:r w:rsidRPr="00815D61">
        <w:rPr>
          <w:szCs w:val="18"/>
          <w:lang w:val="en-GB"/>
        </w:rPr>
      </w:r>
      <w:r w:rsidRPr="00815D61">
        <w:rPr>
          <w:szCs w:val="18"/>
          <w:lang w:val="en-GB"/>
        </w:rPr>
        <w:fldChar w:fldCharType="separate"/>
      </w:r>
      <w:r w:rsidR="00E62976">
        <w:rPr>
          <w:szCs w:val="18"/>
          <w:lang w:val="en-GB"/>
        </w:rPr>
        <w:t>[4]</w:t>
      </w:r>
      <w:r w:rsidRPr="00815D61">
        <w:rPr>
          <w:szCs w:val="18"/>
          <w:lang w:val="en-GB"/>
        </w:rPr>
        <w:fldChar w:fldCharType="end"/>
      </w:r>
      <w:r>
        <w:rPr>
          <w:szCs w:val="18"/>
          <w:lang w:val="en-GB"/>
        </w:rPr>
        <w:t xml:space="preserve"> requires that t</w:t>
      </w:r>
      <w:r w:rsidRPr="00484390">
        <w:rPr>
          <w:rFonts w:eastAsiaTheme="minorHAnsi"/>
          <w:szCs w:val="18"/>
          <w:lang w:val="en-GB" w:eastAsia="en-US"/>
        </w:rPr>
        <w:t>he set of internal initiating events used as the basis for the Level 1 PSA</w:t>
      </w:r>
      <w:r>
        <w:rPr>
          <w:rFonts w:eastAsiaTheme="minorHAnsi"/>
          <w:szCs w:val="18"/>
          <w:lang w:val="en-GB" w:eastAsia="en-US"/>
        </w:rPr>
        <w:t xml:space="preserve"> </w:t>
      </w:r>
      <w:r w:rsidRPr="00484390">
        <w:rPr>
          <w:rFonts w:eastAsiaTheme="minorHAnsi"/>
          <w:szCs w:val="18"/>
          <w:lang w:val="en-GB" w:eastAsia="en-US"/>
        </w:rPr>
        <w:t>should be as comprehensive as possible.</w:t>
      </w:r>
      <w:r>
        <w:rPr>
          <w:rFonts w:eastAsiaTheme="minorHAnsi"/>
          <w:szCs w:val="18"/>
          <w:lang w:val="en-GB" w:eastAsia="en-US"/>
        </w:rPr>
        <w:t xml:space="preserve"> </w:t>
      </w:r>
      <w:r w:rsidRPr="00484390">
        <w:rPr>
          <w:rFonts w:eastAsiaTheme="minorHAnsi"/>
          <w:szCs w:val="18"/>
          <w:lang w:val="en-GB" w:eastAsia="en-US"/>
        </w:rPr>
        <w:t>It is recognized that it is not possible to</w:t>
      </w:r>
      <w:r>
        <w:rPr>
          <w:rFonts w:eastAsiaTheme="minorHAnsi"/>
          <w:szCs w:val="18"/>
          <w:lang w:val="en-GB" w:eastAsia="en-US"/>
        </w:rPr>
        <w:t xml:space="preserve"> </w:t>
      </w:r>
      <w:r w:rsidRPr="00484390">
        <w:rPr>
          <w:rFonts w:eastAsiaTheme="minorHAnsi"/>
          <w:szCs w:val="18"/>
          <w:lang w:val="en-GB" w:eastAsia="en-US"/>
        </w:rPr>
        <w:t>demonstrate that all possible initiating events have been identified. However, by</w:t>
      </w:r>
      <w:r>
        <w:rPr>
          <w:rFonts w:eastAsiaTheme="minorHAnsi"/>
          <w:szCs w:val="18"/>
          <w:lang w:val="en-GB" w:eastAsia="en-US"/>
        </w:rPr>
        <w:t xml:space="preserve"> </w:t>
      </w:r>
      <w:r w:rsidRPr="00484390">
        <w:rPr>
          <w:rFonts w:eastAsiaTheme="minorHAnsi"/>
          <w:szCs w:val="18"/>
          <w:lang w:val="en-GB" w:eastAsia="en-US"/>
        </w:rPr>
        <w:t xml:space="preserve">using a sufficiently comprehensive combination of the different approaches </w:t>
      </w:r>
      <w:r>
        <w:rPr>
          <w:rFonts w:eastAsiaTheme="minorHAnsi"/>
          <w:szCs w:val="18"/>
          <w:lang w:val="en-GB" w:eastAsia="en-US"/>
        </w:rPr>
        <w:t>(e.g. above)</w:t>
      </w:r>
      <w:r w:rsidRPr="00484390">
        <w:rPr>
          <w:rFonts w:eastAsiaTheme="minorHAnsi"/>
          <w:szCs w:val="18"/>
          <w:lang w:val="en-GB" w:eastAsia="en-US"/>
        </w:rPr>
        <w:t>, it is possible to gain confidence that the set of initiating events that</w:t>
      </w:r>
      <w:r>
        <w:rPr>
          <w:rFonts w:eastAsiaTheme="minorHAnsi"/>
          <w:szCs w:val="18"/>
          <w:lang w:val="en-GB" w:eastAsia="en-US"/>
        </w:rPr>
        <w:t xml:space="preserve"> </w:t>
      </w:r>
      <w:r w:rsidRPr="00484390">
        <w:rPr>
          <w:rFonts w:eastAsiaTheme="minorHAnsi"/>
          <w:szCs w:val="18"/>
          <w:lang w:val="en-GB" w:eastAsia="en-US"/>
        </w:rPr>
        <w:t>has been identified for the plant is as comprehensive as possible.</w:t>
      </w:r>
    </w:p>
    <w:p w:rsidR="00A64C8E" w:rsidRPr="00A64C8E" w:rsidRDefault="009133E5" w:rsidP="00A64C8E">
      <w:pPr>
        <w:autoSpaceDE w:val="0"/>
        <w:autoSpaceDN w:val="0"/>
        <w:adjustRightInd w:val="0"/>
        <w:rPr>
          <w:rFonts w:eastAsiaTheme="minorHAnsi"/>
          <w:szCs w:val="18"/>
          <w:lang w:val="en-GB" w:eastAsia="en-US"/>
        </w:rPr>
      </w:pPr>
      <w:r>
        <w:rPr>
          <w:rFonts w:eastAsiaTheme="minorHAnsi"/>
          <w:szCs w:val="18"/>
          <w:lang w:val="en-GB" w:eastAsia="en-US"/>
        </w:rPr>
        <w:t>It seems that this has not always been the normal practice</w:t>
      </w:r>
      <w:r w:rsidR="00443F72">
        <w:rPr>
          <w:rFonts w:eastAsiaTheme="minorHAnsi"/>
          <w:szCs w:val="18"/>
          <w:lang w:val="en-GB" w:eastAsia="en-US"/>
        </w:rPr>
        <w:t xml:space="preserve">. </w:t>
      </w:r>
      <w:r w:rsidR="00A64C8E">
        <w:rPr>
          <w:rFonts w:eastAsiaTheme="minorHAnsi"/>
          <w:szCs w:val="18"/>
          <w:lang w:val="en-GB" w:eastAsia="en-US"/>
        </w:rPr>
        <w:t xml:space="preserve">For example, in </w:t>
      </w:r>
      <w:r w:rsidR="00D9593D">
        <w:rPr>
          <w:rFonts w:eastAsiaTheme="minorHAnsi"/>
          <w:szCs w:val="18"/>
          <w:lang w:val="en-GB" w:eastAsia="en-US"/>
        </w:rPr>
        <w:t xml:space="preserve">the </w:t>
      </w:r>
      <w:r w:rsidR="00927EB1">
        <w:rPr>
          <w:rFonts w:eastAsiaTheme="minorHAnsi"/>
          <w:szCs w:val="18"/>
          <w:lang w:val="en-GB" w:eastAsia="en-US"/>
        </w:rPr>
        <w:t xml:space="preserve">deterministic </w:t>
      </w:r>
      <w:r w:rsidR="00D9593D">
        <w:rPr>
          <w:rFonts w:eastAsiaTheme="minorHAnsi"/>
          <w:szCs w:val="18"/>
          <w:lang w:val="en-GB" w:eastAsia="en-US"/>
        </w:rPr>
        <w:t xml:space="preserve">safety analysis </w:t>
      </w:r>
      <w:r w:rsidR="00A64C8E">
        <w:rPr>
          <w:rFonts w:eastAsiaTheme="minorHAnsi"/>
          <w:szCs w:val="18"/>
          <w:lang w:val="en-GB" w:eastAsia="en-US"/>
        </w:rPr>
        <w:t xml:space="preserve">report for Advanced Pressurized Water Reactor (APWR) the following statement was written: </w:t>
      </w:r>
      <w:r w:rsidR="00A64C8E" w:rsidRPr="00A64C8E">
        <w:rPr>
          <w:rFonts w:eastAsiaTheme="minorHAnsi"/>
          <w:szCs w:val="18"/>
          <w:lang w:val="en-GB" w:eastAsia="en-US"/>
        </w:rPr>
        <w:t xml:space="preserve">“Due to the similarities between the MHI US-APWR and the current generation of PWRs operating in the United States, MHI has determined that no new event types are required to bound the possible initiating events.” </w:t>
      </w:r>
      <w:r w:rsidR="00A64C8E">
        <w:rPr>
          <w:rFonts w:eastAsiaTheme="minorHAnsi"/>
          <w:szCs w:val="18"/>
          <w:lang w:val="en-GB" w:eastAsia="en-US"/>
        </w:rPr>
        <w:fldChar w:fldCharType="begin"/>
      </w:r>
      <w:r w:rsidR="00A64C8E">
        <w:rPr>
          <w:rFonts w:eastAsiaTheme="minorHAnsi"/>
          <w:szCs w:val="18"/>
          <w:lang w:val="en-GB" w:eastAsia="en-US"/>
        </w:rPr>
        <w:instrText xml:space="preserve"> REF _Ref467515860 \w \h </w:instrText>
      </w:r>
      <w:r w:rsidR="00A64C8E">
        <w:rPr>
          <w:rFonts w:eastAsiaTheme="minorHAnsi"/>
          <w:szCs w:val="18"/>
          <w:lang w:val="en-GB" w:eastAsia="en-US"/>
        </w:rPr>
      </w:r>
      <w:r w:rsidR="00A64C8E">
        <w:rPr>
          <w:rFonts w:eastAsiaTheme="minorHAnsi"/>
          <w:szCs w:val="18"/>
          <w:lang w:val="en-GB" w:eastAsia="en-US"/>
        </w:rPr>
        <w:fldChar w:fldCharType="separate"/>
      </w:r>
      <w:r w:rsidR="00E62976">
        <w:rPr>
          <w:rFonts w:eastAsiaTheme="minorHAnsi"/>
          <w:szCs w:val="18"/>
          <w:lang w:val="en-GB" w:eastAsia="en-US"/>
        </w:rPr>
        <w:t>[104]</w:t>
      </w:r>
      <w:r w:rsidR="00A64C8E">
        <w:rPr>
          <w:rFonts w:eastAsiaTheme="minorHAnsi"/>
          <w:szCs w:val="18"/>
          <w:lang w:val="en-GB" w:eastAsia="en-US"/>
        </w:rPr>
        <w:fldChar w:fldCharType="end"/>
      </w:r>
      <w:r w:rsidR="00A64C8E" w:rsidRPr="00A64C8E">
        <w:rPr>
          <w:rFonts w:eastAsiaTheme="minorHAnsi"/>
          <w:szCs w:val="18"/>
          <w:lang w:val="en-GB" w:eastAsia="en-US"/>
        </w:rPr>
        <w:t>.</w:t>
      </w:r>
    </w:p>
    <w:p w:rsidR="00BC4BA5" w:rsidRPr="001B7918" w:rsidRDefault="00BC4BA5" w:rsidP="00BC4BA5">
      <w:pPr>
        <w:autoSpaceDE w:val="0"/>
        <w:autoSpaceDN w:val="0"/>
        <w:adjustRightInd w:val="0"/>
        <w:rPr>
          <w:rFonts w:eastAsiaTheme="minorHAnsi"/>
          <w:szCs w:val="18"/>
          <w:lang w:val="en-GB" w:eastAsia="en-US"/>
        </w:rPr>
      </w:pPr>
      <w:r w:rsidRPr="001B7918">
        <w:rPr>
          <w:rFonts w:eastAsiaTheme="minorHAnsi"/>
          <w:szCs w:val="18"/>
          <w:lang w:val="en-GB" w:eastAsia="en-US"/>
        </w:rPr>
        <w:t xml:space="preserve">The plant systems and major components </w:t>
      </w:r>
      <w:r w:rsidR="005C51F4">
        <w:rPr>
          <w:rFonts w:eastAsiaTheme="minorHAnsi"/>
          <w:szCs w:val="18"/>
          <w:lang w:val="en-GB" w:eastAsia="en-US"/>
        </w:rPr>
        <w:t>could</w:t>
      </w:r>
      <w:r w:rsidRPr="001B7918">
        <w:rPr>
          <w:rFonts w:eastAsiaTheme="minorHAnsi"/>
          <w:szCs w:val="18"/>
          <w:lang w:val="en-GB" w:eastAsia="en-US"/>
        </w:rPr>
        <w:t xml:space="preserve"> be reviewed to see whether any of the failure modes could lead directly or in combination with other failures, to significant disturbances of plant operation, requiring operation of mitigating systems. Partial failures of systems need also to be considered </w:t>
      </w:r>
      <w:r>
        <w:rPr>
          <w:rFonts w:eastAsiaTheme="minorHAnsi"/>
          <w:szCs w:val="18"/>
          <w:lang w:val="en-GB" w:eastAsia="en-US"/>
        </w:rPr>
        <w:t>as well.</w:t>
      </w:r>
    </w:p>
    <w:p w:rsidR="00E9706A" w:rsidRDefault="00BC4BA5" w:rsidP="00A262B4">
      <w:pPr>
        <w:rPr>
          <w:lang w:val="en-GB"/>
        </w:rPr>
      </w:pPr>
      <w:r>
        <w:rPr>
          <w:lang w:val="en-GB"/>
        </w:rPr>
        <w:t xml:space="preserve">There is a lot of experience in the PSA community on the spectrum of internal initiating events for all operating modes relevant for the different NPP designs. </w:t>
      </w:r>
      <w:r w:rsidR="00260F1C">
        <w:rPr>
          <w:lang w:val="en-GB"/>
        </w:rPr>
        <w:t xml:space="preserve">For a summary of the generic approach based on SSG-3 </w:t>
      </w:r>
      <w:r w:rsidR="00125AF4">
        <w:rPr>
          <w:lang w:val="en-GB"/>
        </w:rPr>
        <w:fldChar w:fldCharType="begin"/>
      </w:r>
      <w:r w:rsidR="00260F1C">
        <w:rPr>
          <w:lang w:val="en-GB"/>
        </w:rPr>
        <w:instrText xml:space="preserve"> REF _Ref384386913 \r \h </w:instrText>
      </w:r>
      <w:r w:rsidR="00125AF4">
        <w:rPr>
          <w:lang w:val="en-GB"/>
        </w:rPr>
      </w:r>
      <w:r w:rsidR="00125AF4">
        <w:rPr>
          <w:lang w:val="en-GB"/>
        </w:rPr>
        <w:fldChar w:fldCharType="separate"/>
      </w:r>
      <w:r w:rsidR="00E62976">
        <w:rPr>
          <w:lang w:val="en-GB"/>
        </w:rPr>
        <w:t>[4]</w:t>
      </w:r>
      <w:r w:rsidR="00125AF4">
        <w:rPr>
          <w:lang w:val="en-GB"/>
        </w:rPr>
        <w:fldChar w:fldCharType="end"/>
      </w:r>
      <w:r w:rsidR="00260F1C">
        <w:rPr>
          <w:lang w:val="en-GB"/>
        </w:rPr>
        <w:t xml:space="preserve">, see section </w:t>
      </w:r>
      <w:r w:rsidR="00125AF4">
        <w:rPr>
          <w:lang w:val="en-GB"/>
        </w:rPr>
        <w:fldChar w:fldCharType="begin"/>
      </w:r>
      <w:r w:rsidR="00260F1C">
        <w:rPr>
          <w:lang w:val="en-GB"/>
        </w:rPr>
        <w:instrText xml:space="preserve"> REF _Ref445057825 \r \h </w:instrText>
      </w:r>
      <w:r w:rsidR="00125AF4">
        <w:rPr>
          <w:lang w:val="en-GB"/>
        </w:rPr>
      </w:r>
      <w:r w:rsidR="00125AF4">
        <w:rPr>
          <w:lang w:val="en-GB"/>
        </w:rPr>
        <w:fldChar w:fldCharType="separate"/>
      </w:r>
      <w:r w:rsidR="00E62976">
        <w:rPr>
          <w:lang w:val="en-GB"/>
        </w:rPr>
        <w:t>5.1.1.2</w:t>
      </w:r>
      <w:r w:rsidR="00125AF4">
        <w:rPr>
          <w:lang w:val="en-GB"/>
        </w:rPr>
        <w:fldChar w:fldCharType="end"/>
      </w:r>
      <w:r w:rsidR="00260F1C">
        <w:rPr>
          <w:lang w:val="en-GB"/>
        </w:rPr>
        <w:t xml:space="preserve">. </w:t>
      </w:r>
      <w:r w:rsidR="000B43A3">
        <w:rPr>
          <w:lang w:val="en-GB"/>
        </w:rPr>
        <w:t>Therefore, comments are provided only on some specific aspects relevant for the proposed screening approach for an extended PSA.</w:t>
      </w:r>
    </w:p>
    <w:p w:rsidR="00E9706A" w:rsidRDefault="00E9706A" w:rsidP="00A262B4">
      <w:pPr>
        <w:rPr>
          <w:lang w:val="en-GB"/>
        </w:rPr>
      </w:pPr>
      <w:r>
        <w:rPr>
          <w:lang w:val="en-GB"/>
        </w:rPr>
        <w:t xml:space="preserve">First, the screening for an extended PSA </w:t>
      </w:r>
      <w:r w:rsidR="00413519">
        <w:rPr>
          <w:lang w:val="en-GB"/>
        </w:rPr>
        <w:t xml:space="preserve">may </w:t>
      </w:r>
      <w:r>
        <w:rPr>
          <w:lang w:val="en-GB"/>
        </w:rPr>
        <w:t xml:space="preserve">assume significantly lower quantitative screening thresholds than established practices. </w:t>
      </w:r>
      <w:r w:rsidR="00CF65CB">
        <w:rPr>
          <w:lang w:val="en-GB"/>
        </w:rPr>
        <w:t xml:space="preserve">Therefore, internal initiating events, which have been screened out from more detailed assessment </w:t>
      </w:r>
      <w:r w:rsidR="00413519">
        <w:rPr>
          <w:lang w:val="en-GB"/>
        </w:rPr>
        <w:t xml:space="preserve">may </w:t>
      </w:r>
      <w:r w:rsidR="00CF65CB">
        <w:rPr>
          <w:lang w:val="en-GB"/>
        </w:rPr>
        <w:t>need to be re-assessed. This particularly includes a check of screening out internal events against the recommended PSA Level 2 screening risk measures.</w:t>
      </w:r>
    </w:p>
    <w:p w:rsidR="001659CF" w:rsidRDefault="00413519" w:rsidP="00A262B4">
      <w:pPr>
        <w:rPr>
          <w:lang w:val="en-GB"/>
        </w:rPr>
      </w:pPr>
      <w:r>
        <w:rPr>
          <w:lang w:val="en-GB"/>
        </w:rPr>
        <w:t>Regarding</w:t>
      </w:r>
      <w:r w:rsidR="001659CF">
        <w:rPr>
          <w:lang w:val="en-GB"/>
        </w:rPr>
        <w:t xml:space="preserve"> internal initiating events screening against PSA Level 2 risk measures</w:t>
      </w:r>
      <w:r>
        <w:rPr>
          <w:lang w:val="en-GB"/>
        </w:rPr>
        <w:t>, p</w:t>
      </w:r>
      <w:r w:rsidR="001659CF">
        <w:rPr>
          <w:lang w:val="en-GB"/>
        </w:rPr>
        <w:t xml:space="preserve">articular attention should be given to IE-specific boundary conditions or unavailabilities relating to the containment function of </w:t>
      </w:r>
      <w:r w:rsidR="00612A07">
        <w:rPr>
          <w:lang w:val="en-GB"/>
        </w:rPr>
        <w:t xml:space="preserve">the </w:t>
      </w:r>
      <w:r w:rsidR="001659CF">
        <w:rPr>
          <w:lang w:val="en-GB"/>
        </w:rPr>
        <w:t xml:space="preserve">NPP. </w:t>
      </w:r>
      <w:r>
        <w:rPr>
          <w:lang w:val="en-GB"/>
        </w:rPr>
        <w:t>For example, e</w:t>
      </w:r>
      <w:r w:rsidR="001659CF">
        <w:rPr>
          <w:lang w:val="en-GB"/>
        </w:rPr>
        <w:t>vent scenarios, which are inherently intertwined with an open containment o</w:t>
      </w:r>
      <w:r w:rsidR="000B43A3">
        <w:rPr>
          <w:lang w:val="en-GB"/>
        </w:rPr>
        <w:t>r</w:t>
      </w:r>
      <w:r w:rsidR="001659CF">
        <w:rPr>
          <w:lang w:val="en-GB"/>
        </w:rPr>
        <w:t xml:space="preserve"> a containment isolation </w:t>
      </w:r>
      <w:r w:rsidR="000B43A3">
        <w:rPr>
          <w:lang w:val="en-GB"/>
        </w:rPr>
        <w:t>failure</w:t>
      </w:r>
      <w:r w:rsidR="001659CF">
        <w:rPr>
          <w:lang w:val="en-GB"/>
        </w:rPr>
        <w:t xml:space="preserve">, are potentially significant contributors to LRF and ERF scenarios. Such boundary conditions can also originate from different operating modes, e.g. shutdown states with and without </w:t>
      </w:r>
      <w:r w:rsidR="00612A07">
        <w:rPr>
          <w:lang w:val="en-GB"/>
        </w:rPr>
        <w:t xml:space="preserve">an </w:t>
      </w:r>
      <w:r w:rsidR="001659CF">
        <w:rPr>
          <w:lang w:val="en-GB"/>
        </w:rPr>
        <w:t>open containment.</w:t>
      </w:r>
    </w:p>
    <w:p w:rsidR="00413519" w:rsidRDefault="00413519" w:rsidP="00A262B4">
      <w:pPr>
        <w:rPr>
          <w:lang w:val="en-GB"/>
        </w:rPr>
      </w:pPr>
    </w:p>
    <w:p w:rsidR="00CF65CB" w:rsidRDefault="00CF65CB" w:rsidP="00A262B4">
      <w:pPr>
        <w:rPr>
          <w:lang w:val="en-GB"/>
        </w:rPr>
      </w:pPr>
      <w:r>
        <w:rPr>
          <w:lang w:val="en-GB"/>
        </w:rPr>
        <w:t xml:space="preserve">Based on the ASAMPSA_E investigation of the link of DiD and PSA (cf. </w:t>
      </w:r>
      <w:r w:rsidR="000B43A3">
        <w:rPr>
          <w:lang w:val="en-GB"/>
        </w:rPr>
        <w:t>ASAMPSA</w:t>
      </w:r>
      <w:r w:rsidR="003972F6">
        <w:rPr>
          <w:lang w:val="en-GB"/>
        </w:rPr>
        <w:t>_</w:t>
      </w:r>
      <w:r w:rsidR="000B43A3">
        <w:rPr>
          <w:lang w:val="en-GB"/>
        </w:rPr>
        <w:t xml:space="preserve">E deliverable </w:t>
      </w:r>
      <w:r>
        <w:rPr>
          <w:lang w:val="en-GB"/>
        </w:rPr>
        <w:t>D30.4</w:t>
      </w:r>
      <w:r w:rsidR="00CD59AE">
        <w:rPr>
          <w:lang w:val="en-GB"/>
        </w:rPr>
        <w:t xml:space="preserve"> </w:t>
      </w:r>
      <w:r w:rsidR="00CD59AE">
        <w:rPr>
          <w:lang w:val="en-GB"/>
        </w:rPr>
        <w:fldChar w:fldCharType="begin"/>
      </w:r>
      <w:r w:rsidR="00CD59AE">
        <w:rPr>
          <w:lang w:val="en-GB"/>
        </w:rPr>
        <w:instrText xml:space="preserve"> REF _Ref469069703 \w \h </w:instrText>
      </w:r>
      <w:r w:rsidR="00CD59AE">
        <w:rPr>
          <w:lang w:val="en-GB"/>
        </w:rPr>
      </w:r>
      <w:r w:rsidR="00CD59AE">
        <w:rPr>
          <w:lang w:val="en-GB"/>
        </w:rPr>
        <w:fldChar w:fldCharType="separate"/>
      </w:r>
      <w:r w:rsidR="00E62976">
        <w:rPr>
          <w:lang w:val="en-GB"/>
        </w:rPr>
        <w:t>[109]</w:t>
      </w:r>
      <w:r w:rsidR="00CD59AE">
        <w:rPr>
          <w:lang w:val="en-GB"/>
        </w:rPr>
        <w:fldChar w:fldCharType="end"/>
      </w:r>
      <w:r>
        <w:rPr>
          <w:lang w:val="en-GB"/>
        </w:rPr>
        <w:t>), the spectrum of internal initiating events screened for PSA should be cross-checked against the list of PIE for deterministic safety assessment. Particularly PIE classified as DEC events can complement the spectrum of initiating events for PSA</w:t>
      </w:r>
      <w:r w:rsidR="00413519">
        <w:rPr>
          <w:lang w:val="en-GB"/>
        </w:rPr>
        <w:t xml:space="preserve"> and vice versa.</w:t>
      </w:r>
    </w:p>
    <w:p w:rsidR="00E9706A" w:rsidRDefault="001659CF" w:rsidP="00E9706A">
      <w:pPr>
        <w:rPr>
          <w:lang w:val="en-GB"/>
        </w:rPr>
      </w:pPr>
      <w:r>
        <w:rPr>
          <w:lang w:val="en-GB"/>
        </w:rPr>
        <w:t>Another link between deterministic and probabilistic assessment approaches lies in</w:t>
      </w:r>
      <w:r w:rsidR="00E9706A">
        <w:rPr>
          <w:lang w:val="en-GB"/>
        </w:rPr>
        <w:t xml:space="preserve"> determination of </w:t>
      </w:r>
      <w:r w:rsidR="00F5376C">
        <w:rPr>
          <w:lang w:val="en-GB"/>
        </w:rPr>
        <w:t xml:space="preserve">initiating </w:t>
      </w:r>
      <w:r w:rsidR="00E9706A">
        <w:rPr>
          <w:lang w:val="en-GB"/>
        </w:rPr>
        <w:t>event frequency</w:t>
      </w:r>
      <w:r w:rsidR="00413519">
        <w:rPr>
          <w:lang w:val="en-GB"/>
        </w:rPr>
        <w:t>.</w:t>
      </w:r>
      <w:r>
        <w:rPr>
          <w:lang w:val="en-GB"/>
        </w:rPr>
        <w:t xml:space="preserve"> Obviously, this determination</w:t>
      </w:r>
      <w:r w:rsidR="00E9706A">
        <w:rPr>
          <w:lang w:val="en-GB"/>
        </w:rPr>
        <w:t xml:space="preserve"> should </w:t>
      </w:r>
      <w:r w:rsidR="00413519">
        <w:rPr>
          <w:lang w:val="en-GB"/>
        </w:rPr>
        <w:t>come</w:t>
      </w:r>
      <w:r w:rsidR="00E9706A">
        <w:rPr>
          <w:lang w:val="en-GB"/>
        </w:rPr>
        <w:t xml:space="preserve"> </w:t>
      </w:r>
      <w:r w:rsidR="00413519">
        <w:rPr>
          <w:lang w:val="en-GB"/>
        </w:rPr>
        <w:t xml:space="preserve">from </w:t>
      </w:r>
      <w:r w:rsidR="00E9706A">
        <w:rPr>
          <w:lang w:val="en-GB"/>
        </w:rPr>
        <w:t>the same data and results</w:t>
      </w:r>
      <w:r>
        <w:rPr>
          <w:lang w:val="en-GB"/>
        </w:rPr>
        <w:t xml:space="preserve"> should not be inconsistent</w:t>
      </w:r>
      <w:r w:rsidR="00E9706A">
        <w:rPr>
          <w:lang w:val="en-GB"/>
        </w:rPr>
        <w:t>.</w:t>
      </w:r>
    </w:p>
    <w:p w:rsidR="00413519" w:rsidRDefault="00413519" w:rsidP="00A262B4">
      <w:pPr>
        <w:rPr>
          <w:lang w:val="en-GB"/>
        </w:rPr>
      </w:pPr>
    </w:p>
    <w:p w:rsidR="00413519" w:rsidRDefault="00F73CEA" w:rsidP="00A262B4">
      <w:pPr>
        <w:rPr>
          <w:lang w:val="en-GB"/>
        </w:rPr>
      </w:pPr>
      <w:r>
        <w:rPr>
          <w:lang w:val="en-GB"/>
        </w:rPr>
        <w:t>For internal initiating events, frequency estimates down to the range of about 10</w:t>
      </w:r>
      <w:r w:rsidRPr="00C70893">
        <w:rPr>
          <w:vertAlign w:val="superscript"/>
          <w:lang w:val="en-GB"/>
        </w:rPr>
        <w:t>-6</w:t>
      </w:r>
      <w:r w:rsidR="008B6CBF">
        <w:rPr>
          <w:lang w:val="en-GB"/>
        </w:rPr>
        <w:t>/a</w:t>
      </w:r>
      <w:r>
        <w:rPr>
          <w:lang w:val="en-GB"/>
        </w:rPr>
        <w:t xml:space="preserve"> can often be justified based on operating experience, by extrapolation of operating experience, or by combination of operating experience with modelling assumptions. In these cases, uncertainty bands for the respective values are usually limited (to about an order of magnitude at most).</w:t>
      </w:r>
    </w:p>
    <w:p w:rsidR="00F73CEA" w:rsidRDefault="00413519" w:rsidP="00A262B4">
      <w:pPr>
        <w:rPr>
          <w:lang w:val="en-GB"/>
        </w:rPr>
      </w:pPr>
      <w:r>
        <w:rPr>
          <w:lang w:val="en-GB"/>
        </w:rPr>
        <w:t xml:space="preserve">However </w:t>
      </w:r>
      <w:r w:rsidR="00F73CEA">
        <w:rPr>
          <w:lang w:val="en-GB"/>
        </w:rPr>
        <w:t xml:space="preserve">rarer events pose significant challenges to analysts. Extrapolations from available data (e.g. by extreme value statistics) </w:t>
      </w:r>
      <w:r>
        <w:rPr>
          <w:lang w:val="en-GB"/>
        </w:rPr>
        <w:t>may</w:t>
      </w:r>
      <w:r w:rsidR="00F73CEA">
        <w:rPr>
          <w:lang w:val="en-GB"/>
        </w:rPr>
        <w:t xml:space="preserve"> lead to results with excessively large uncertainty bands. In these cases, the ASAMPSA_E project recommends </w:t>
      </w:r>
      <w:r>
        <w:rPr>
          <w:lang w:val="en-GB"/>
        </w:rPr>
        <w:t xml:space="preserve">as far possible </w:t>
      </w:r>
      <w:r w:rsidR="00F73CEA">
        <w:rPr>
          <w:lang w:val="en-GB"/>
        </w:rPr>
        <w:t xml:space="preserve">combining available data with event model information (e.g. structural integrity assessments and simulations) and adjusting results based on expert judgement. Especially for screening purposes, conservative estimates of event frequencies are sufficient. </w:t>
      </w:r>
      <w:r w:rsidR="003802BB">
        <w:rPr>
          <w:lang w:val="en-GB"/>
        </w:rPr>
        <w:t>Therefore, using conservative point estimate values based on a high probability that the actual frequency value is lower should be considered as an approach (cf. e.g. the “</w:t>
      </w:r>
      <w:r w:rsidR="00F86AAC">
        <w:rPr>
          <w:rFonts w:hint="eastAsia"/>
          <w:lang w:val="en-GB" w:eastAsia="ja-JP"/>
        </w:rPr>
        <w:t>H</w:t>
      </w:r>
      <w:r w:rsidR="00F86AAC">
        <w:rPr>
          <w:lang w:val="en-GB"/>
        </w:rPr>
        <w:t>igh</w:t>
      </w:r>
      <w:r w:rsidR="003802BB">
        <w:rPr>
          <w:lang w:val="en-GB"/>
        </w:rPr>
        <w:t xml:space="preserve"> </w:t>
      </w:r>
      <w:r w:rsidR="00F86AAC">
        <w:rPr>
          <w:rFonts w:hint="eastAsia"/>
          <w:lang w:val="en-GB" w:eastAsia="ja-JP"/>
        </w:rPr>
        <w:t>C</w:t>
      </w:r>
      <w:r w:rsidR="00F86AAC">
        <w:rPr>
          <w:lang w:val="en-GB"/>
        </w:rPr>
        <w:t xml:space="preserve">onfidence </w:t>
      </w:r>
      <w:r w:rsidR="003802BB">
        <w:rPr>
          <w:lang w:val="en-GB"/>
        </w:rPr>
        <w:t xml:space="preserve">of </w:t>
      </w:r>
      <w:r w:rsidR="00F86AAC">
        <w:rPr>
          <w:rFonts w:hint="eastAsia"/>
          <w:lang w:val="en-GB" w:eastAsia="ja-JP"/>
        </w:rPr>
        <w:t>L</w:t>
      </w:r>
      <w:r w:rsidR="00F86AAC">
        <w:rPr>
          <w:lang w:val="en-GB"/>
        </w:rPr>
        <w:t xml:space="preserve">ow </w:t>
      </w:r>
      <w:r w:rsidR="00F86AAC">
        <w:rPr>
          <w:rFonts w:hint="eastAsia"/>
          <w:lang w:val="en-GB" w:eastAsia="ja-JP"/>
        </w:rPr>
        <w:t>P</w:t>
      </w:r>
      <w:r w:rsidR="00F86AAC">
        <w:rPr>
          <w:lang w:val="en-GB"/>
        </w:rPr>
        <w:t xml:space="preserve">robability </w:t>
      </w:r>
      <w:r w:rsidR="003802BB">
        <w:rPr>
          <w:lang w:val="en-GB"/>
        </w:rPr>
        <w:t xml:space="preserve">of </w:t>
      </w:r>
      <w:r w:rsidR="00F86AAC">
        <w:rPr>
          <w:rFonts w:hint="eastAsia"/>
          <w:lang w:val="en-GB" w:eastAsia="ja-JP"/>
        </w:rPr>
        <w:t>F</w:t>
      </w:r>
      <w:r w:rsidR="00F86AAC">
        <w:rPr>
          <w:lang w:val="en-GB"/>
        </w:rPr>
        <w:t>ailure</w:t>
      </w:r>
      <w:r w:rsidR="00F86AAC">
        <w:rPr>
          <w:rFonts w:hint="eastAsia"/>
          <w:lang w:val="en-GB" w:eastAsia="ja-JP"/>
        </w:rPr>
        <w:t xml:space="preserve"> (HCLPF)</w:t>
      </w:r>
      <w:r w:rsidR="003802BB">
        <w:rPr>
          <w:lang w:val="en-GB"/>
        </w:rPr>
        <w:t xml:space="preserve">” concept for seismic safety analyses </w:t>
      </w:r>
      <w:r w:rsidR="00AA65BD">
        <w:rPr>
          <w:lang w:val="en-GB"/>
        </w:rPr>
        <w:fldChar w:fldCharType="begin"/>
      </w:r>
      <w:r w:rsidR="00AA65BD">
        <w:rPr>
          <w:lang w:val="en-GB"/>
        </w:rPr>
        <w:instrText xml:space="preserve"> REF _Ref423434513 \r \h </w:instrText>
      </w:r>
      <w:r w:rsidR="00AA65BD">
        <w:rPr>
          <w:lang w:val="en-GB"/>
        </w:rPr>
      </w:r>
      <w:r w:rsidR="00AA65BD">
        <w:rPr>
          <w:lang w:val="en-GB"/>
        </w:rPr>
        <w:fldChar w:fldCharType="separate"/>
      </w:r>
      <w:r w:rsidR="00E62976">
        <w:rPr>
          <w:lang w:val="en-GB"/>
        </w:rPr>
        <w:t>[21]</w:t>
      </w:r>
      <w:r w:rsidR="00AA65BD">
        <w:rPr>
          <w:lang w:val="en-GB"/>
        </w:rPr>
        <w:fldChar w:fldCharType="end"/>
      </w:r>
      <w:r w:rsidR="003802BB">
        <w:rPr>
          <w:lang w:val="en-GB"/>
        </w:rPr>
        <w:t xml:space="preserve">). Direct estimations - even based on expert judgement - of the 95% percentile at a 95% </w:t>
      </w:r>
      <w:r w:rsidR="00B955FA">
        <w:rPr>
          <w:lang w:val="en-GB"/>
        </w:rPr>
        <w:t xml:space="preserve">confidence </w:t>
      </w:r>
      <w:r w:rsidR="003802BB">
        <w:rPr>
          <w:lang w:val="en-GB"/>
        </w:rPr>
        <w:t>level for the event frequency will likely lead to results at an appropriate level of accuracy and conservatism for screening. Such estimations can then be refined, if a more stringent treatment of the event either in bounding analysis or in a detailed PSA is merited based on its contribution to the risk measures of interest.</w:t>
      </w:r>
    </w:p>
    <w:p w:rsidR="00607CD0" w:rsidRDefault="00607CD0" w:rsidP="00A262B4">
      <w:pPr>
        <w:rPr>
          <w:lang w:val="en-GB"/>
        </w:rPr>
      </w:pPr>
    </w:p>
    <w:p w:rsidR="002B37C9" w:rsidRPr="005079A3" w:rsidRDefault="002B37C9" w:rsidP="00A262B4">
      <w:pPr>
        <w:rPr>
          <w:lang w:val="en-US"/>
        </w:rPr>
      </w:pPr>
      <w:r>
        <w:rPr>
          <w:lang w:val="en-GB"/>
        </w:rPr>
        <w:t>The internal events screening needs to include the spent fuel pool, if not separated from the reactor core in a specific facility. The spectrum of initiating events affecting the SFP needs to entail reactivity accident scenarios</w:t>
      </w:r>
      <w:r w:rsidR="00F9328E">
        <w:rPr>
          <w:lang w:val="en-GB"/>
        </w:rPr>
        <w:t>, if relevant,</w:t>
      </w:r>
      <w:r>
        <w:rPr>
          <w:lang w:val="en-GB"/>
        </w:rPr>
        <w:t xml:space="preserve"> as well as loss of fuel cooling scenarios.</w:t>
      </w:r>
      <w:r w:rsidR="00F9328E">
        <w:rPr>
          <w:lang w:val="en-GB"/>
        </w:rPr>
        <w:t xml:space="preserve"> To the extent that a specific PSA model</w:t>
      </w:r>
      <w:r>
        <w:rPr>
          <w:lang w:val="en-GB"/>
        </w:rPr>
        <w:t xml:space="preserve"> still has to be developed, the deterministic safety case for the SFP will provide valuable insights on initiating events for the different operating modes.</w:t>
      </w:r>
    </w:p>
    <w:p w:rsidR="00DB3B9D" w:rsidRPr="003F2328" w:rsidRDefault="002B37C9" w:rsidP="00DB3B9D">
      <w:pPr>
        <w:rPr>
          <w:lang w:val="en-GB"/>
        </w:rPr>
      </w:pPr>
      <w:r>
        <w:rPr>
          <w:lang w:val="en-GB"/>
        </w:rPr>
        <w:t>With regard to other</w:t>
      </w:r>
      <w:r w:rsidR="003A7B07">
        <w:rPr>
          <w:lang w:val="en-GB"/>
        </w:rPr>
        <w:t xml:space="preserve"> multi-source considerations related to internal initiating events, see section </w:t>
      </w:r>
      <w:r w:rsidR="00125AF4">
        <w:rPr>
          <w:lang w:val="en-GB"/>
        </w:rPr>
        <w:fldChar w:fldCharType="begin"/>
      </w:r>
      <w:r w:rsidR="003A7B07">
        <w:rPr>
          <w:lang w:val="en-GB"/>
        </w:rPr>
        <w:instrText xml:space="preserve"> REF _Ref444980284 \r \h </w:instrText>
      </w:r>
      <w:r w:rsidR="00125AF4">
        <w:rPr>
          <w:lang w:val="en-GB"/>
        </w:rPr>
      </w:r>
      <w:r w:rsidR="00125AF4">
        <w:rPr>
          <w:lang w:val="en-GB"/>
        </w:rPr>
        <w:fldChar w:fldCharType="separate"/>
      </w:r>
      <w:r w:rsidR="00E62976">
        <w:rPr>
          <w:lang w:val="en-GB"/>
        </w:rPr>
        <w:t>6.8</w:t>
      </w:r>
      <w:r w:rsidR="00125AF4">
        <w:rPr>
          <w:lang w:val="en-GB"/>
        </w:rPr>
        <w:fldChar w:fldCharType="end"/>
      </w:r>
      <w:r w:rsidR="003A7B07">
        <w:rPr>
          <w:lang w:val="en-GB"/>
        </w:rPr>
        <w:t>.</w:t>
      </w:r>
    </w:p>
    <w:p w:rsidR="00CE2EC9" w:rsidRDefault="00731003" w:rsidP="005079A3">
      <w:pPr>
        <w:pStyle w:val="Titre2"/>
        <w:rPr>
          <w:lang w:val="en-GB"/>
        </w:rPr>
      </w:pPr>
      <w:bookmarkStart w:id="502" w:name="_Ref445141313"/>
      <w:bookmarkStart w:id="503" w:name="_Ref445215343"/>
      <w:bookmarkStart w:id="504" w:name="_Ref445216084"/>
      <w:bookmarkStart w:id="505" w:name="_Ref445236014"/>
      <w:bookmarkStart w:id="506" w:name="_Ref445297243"/>
      <w:bookmarkStart w:id="507" w:name="_Toc473303591"/>
      <w:r>
        <w:rPr>
          <w:lang w:val="en-GB"/>
        </w:rPr>
        <w:t>SELECTION</w:t>
      </w:r>
      <w:r w:rsidR="00A262B4" w:rsidRPr="00A262B4">
        <w:rPr>
          <w:lang w:val="en-GB"/>
        </w:rPr>
        <w:t xml:space="preserve"> </w:t>
      </w:r>
      <w:r>
        <w:rPr>
          <w:lang w:val="en-GB"/>
        </w:rPr>
        <w:t>OF</w:t>
      </w:r>
      <w:r w:rsidR="00A262B4" w:rsidRPr="00A262B4">
        <w:rPr>
          <w:lang w:val="en-GB"/>
        </w:rPr>
        <w:t xml:space="preserve"> </w:t>
      </w:r>
      <w:r w:rsidR="006101D2">
        <w:rPr>
          <w:lang w:val="en-GB"/>
        </w:rPr>
        <w:t xml:space="preserve">THE INDIVIDUAL </w:t>
      </w:r>
      <w:r>
        <w:rPr>
          <w:lang w:val="en-GB"/>
        </w:rPr>
        <w:t>INTERNAL HAZARDS SCENARIOS</w:t>
      </w:r>
      <w:r w:rsidR="00A262B4" w:rsidRPr="00A262B4">
        <w:rPr>
          <w:lang w:val="en-GB"/>
        </w:rPr>
        <w:t xml:space="preserve"> </w:t>
      </w:r>
      <w:r w:rsidR="006101D2">
        <w:rPr>
          <w:lang w:val="en-GB"/>
        </w:rPr>
        <w:t>TO BE CONSIDERED</w:t>
      </w:r>
      <w:r w:rsidR="00A262B4" w:rsidRPr="00A262B4">
        <w:rPr>
          <w:lang w:val="en-GB"/>
        </w:rPr>
        <w:t xml:space="preserve"> </w:t>
      </w:r>
      <w:r w:rsidR="003066D2">
        <w:rPr>
          <w:lang w:val="en-GB"/>
        </w:rPr>
        <w:t xml:space="preserve">IN </w:t>
      </w:r>
      <w:r w:rsidR="003066D2" w:rsidRPr="00D054C1">
        <w:rPr>
          <w:caps w:val="0"/>
          <w:lang w:val="en-GB"/>
        </w:rPr>
        <w:t>A</w:t>
      </w:r>
      <w:r w:rsidR="006101D2">
        <w:rPr>
          <w:lang w:val="en-GB"/>
        </w:rPr>
        <w:t xml:space="preserve"> SINGLE UNIT </w:t>
      </w:r>
      <w:r w:rsidR="006101D2" w:rsidRPr="00D054C1">
        <w:rPr>
          <w:lang w:val="en-GB"/>
        </w:rPr>
        <w:t>PSA</w:t>
      </w:r>
      <w:bookmarkEnd w:id="502"/>
      <w:bookmarkEnd w:id="503"/>
      <w:bookmarkEnd w:id="504"/>
      <w:bookmarkEnd w:id="505"/>
      <w:bookmarkEnd w:id="506"/>
      <w:bookmarkEnd w:id="507"/>
    </w:p>
    <w:p w:rsidR="00DC4AD5" w:rsidRDefault="00DC4AD5" w:rsidP="00DD37C2">
      <w:pPr>
        <w:rPr>
          <w:lang w:val="en-GB"/>
        </w:rPr>
      </w:pPr>
      <w:r>
        <w:rPr>
          <w:lang w:val="en-GB"/>
        </w:rPr>
        <w:t xml:space="preserve">There is established internal hazard screening guidance available from several sources, e.g. SSG-3 </w:t>
      </w:r>
      <w:r w:rsidR="00125AF4">
        <w:rPr>
          <w:lang w:val="en-GB"/>
        </w:rPr>
        <w:fldChar w:fldCharType="begin"/>
      </w:r>
      <w:r>
        <w:rPr>
          <w:lang w:val="en-GB"/>
        </w:rPr>
        <w:instrText xml:space="preserve"> REF _Ref384386913 \r \h </w:instrText>
      </w:r>
      <w:r w:rsidR="00125AF4">
        <w:rPr>
          <w:lang w:val="en-GB"/>
        </w:rPr>
      </w:r>
      <w:r w:rsidR="00125AF4">
        <w:rPr>
          <w:lang w:val="en-GB"/>
        </w:rPr>
        <w:fldChar w:fldCharType="separate"/>
      </w:r>
      <w:r w:rsidR="00E62976">
        <w:rPr>
          <w:lang w:val="en-GB"/>
        </w:rPr>
        <w:t>[4]</w:t>
      </w:r>
      <w:r w:rsidR="00125AF4">
        <w:rPr>
          <w:lang w:val="en-GB"/>
        </w:rPr>
        <w:fldChar w:fldCharType="end"/>
      </w:r>
      <w:r>
        <w:rPr>
          <w:lang w:val="en-GB"/>
        </w:rPr>
        <w:t xml:space="preserve"> or the ASME </w:t>
      </w:r>
      <w:r w:rsidR="005A747B">
        <w:rPr>
          <w:lang w:val="en-GB"/>
        </w:rPr>
        <w:t xml:space="preserve">PSA </w:t>
      </w:r>
      <w:r>
        <w:rPr>
          <w:lang w:val="en-GB"/>
        </w:rPr>
        <w:t xml:space="preserve">guide </w:t>
      </w:r>
      <w:r w:rsidR="00ED38F4">
        <w:rPr>
          <w:lang w:val="en-GB"/>
        </w:rPr>
        <w:fldChar w:fldCharType="begin"/>
      </w:r>
      <w:r w:rsidR="00ED38F4">
        <w:rPr>
          <w:lang w:val="en-GB"/>
        </w:rPr>
        <w:instrText xml:space="preserve"> REF _Ref394394731 \r \h </w:instrText>
      </w:r>
      <w:r w:rsidR="00ED38F4">
        <w:rPr>
          <w:lang w:val="en-GB"/>
        </w:rPr>
      </w:r>
      <w:r w:rsidR="00ED38F4">
        <w:rPr>
          <w:lang w:val="en-GB"/>
        </w:rPr>
        <w:fldChar w:fldCharType="separate"/>
      </w:r>
      <w:r w:rsidR="00E62976">
        <w:rPr>
          <w:lang w:val="en-GB"/>
        </w:rPr>
        <w:t>[33]</w:t>
      </w:r>
      <w:r w:rsidR="00ED38F4">
        <w:rPr>
          <w:lang w:val="en-GB"/>
        </w:rPr>
        <w:fldChar w:fldCharType="end"/>
      </w:r>
      <w:r>
        <w:rPr>
          <w:lang w:val="en-GB"/>
        </w:rPr>
        <w:t xml:space="preserve">. Internal hazards scenarios to be considered include </w:t>
      </w:r>
    </w:p>
    <w:p w:rsidR="00DC4AD5" w:rsidRPr="00DC4AD5" w:rsidRDefault="00260F1C" w:rsidP="004B3DA1">
      <w:pPr>
        <w:ind w:left="567"/>
        <w:rPr>
          <w:lang w:val="en-GB"/>
        </w:rPr>
      </w:pPr>
      <w:r>
        <w:rPr>
          <w:lang w:val="en-GB"/>
        </w:rPr>
        <w:t xml:space="preserve">(a) </w:t>
      </w:r>
      <w:r w:rsidR="00DC4AD5" w:rsidRPr="00DC4AD5">
        <w:rPr>
          <w:lang w:val="en-GB"/>
        </w:rPr>
        <w:t>Internal fires;</w:t>
      </w:r>
    </w:p>
    <w:p w:rsidR="00DC4AD5" w:rsidRPr="00DC4AD5" w:rsidRDefault="00DC4AD5" w:rsidP="00260F1C">
      <w:pPr>
        <w:ind w:left="567"/>
        <w:rPr>
          <w:lang w:val="en-GB"/>
        </w:rPr>
      </w:pPr>
      <w:r w:rsidRPr="00DC4AD5">
        <w:rPr>
          <w:lang w:val="en-GB"/>
        </w:rPr>
        <w:t>(b) Internal floods;</w:t>
      </w:r>
    </w:p>
    <w:p w:rsidR="00DC4AD5" w:rsidRPr="00DC4AD5" w:rsidRDefault="00DC4AD5" w:rsidP="00260F1C">
      <w:pPr>
        <w:ind w:left="567"/>
        <w:rPr>
          <w:lang w:val="en-GB"/>
        </w:rPr>
      </w:pPr>
      <w:r w:rsidRPr="00DC4AD5">
        <w:rPr>
          <w:lang w:val="en-GB"/>
        </w:rPr>
        <w:t>(c) Heavy load drop;</w:t>
      </w:r>
    </w:p>
    <w:p w:rsidR="00DC4AD5" w:rsidRPr="00DC4AD5" w:rsidRDefault="00DC4AD5" w:rsidP="00260F1C">
      <w:pPr>
        <w:ind w:left="567"/>
        <w:rPr>
          <w:lang w:val="en-GB"/>
        </w:rPr>
      </w:pPr>
      <w:r w:rsidRPr="00DC4AD5">
        <w:rPr>
          <w:lang w:val="en-GB"/>
        </w:rPr>
        <w:t>(d) Turbine missiles;</w:t>
      </w:r>
    </w:p>
    <w:p w:rsidR="00DC4AD5" w:rsidRDefault="00DC4AD5" w:rsidP="00260F1C">
      <w:pPr>
        <w:ind w:left="567"/>
        <w:rPr>
          <w:lang w:val="en-GB"/>
        </w:rPr>
      </w:pPr>
      <w:r w:rsidRPr="00DC4AD5">
        <w:rPr>
          <w:lang w:val="en-GB"/>
        </w:rPr>
        <w:t>(e) Internal explosions</w:t>
      </w:r>
      <w:r w:rsidR="00260F1C">
        <w:rPr>
          <w:lang w:val="en-GB"/>
        </w:rPr>
        <w:t xml:space="preserve">” </w:t>
      </w:r>
      <w:r w:rsidR="00125AF4">
        <w:rPr>
          <w:lang w:val="en-GB"/>
        </w:rPr>
        <w:fldChar w:fldCharType="begin"/>
      </w:r>
      <w:r w:rsidR="00260F1C">
        <w:rPr>
          <w:lang w:val="en-GB"/>
        </w:rPr>
        <w:instrText xml:space="preserve"> REF _Ref384386913 \r \h </w:instrText>
      </w:r>
      <w:r w:rsidR="00125AF4">
        <w:rPr>
          <w:lang w:val="en-GB"/>
        </w:rPr>
      </w:r>
      <w:r w:rsidR="00125AF4">
        <w:rPr>
          <w:lang w:val="en-GB"/>
        </w:rPr>
        <w:fldChar w:fldCharType="separate"/>
      </w:r>
      <w:r w:rsidR="00E62976">
        <w:rPr>
          <w:lang w:val="en-GB"/>
        </w:rPr>
        <w:t>[4]</w:t>
      </w:r>
      <w:r w:rsidR="00125AF4">
        <w:rPr>
          <w:lang w:val="en-GB"/>
        </w:rPr>
        <w:fldChar w:fldCharType="end"/>
      </w:r>
      <w:r w:rsidR="00260F1C">
        <w:rPr>
          <w:lang w:val="en-GB"/>
        </w:rPr>
        <w:t>, p. 65.</w:t>
      </w:r>
    </w:p>
    <w:p w:rsidR="004A6AAF" w:rsidRDefault="00DC4AD5" w:rsidP="004A6AAF">
      <w:pPr>
        <w:rPr>
          <w:lang w:val="en-GB"/>
        </w:rPr>
      </w:pPr>
      <w:r>
        <w:rPr>
          <w:lang w:val="en-GB"/>
        </w:rPr>
        <w:t xml:space="preserve">Detailed PSA investigations have been performed in particular for internal fire and internal flooding scenarios, with respective guidance on specific screening available. </w:t>
      </w:r>
      <w:r w:rsidR="004A6AAF">
        <w:rPr>
          <w:lang w:val="en-GB"/>
        </w:rPr>
        <w:t>Nonetheless, several remarks and recommendations with respect to the proposed screening approach for an extended PSA can be made.</w:t>
      </w:r>
    </w:p>
    <w:p w:rsidR="00D05FB9" w:rsidRDefault="00D05FB9" w:rsidP="004A6AAF">
      <w:pPr>
        <w:rPr>
          <w:lang w:val="en-GB"/>
        </w:rPr>
      </w:pPr>
    </w:p>
    <w:p w:rsidR="00DA5448" w:rsidRDefault="00DA5448" w:rsidP="004A6AAF">
      <w:pPr>
        <w:rPr>
          <w:lang w:val="en-GB"/>
        </w:rPr>
      </w:pPr>
      <w:r>
        <w:rPr>
          <w:lang w:val="en-GB"/>
        </w:rPr>
        <w:t>The aforementioned internal hazards can be extended by several addition</w:t>
      </w:r>
      <w:r w:rsidR="003E4972">
        <w:rPr>
          <w:lang w:val="en-GB"/>
        </w:rPr>
        <w:t>al</w:t>
      </w:r>
      <w:r>
        <w:rPr>
          <w:lang w:val="en-GB"/>
        </w:rPr>
        <w:t xml:space="preserve"> classes like e.g. electromagnetic interference or collapse of structures as mentioned for deterministic internal hazards assessment or from country presentations, cf. e.g. sections </w:t>
      </w:r>
      <w:r w:rsidR="00125AF4">
        <w:rPr>
          <w:lang w:val="en-GB"/>
        </w:rPr>
        <w:fldChar w:fldCharType="begin"/>
      </w:r>
      <w:r>
        <w:rPr>
          <w:lang w:val="en-GB"/>
        </w:rPr>
        <w:instrText xml:space="preserve"> REF _Ref445059482 \r \h </w:instrText>
      </w:r>
      <w:r w:rsidR="00125AF4">
        <w:rPr>
          <w:lang w:val="en-GB"/>
        </w:rPr>
      </w:r>
      <w:r w:rsidR="00125AF4">
        <w:rPr>
          <w:lang w:val="en-GB"/>
        </w:rPr>
        <w:fldChar w:fldCharType="separate"/>
      </w:r>
      <w:r w:rsidR="00E62976">
        <w:rPr>
          <w:lang w:val="en-GB"/>
        </w:rPr>
        <w:t>5.1.1</w:t>
      </w:r>
      <w:r w:rsidR="00125AF4">
        <w:rPr>
          <w:lang w:val="en-GB"/>
        </w:rPr>
        <w:fldChar w:fldCharType="end"/>
      </w:r>
      <w:r>
        <w:rPr>
          <w:lang w:val="en-GB"/>
        </w:rPr>
        <w:t xml:space="preserve">, </w:t>
      </w:r>
      <w:r w:rsidR="00125AF4">
        <w:rPr>
          <w:lang w:val="en-GB"/>
        </w:rPr>
        <w:fldChar w:fldCharType="begin"/>
      </w:r>
      <w:r>
        <w:rPr>
          <w:lang w:val="en-GB"/>
        </w:rPr>
        <w:instrText xml:space="preserve"> REF _Ref445059493 \r \h </w:instrText>
      </w:r>
      <w:r w:rsidR="00125AF4">
        <w:rPr>
          <w:lang w:val="en-GB"/>
        </w:rPr>
      </w:r>
      <w:r w:rsidR="00125AF4">
        <w:rPr>
          <w:lang w:val="en-GB"/>
        </w:rPr>
        <w:fldChar w:fldCharType="separate"/>
      </w:r>
      <w:r w:rsidR="00E62976">
        <w:rPr>
          <w:lang w:val="en-GB"/>
        </w:rPr>
        <w:t>5.2.5</w:t>
      </w:r>
      <w:r w:rsidR="00125AF4">
        <w:rPr>
          <w:lang w:val="en-GB"/>
        </w:rPr>
        <w:fldChar w:fldCharType="end"/>
      </w:r>
      <w:r>
        <w:rPr>
          <w:lang w:val="en-GB"/>
        </w:rPr>
        <w:t xml:space="preserve">, or </w:t>
      </w:r>
      <w:r w:rsidR="00125AF4">
        <w:rPr>
          <w:lang w:val="en-GB"/>
        </w:rPr>
        <w:fldChar w:fldCharType="begin"/>
      </w:r>
      <w:r>
        <w:rPr>
          <w:lang w:val="en-GB"/>
        </w:rPr>
        <w:instrText xml:space="preserve"> REF _Ref445059502 \r \h </w:instrText>
      </w:r>
      <w:r w:rsidR="00125AF4">
        <w:rPr>
          <w:lang w:val="en-GB"/>
        </w:rPr>
      </w:r>
      <w:r w:rsidR="00125AF4">
        <w:rPr>
          <w:lang w:val="en-GB"/>
        </w:rPr>
        <w:fldChar w:fldCharType="separate"/>
      </w:r>
      <w:r w:rsidR="00E62976">
        <w:rPr>
          <w:lang w:val="en-GB"/>
        </w:rPr>
        <w:t>5.2.6</w:t>
      </w:r>
      <w:r w:rsidR="00125AF4">
        <w:rPr>
          <w:lang w:val="en-GB"/>
        </w:rPr>
        <w:fldChar w:fldCharType="end"/>
      </w:r>
      <w:r>
        <w:rPr>
          <w:lang w:val="en-GB"/>
        </w:rPr>
        <w:t xml:space="preserve">. A systematic approach similar to the approach for internal initiating events identification needs to identify those scenarios, which induce a challenge to plant safety, i.e. an internal initiating event. For the further analysis, consequential and secondary failures of the internal hazard have to </w:t>
      </w:r>
      <w:r w:rsidR="000212B6">
        <w:rPr>
          <w:lang w:val="en-GB"/>
        </w:rPr>
        <w:t xml:space="preserve">be </w:t>
      </w:r>
      <w:r>
        <w:rPr>
          <w:lang w:val="en-GB"/>
        </w:rPr>
        <w:t>considered.</w:t>
      </w:r>
    </w:p>
    <w:p w:rsidR="004A6AAF" w:rsidRDefault="00FB1644" w:rsidP="00DD37C2">
      <w:pPr>
        <w:rPr>
          <w:lang w:val="en-GB"/>
        </w:rPr>
      </w:pPr>
      <w:r>
        <w:rPr>
          <w:lang w:val="en-GB"/>
        </w:rPr>
        <w:t>The screening approach for an extended PSA assumes that an internal initiating events PSA for the reactor core and for the spent fuel pool (if applicable) is available to inform the screening. Consequently, internal hazards PSA should be extended to the SFP.</w:t>
      </w:r>
    </w:p>
    <w:p w:rsidR="00607CD0" w:rsidRDefault="00DA5448" w:rsidP="00DD37C2">
      <w:pPr>
        <w:rPr>
          <w:lang w:val="en-GB"/>
        </w:rPr>
      </w:pPr>
      <w:r>
        <w:rPr>
          <w:lang w:val="en-GB"/>
        </w:rPr>
        <w:t xml:space="preserve">Based on experience, </w:t>
      </w:r>
      <w:r w:rsidR="00607CD0">
        <w:rPr>
          <w:lang w:val="en-GB"/>
        </w:rPr>
        <w:t xml:space="preserve">single </w:t>
      </w:r>
      <w:r>
        <w:rPr>
          <w:lang w:val="en-GB"/>
        </w:rPr>
        <w:t>internal hazards other than internal fire and internal flooding have either been screened out from further consideration or assessed with bounding assessment approaches. This is mainly due to the observation that these</w:t>
      </w:r>
      <w:r w:rsidR="002C3DA8">
        <w:rPr>
          <w:lang w:val="en-GB"/>
        </w:rPr>
        <w:t xml:space="preserve"> other</w:t>
      </w:r>
      <w:r>
        <w:rPr>
          <w:lang w:val="en-GB"/>
        </w:rPr>
        <w:t xml:space="preserve"> internal hazards either do not </w:t>
      </w:r>
      <w:r w:rsidR="002C3DA8">
        <w:rPr>
          <w:lang w:val="en-GB"/>
        </w:rPr>
        <w:t xml:space="preserve">(easily) </w:t>
      </w:r>
      <w:r w:rsidR="00626350">
        <w:rPr>
          <w:lang w:val="en-GB"/>
        </w:rPr>
        <w:t>trigger events that lead</w:t>
      </w:r>
      <w:r>
        <w:rPr>
          <w:lang w:val="en-GB"/>
        </w:rPr>
        <w:t xml:space="preserve"> to fuel damage states</w:t>
      </w:r>
      <w:r w:rsidR="003732C9">
        <w:rPr>
          <w:lang w:val="en-GB"/>
        </w:rPr>
        <w:t xml:space="preserve"> (due to reactivity accidents or excess cladding temperature)</w:t>
      </w:r>
      <w:r w:rsidR="00626350">
        <w:rPr>
          <w:lang w:val="en-GB"/>
        </w:rPr>
        <w:t xml:space="preserve"> or that the resulting scenarios are enveloped by existing internal initiating events with significantly larger IE frequencies</w:t>
      </w:r>
      <w:r w:rsidR="003732C9">
        <w:rPr>
          <w:lang w:val="en-GB"/>
        </w:rPr>
        <w:t>.</w:t>
      </w:r>
    </w:p>
    <w:p w:rsidR="00DC4AD5" w:rsidRDefault="00DC4AD5" w:rsidP="00DD37C2">
      <w:pPr>
        <w:rPr>
          <w:lang w:val="en-GB"/>
        </w:rPr>
      </w:pPr>
    </w:p>
    <w:p w:rsidR="002B37C9" w:rsidRDefault="002C3DA8" w:rsidP="00DD37C2">
      <w:pPr>
        <w:rPr>
          <w:lang w:val="en-GB"/>
        </w:rPr>
      </w:pPr>
      <w:r>
        <w:rPr>
          <w:lang w:val="en-GB"/>
        </w:rPr>
        <w:t xml:space="preserve">In view </w:t>
      </w:r>
      <w:r w:rsidR="000212B6">
        <w:rPr>
          <w:lang w:val="en-GB"/>
        </w:rPr>
        <w:t>of</w:t>
      </w:r>
      <w:r>
        <w:rPr>
          <w:lang w:val="en-GB"/>
        </w:rPr>
        <w:t xml:space="preserve"> the proposed screening approach and the quantitative screening criteria, </w:t>
      </w:r>
      <w:r w:rsidR="000212B6">
        <w:rPr>
          <w:lang w:val="en-GB"/>
        </w:rPr>
        <w:t xml:space="preserve">it is </w:t>
      </w:r>
      <w:r>
        <w:rPr>
          <w:lang w:val="en-GB"/>
        </w:rPr>
        <w:t>recommend</w:t>
      </w:r>
      <w:r w:rsidR="003E7A7D">
        <w:rPr>
          <w:lang w:val="en-GB"/>
        </w:rPr>
        <w:t>ed</w:t>
      </w:r>
      <w:r>
        <w:rPr>
          <w:lang w:val="en-GB"/>
        </w:rPr>
        <w:t xml:space="preserve"> that internal hazard screening needs to be extended with regard to the following aspects</w:t>
      </w:r>
      <w:r w:rsidR="009B3295">
        <w:rPr>
          <w:lang w:val="en-GB"/>
        </w:rPr>
        <w:t>:</w:t>
      </w:r>
    </w:p>
    <w:p w:rsidR="002C3DA8" w:rsidRDefault="002C3DA8" w:rsidP="00E62976">
      <w:pPr>
        <w:numPr>
          <w:ilvl w:val="0"/>
          <w:numId w:val="77"/>
        </w:numPr>
        <w:rPr>
          <w:lang w:val="en-GB"/>
        </w:rPr>
      </w:pPr>
      <w:r>
        <w:rPr>
          <w:lang w:val="en-GB"/>
        </w:rPr>
        <w:t>Consideratio</w:t>
      </w:r>
      <w:r w:rsidR="00EB0B62">
        <w:rPr>
          <w:lang w:val="en-GB"/>
        </w:rPr>
        <w:t>n of internal hazards originati</w:t>
      </w:r>
      <w:r>
        <w:rPr>
          <w:lang w:val="en-GB"/>
        </w:rPr>
        <w:t>n</w:t>
      </w:r>
      <w:r w:rsidR="00EB0B62">
        <w:rPr>
          <w:lang w:val="en-GB"/>
        </w:rPr>
        <w:t>g</w:t>
      </w:r>
      <w:r>
        <w:rPr>
          <w:lang w:val="en-GB"/>
        </w:rPr>
        <w:t xml:space="preserve"> from outside of the unit but from inside of the plant</w:t>
      </w:r>
      <w:r w:rsidR="00EB0B62">
        <w:rPr>
          <w:lang w:val="en-GB"/>
        </w:rPr>
        <w:t xml:space="preserve"> or site</w:t>
      </w:r>
      <w:r>
        <w:rPr>
          <w:lang w:val="en-GB"/>
        </w:rPr>
        <w:t xml:space="preserve"> perimeter. This should include the following</w:t>
      </w:r>
      <w:r w:rsidR="00EB0B62">
        <w:rPr>
          <w:lang w:val="en-GB"/>
        </w:rPr>
        <w:t xml:space="preserve"> effects, which can basically be treated like </w:t>
      </w:r>
      <w:r w:rsidR="00C87BBC">
        <w:rPr>
          <w:lang w:val="en-GB"/>
        </w:rPr>
        <w:t xml:space="preserve">other (external) </w:t>
      </w:r>
      <w:r w:rsidR="00EB0B62">
        <w:rPr>
          <w:lang w:val="en-GB"/>
        </w:rPr>
        <w:t>man-made hazards</w:t>
      </w:r>
      <w:r w:rsidR="00607CD0">
        <w:rPr>
          <w:lang w:val="en-GB"/>
        </w:rPr>
        <w:t>,</w:t>
      </w:r>
      <w:r>
        <w:rPr>
          <w:lang w:val="en-GB"/>
        </w:rPr>
        <w:t xml:space="preserve"> </w:t>
      </w:r>
    </w:p>
    <w:p w:rsidR="002C3DA8" w:rsidRDefault="002C3DA8" w:rsidP="00E62976">
      <w:pPr>
        <w:numPr>
          <w:ilvl w:val="1"/>
          <w:numId w:val="77"/>
        </w:numPr>
        <w:rPr>
          <w:lang w:val="en-GB"/>
        </w:rPr>
      </w:pPr>
      <w:r>
        <w:rPr>
          <w:lang w:val="en-GB"/>
        </w:rPr>
        <w:t>Fires at other installations on the site like e.g. hydrogen or hydrocarbon fuel storage facilities</w:t>
      </w:r>
      <w:r w:rsidR="00607CD0">
        <w:rPr>
          <w:lang w:val="en-GB"/>
        </w:rPr>
        <w:t>,</w:t>
      </w:r>
    </w:p>
    <w:p w:rsidR="00B66BA6" w:rsidRDefault="00B66BA6" w:rsidP="00E62976">
      <w:pPr>
        <w:numPr>
          <w:ilvl w:val="1"/>
          <w:numId w:val="77"/>
        </w:numPr>
        <w:rPr>
          <w:lang w:val="en-GB"/>
        </w:rPr>
      </w:pPr>
      <w:r>
        <w:rPr>
          <w:lang w:val="en-GB"/>
        </w:rPr>
        <w:t>Flooding originating from installations on the site like e.g. leakages from water storage tanks or fire protection systems</w:t>
      </w:r>
      <w:r w:rsidR="00607CD0">
        <w:rPr>
          <w:lang w:val="en-GB"/>
        </w:rPr>
        <w:t>,</w:t>
      </w:r>
    </w:p>
    <w:p w:rsidR="00B66BA6" w:rsidRDefault="00B66BA6" w:rsidP="00E62976">
      <w:pPr>
        <w:numPr>
          <w:ilvl w:val="1"/>
          <w:numId w:val="77"/>
        </w:numPr>
        <w:rPr>
          <w:lang w:val="en-GB"/>
        </w:rPr>
      </w:pPr>
      <w:r>
        <w:rPr>
          <w:lang w:val="en-GB"/>
        </w:rPr>
        <w:t>Explosions originating at other installations on the site, e.g. a hydrogen gas explosion after a generator blowout</w:t>
      </w:r>
      <w:r w:rsidR="00607CD0">
        <w:rPr>
          <w:lang w:val="en-GB"/>
        </w:rPr>
        <w:t>,</w:t>
      </w:r>
    </w:p>
    <w:p w:rsidR="00B66BA6" w:rsidRDefault="00B66BA6" w:rsidP="00E62976">
      <w:pPr>
        <w:numPr>
          <w:ilvl w:val="1"/>
          <w:numId w:val="77"/>
        </w:numPr>
        <w:rPr>
          <w:lang w:val="en-GB"/>
        </w:rPr>
      </w:pPr>
      <w:r>
        <w:rPr>
          <w:lang w:val="en-GB"/>
        </w:rPr>
        <w:t>Missiles originating at other installations on the site like e.g. a turbine missile from another NPP on the site. Note: Such a missile might be screened out for the originating installation</w:t>
      </w:r>
      <w:r w:rsidR="00607CD0">
        <w:rPr>
          <w:lang w:val="en-GB"/>
        </w:rPr>
        <w:t>,</w:t>
      </w:r>
    </w:p>
    <w:p w:rsidR="00B66BA6" w:rsidRDefault="00B66BA6" w:rsidP="00E62976">
      <w:pPr>
        <w:numPr>
          <w:ilvl w:val="1"/>
          <w:numId w:val="77"/>
        </w:numPr>
        <w:rPr>
          <w:lang w:val="en-GB"/>
        </w:rPr>
      </w:pPr>
      <w:r>
        <w:rPr>
          <w:lang w:val="en-GB"/>
        </w:rPr>
        <w:t xml:space="preserve">Electromagnetic interference from other sources on the site, e.g. due to </w:t>
      </w:r>
      <w:r w:rsidR="00EB0B62">
        <w:rPr>
          <w:lang w:val="en-GB"/>
        </w:rPr>
        <w:t>welding work near the affected unit</w:t>
      </w:r>
      <w:r w:rsidR="00607CD0">
        <w:rPr>
          <w:lang w:val="en-GB"/>
        </w:rPr>
        <w:t>,</w:t>
      </w:r>
    </w:p>
    <w:p w:rsidR="00B66BA6" w:rsidRDefault="00B66BA6" w:rsidP="00E62976">
      <w:pPr>
        <w:numPr>
          <w:ilvl w:val="1"/>
          <w:numId w:val="77"/>
        </w:numPr>
        <w:rPr>
          <w:lang w:val="en-GB"/>
        </w:rPr>
      </w:pPr>
      <w:r>
        <w:rPr>
          <w:lang w:val="en-GB"/>
        </w:rPr>
        <w:t>Hazardous gas releases from other installations on the site, e.g. hydrogen releases during a severe accident in another unit (multi-unit effect)</w:t>
      </w:r>
      <w:r w:rsidR="00607CD0">
        <w:rPr>
          <w:lang w:val="en-GB"/>
        </w:rPr>
        <w:t>,</w:t>
      </w:r>
    </w:p>
    <w:p w:rsidR="001525ED" w:rsidRDefault="00B66BA6" w:rsidP="00E62976">
      <w:pPr>
        <w:numPr>
          <w:ilvl w:val="1"/>
          <w:numId w:val="77"/>
        </w:numPr>
        <w:rPr>
          <w:lang w:val="en-GB"/>
        </w:rPr>
      </w:pPr>
      <w:r w:rsidRPr="001525ED">
        <w:rPr>
          <w:lang w:val="en-GB"/>
        </w:rPr>
        <w:t>Accident level radiological releases from other installations on the site (multi-unit effect)</w:t>
      </w:r>
      <w:r w:rsidR="00607CD0">
        <w:rPr>
          <w:lang w:val="en-GB"/>
        </w:rPr>
        <w:t>.</w:t>
      </w:r>
    </w:p>
    <w:p w:rsidR="002C3DA8" w:rsidRPr="00545C77" w:rsidRDefault="002C3DA8" w:rsidP="00E62976">
      <w:pPr>
        <w:numPr>
          <w:ilvl w:val="0"/>
          <w:numId w:val="77"/>
        </w:numPr>
        <w:ind w:left="851"/>
        <w:rPr>
          <w:lang w:val="en-GB"/>
        </w:rPr>
      </w:pPr>
      <w:r w:rsidRPr="001525ED">
        <w:rPr>
          <w:lang w:val="en-GB"/>
        </w:rPr>
        <w:t>Consideration of effects on containment</w:t>
      </w:r>
      <w:r w:rsidRPr="00545C77">
        <w:rPr>
          <w:lang w:val="en-GB"/>
        </w:rPr>
        <w:t xml:space="preserve"> function availability</w:t>
      </w:r>
      <w:r w:rsidR="00C87BBC" w:rsidRPr="00545C77">
        <w:rPr>
          <w:lang w:val="en-GB"/>
        </w:rPr>
        <w:t xml:space="preserve"> with respect to PSA Level 2 screening measures</w:t>
      </w:r>
      <w:r w:rsidR="00607CD0">
        <w:rPr>
          <w:lang w:val="en-GB"/>
        </w:rPr>
        <w:t>,</w:t>
      </w:r>
    </w:p>
    <w:p w:rsidR="002C3DA8" w:rsidRDefault="002C3DA8" w:rsidP="00E62976">
      <w:pPr>
        <w:numPr>
          <w:ilvl w:val="0"/>
          <w:numId w:val="77"/>
        </w:numPr>
        <w:ind w:left="851"/>
        <w:rPr>
          <w:lang w:val="en-GB"/>
        </w:rPr>
      </w:pPr>
      <w:r>
        <w:rPr>
          <w:lang w:val="en-GB"/>
        </w:rPr>
        <w:t xml:space="preserve">Combination of internal hazard scenarios </w:t>
      </w:r>
      <w:r w:rsidR="00C806D4">
        <w:rPr>
          <w:lang w:val="en-GB"/>
        </w:rPr>
        <w:t>and</w:t>
      </w:r>
      <w:r>
        <w:rPr>
          <w:lang w:val="en-GB"/>
        </w:rPr>
        <w:t xml:space="preserve"> independent </w:t>
      </w:r>
      <w:r w:rsidR="00C806D4">
        <w:rPr>
          <w:lang w:val="en-GB"/>
        </w:rPr>
        <w:t xml:space="preserve">or correlated </w:t>
      </w:r>
      <w:r>
        <w:rPr>
          <w:lang w:val="en-GB"/>
        </w:rPr>
        <w:t>internal initiating events</w:t>
      </w:r>
      <w:r w:rsidR="00607CD0">
        <w:rPr>
          <w:lang w:val="en-GB"/>
        </w:rPr>
        <w:t>,</w:t>
      </w:r>
    </w:p>
    <w:p w:rsidR="00365090" w:rsidRDefault="00365090" w:rsidP="00E62976">
      <w:pPr>
        <w:numPr>
          <w:ilvl w:val="0"/>
          <w:numId w:val="77"/>
        </w:numPr>
        <w:ind w:left="851"/>
        <w:rPr>
          <w:lang w:val="en-GB"/>
        </w:rPr>
      </w:pPr>
      <w:r>
        <w:rPr>
          <w:lang w:val="en-GB"/>
        </w:rPr>
        <w:t>Extension to the internal hazard scenarios affecting the spent fuel pool</w:t>
      </w:r>
      <w:r w:rsidR="00607CD0">
        <w:rPr>
          <w:lang w:val="en-GB"/>
        </w:rPr>
        <w:t>.</w:t>
      </w:r>
    </w:p>
    <w:p w:rsidR="00607CD0" w:rsidRDefault="00607CD0" w:rsidP="005079A3">
      <w:pPr>
        <w:ind w:left="851"/>
        <w:rPr>
          <w:lang w:val="en-GB"/>
        </w:rPr>
      </w:pPr>
    </w:p>
    <w:p w:rsidR="00365090" w:rsidRDefault="00365090" w:rsidP="005079A3">
      <w:pPr>
        <w:rPr>
          <w:lang w:val="en-GB"/>
        </w:rPr>
      </w:pPr>
      <w:r>
        <w:rPr>
          <w:lang w:val="en-GB"/>
        </w:rPr>
        <w:t xml:space="preserve">With respect to the determination of internal hazard scenario frequencies, basically the same comments as for internal initiating events apply. To the extent sensible, internal hazard scenario frequencies should be based on (mostly generic) operating experience. This should be combined with expert judgement using also information for deterministic hazard assessment specific simulation models, as appropriate and available. Such generic operating experience is available in particular for internal fire and also for internal flooding (from component integrity data bases). For other internal hazards, </w:t>
      </w:r>
      <w:r w:rsidR="000212B6">
        <w:rPr>
          <w:lang w:val="en-GB"/>
        </w:rPr>
        <w:t xml:space="preserve">it is </w:t>
      </w:r>
      <w:r>
        <w:rPr>
          <w:lang w:val="en-GB"/>
        </w:rPr>
        <w:t>assume</w:t>
      </w:r>
      <w:r w:rsidR="000212B6">
        <w:rPr>
          <w:lang w:val="en-GB"/>
        </w:rPr>
        <w:t>d</w:t>
      </w:r>
      <w:r>
        <w:rPr>
          <w:lang w:val="en-GB"/>
        </w:rPr>
        <w:t xml:space="preserve"> that there is a dearth of generic information on such frequencies, as these are commonly screened out from further detailed analysis.</w:t>
      </w:r>
    </w:p>
    <w:p w:rsidR="00365090" w:rsidRDefault="000212B6" w:rsidP="005079A3">
      <w:pPr>
        <w:rPr>
          <w:lang w:val="en-GB"/>
        </w:rPr>
      </w:pPr>
      <w:r>
        <w:rPr>
          <w:lang w:val="en-GB"/>
        </w:rPr>
        <w:t>It has to be</w:t>
      </w:r>
      <w:r w:rsidR="00365090">
        <w:rPr>
          <w:lang w:val="en-GB"/>
        </w:rPr>
        <w:t xml:space="preserve"> emphasize</w:t>
      </w:r>
      <w:r>
        <w:rPr>
          <w:lang w:val="en-GB"/>
        </w:rPr>
        <w:t>d</w:t>
      </w:r>
      <w:r w:rsidR="00365090">
        <w:rPr>
          <w:lang w:val="en-GB"/>
        </w:rPr>
        <w:t xml:space="preserve"> that certain internal hazards are stron</w:t>
      </w:r>
      <w:r w:rsidR="00D43784">
        <w:rPr>
          <w:lang w:val="en-GB"/>
        </w:rPr>
        <w:t xml:space="preserve">gly dependent on time. For example, internal fire initiators are known to be more likely during shutdown operation due to respective work. High energy faults of components (power switches as well as pressure vessels) will depend on the component being in operation. For screening purposes, internal hazard </w:t>
      </w:r>
      <w:r w:rsidR="008C3F7D">
        <w:rPr>
          <w:lang w:val="en-GB"/>
        </w:rPr>
        <w:t>scenarios that strongly depend on time</w:t>
      </w:r>
      <w:r w:rsidR="00D43784">
        <w:rPr>
          <w:lang w:val="en-GB"/>
        </w:rPr>
        <w:t xml:space="preserve"> should be treated as “probability per year” types of events. In that case, the peak probability value over a representative time interval should be assumed for screening purposes.</w:t>
      </w:r>
    </w:p>
    <w:p w:rsidR="00D05FB9" w:rsidRDefault="00D05FB9" w:rsidP="005079A3">
      <w:pPr>
        <w:rPr>
          <w:lang w:val="en-GB"/>
        </w:rPr>
      </w:pPr>
    </w:p>
    <w:p w:rsidR="00120B39" w:rsidRDefault="00120B39" w:rsidP="005079A3">
      <w:pPr>
        <w:rPr>
          <w:lang w:val="en-GB"/>
        </w:rPr>
      </w:pPr>
      <w:r>
        <w:rPr>
          <w:lang w:val="en-GB"/>
        </w:rPr>
        <w:t>The proposed screening approach for extended PSA requires the consideration of very rare events. Initiating frequencies of such rare events (e.g. significantly below 10</w:t>
      </w:r>
      <w:r w:rsidRPr="00C70893">
        <w:rPr>
          <w:vertAlign w:val="superscript"/>
          <w:lang w:val="en-GB"/>
        </w:rPr>
        <w:t>-6</w:t>
      </w:r>
      <w:r w:rsidR="008B6CBF">
        <w:rPr>
          <w:lang w:val="en-GB"/>
        </w:rPr>
        <w:t>/a</w:t>
      </w:r>
      <w:r>
        <w:rPr>
          <w:lang w:val="en-GB"/>
        </w:rPr>
        <w:t xml:space="preserve">) will be hard to justify with a best-estimate approach. For screening purposes, </w:t>
      </w:r>
      <w:r w:rsidR="00CE2385">
        <w:rPr>
          <w:lang w:val="en-GB"/>
        </w:rPr>
        <w:t xml:space="preserve">it is </w:t>
      </w:r>
      <w:r>
        <w:rPr>
          <w:lang w:val="en-GB"/>
        </w:rPr>
        <w:t>recommend</w:t>
      </w:r>
      <w:r w:rsidR="00CE2385">
        <w:rPr>
          <w:lang w:val="en-GB"/>
        </w:rPr>
        <w:t>ed</w:t>
      </w:r>
      <w:r>
        <w:rPr>
          <w:lang w:val="en-GB"/>
        </w:rPr>
        <w:t xml:space="preserve"> using conservative point estimate values based on expert judgement. Such estimations can then be refined, if a more stringent treatment of the event either in bounding analysis or in a detailed PSA is merited based on its contribution to the risk measures of interest.</w:t>
      </w:r>
    </w:p>
    <w:p w:rsidR="00F9328E" w:rsidRDefault="00F9328E" w:rsidP="005079A3">
      <w:pPr>
        <w:rPr>
          <w:lang w:val="en-GB"/>
        </w:rPr>
      </w:pPr>
    </w:p>
    <w:p w:rsidR="000B1310" w:rsidRDefault="0032679B" w:rsidP="005079A3">
      <w:pPr>
        <w:rPr>
          <w:lang w:val="en-GB"/>
        </w:rPr>
      </w:pPr>
      <w:r>
        <w:rPr>
          <w:lang w:val="en-GB"/>
        </w:rPr>
        <w:t xml:space="preserve">Internal hazard scenarios need to be mapped to initiating events. This requires the consideration of the effects of the initiator event on the plant. Plant response analysis needs to consider the resilience of the </w:t>
      </w:r>
      <w:r w:rsidR="000B1310">
        <w:rPr>
          <w:lang w:val="en-GB"/>
        </w:rPr>
        <w:t>plant (i.e. its SSC</w:t>
      </w:r>
      <w:r w:rsidR="00F9328E">
        <w:rPr>
          <w:lang w:val="en-GB"/>
        </w:rPr>
        <w:t>s</w:t>
      </w:r>
      <w:r w:rsidR="000B1310">
        <w:rPr>
          <w:lang w:val="en-GB"/>
        </w:rPr>
        <w:t xml:space="preserve">) against hazard impact as well as the spreading of the hazard and its consequential effects (salient examples: fire and flooding). </w:t>
      </w:r>
      <w:r w:rsidR="00CE2385">
        <w:rPr>
          <w:lang w:val="en-GB"/>
        </w:rPr>
        <w:t>It has to be</w:t>
      </w:r>
      <w:r w:rsidR="000B1310">
        <w:rPr>
          <w:lang w:val="en-GB"/>
        </w:rPr>
        <w:t xml:space="preserve"> point</w:t>
      </w:r>
      <w:r w:rsidR="00CE2385">
        <w:rPr>
          <w:lang w:val="en-GB"/>
        </w:rPr>
        <w:t>ed</w:t>
      </w:r>
      <w:r w:rsidR="000B1310">
        <w:rPr>
          <w:lang w:val="en-GB"/>
        </w:rPr>
        <w:t xml:space="preserve"> out that this necessitates </w:t>
      </w:r>
      <w:r w:rsidR="00CE2385">
        <w:rPr>
          <w:lang w:val="en-GB"/>
        </w:rPr>
        <w:t xml:space="preserve">a </w:t>
      </w:r>
      <w:r w:rsidR="000B1310">
        <w:rPr>
          <w:lang w:val="en-GB"/>
        </w:rPr>
        <w:t xml:space="preserve">bounding assessment for internal hazard scenarios. PSA analysts have to </w:t>
      </w:r>
      <w:r w:rsidR="00D05FB9">
        <w:rPr>
          <w:lang w:val="en-GB"/>
        </w:rPr>
        <w:t>propose</w:t>
      </w:r>
      <w:r w:rsidR="000B1310">
        <w:rPr>
          <w:lang w:val="en-GB"/>
        </w:rPr>
        <w:t xml:space="preserve"> claims on two important aspects:</w:t>
      </w:r>
    </w:p>
    <w:p w:rsidR="000B1310" w:rsidRDefault="000B1310" w:rsidP="00E62976">
      <w:pPr>
        <w:numPr>
          <w:ilvl w:val="0"/>
          <w:numId w:val="73"/>
        </w:numPr>
        <w:ind w:left="851"/>
        <w:rPr>
          <w:lang w:val="en-GB"/>
        </w:rPr>
      </w:pPr>
      <w:r>
        <w:rPr>
          <w:lang w:val="en-GB"/>
        </w:rPr>
        <w:t>Conditional probability for the failure of provisions against potential spreading and other consequential effects of the scenario</w:t>
      </w:r>
      <w:r w:rsidR="00D05FB9">
        <w:rPr>
          <w:lang w:val="en-GB"/>
        </w:rPr>
        <w:t>,</w:t>
      </w:r>
    </w:p>
    <w:p w:rsidR="000B1310" w:rsidRDefault="000B1310" w:rsidP="00E62976">
      <w:pPr>
        <w:numPr>
          <w:ilvl w:val="0"/>
          <w:numId w:val="73"/>
        </w:numPr>
        <w:ind w:left="851"/>
        <w:rPr>
          <w:lang w:val="en-GB"/>
        </w:rPr>
      </w:pPr>
      <w:r>
        <w:rPr>
          <w:lang w:val="en-GB"/>
        </w:rPr>
        <w:t>Conditional probability of triggering an initiating event</w:t>
      </w:r>
      <w:r w:rsidRPr="000B1310">
        <w:rPr>
          <w:lang w:val="en-GB"/>
        </w:rPr>
        <w:t>.</w:t>
      </w:r>
    </w:p>
    <w:p w:rsidR="00D05FB9" w:rsidRDefault="00D05FB9" w:rsidP="005079A3">
      <w:pPr>
        <w:rPr>
          <w:lang w:val="en-GB"/>
        </w:rPr>
      </w:pPr>
    </w:p>
    <w:p w:rsidR="00D05FB9" w:rsidRDefault="007A5EB1" w:rsidP="005079A3">
      <w:pPr>
        <w:rPr>
          <w:lang w:val="en-GB"/>
        </w:rPr>
      </w:pPr>
      <w:r>
        <w:rPr>
          <w:lang w:val="en-GB"/>
        </w:rPr>
        <w:t>D</w:t>
      </w:r>
      <w:r w:rsidR="000B1310">
        <w:rPr>
          <w:lang w:val="en-GB"/>
        </w:rPr>
        <w:t xml:space="preserve">ue to the large number of potential initiators (e.g. rooms </w:t>
      </w:r>
      <w:r w:rsidR="00CE2385">
        <w:rPr>
          <w:lang w:val="en-GB"/>
        </w:rPr>
        <w:t xml:space="preserve">with a high fire load and prone to </w:t>
      </w:r>
      <w:r w:rsidR="000B1310">
        <w:rPr>
          <w:lang w:val="en-GB"/>
        </w:rPr>
        <w:t xml:space="preserve">internal fire), </w:t>
      </w:r>
      <w:r w:rsidR="000B1310" w:rsidRPr="005079A3">
        <w:rPr>
          <w:u w:val="single"/>
          <w:lang w:val="en-GB"/>
        </w:rPr>
        <w:t xml:space="preserve">effective bounding assessment </w:t>
      </w:r>
      <w:r w:rsidR="00D05FB9">
        <w:rPr>
          <w:u w:val="single"/>
          <w:lang w:val="en-GB"/>
        </w:rPr>
        <w:t>is</w:t>
      </w:r>
      <w:r w:rsidR="000B1310" w:rsidRPr="005079A3">
        <w:rPr>
          <w:u w:val="single"/>
          <w:lang w:val="en-GB"/>
        </w:rPr>
        <w:t xml:space="preserve"> an essential task</w:t>
      </w:r>
      <w:r w:rsidR="000B1310">
        <w:rPr>
          <w:lang w:val="en-GB"/>
        </w:rPr>
        <w:t xml:space="preserve"> for internal hazards PSA. Moreover, grouping internal hazards scenarios</w:t>
      </w:r>
      <w:r w:rsidR="00035364">
        <w:rPr>
          <w:lang w:val="en-GB"/>
        </w:rPr>
        <w:t>, that have</w:t>
      </w:r>
      <w:r w:rsidR="000B1310">
        <w:rPr>
          <w:lang w:val="en-GB"/>
        </w:rPr>
        <w:t xml:space="preserve"> not </w:t>
      </w:r>
      <w:r w:rsidR="00035364">
        <w:rPr>
          <w:lang w:val="en-GB"/>
        </w:rPr>
        <w:t xml:space="preserve">been </w:t>
      </w:r>
      <w:r w:rsidR="000B1310">
        <w:rPr>
          <w:lang w:val="en-GB"/>
        </w:rPr>
        <w:t>screened out (as not challenging plant safety)</w:t>
      </w:r>
      <w:r w:rsidR="00035364">
        <w:rPr>
          <w:lang w:val="en-GB"/>
        </w:rPr>
        <w:t>,</w:t>
      </w:r>
      <w:r w:rsidR="000B1310">
        <w:rPr>
          <w:lang w:val="en-GB"/>
        </w:rPr>
        <w:t xml:space="preserve"> into enveloping hazard scenario groups will be needed. This will significantly reduce the number of detailed PSA models.</w:t>
      </w:r>
      <w:r w:rsidR="00F9328E">
        <w:rPr>
          <w:lang w:val="en-GB"/>
        </w:rPr>
        <w:tab/>
      </w:r>
      <w:r w:rsidR="000B1310">
        <w:rPr>
          <w:lang w:val="en-GB"/>
        </w:rPr>
        <w:br/>
        <w:t xml:space="preserve">In addition, the deterministic analysis of internal hazard should result in a comprehensive protection concept with efficient protection measures. </w:t>
      </w:r>
      <w:r w:rsidR="00B614A3">
        <w:rPr>
          <w:lang w:val="en-GB"/>
        </w:rPr>
        <w:t>Internal hazards screening should confirm the effectiveness of the deterministic protection concept. .</w:t>
      </w:r>
    </w:p>
    <w:p w:rsidR="00B614A3" w:rsidRPr="000B1310" w:rsidRDefault="00B614A3" w:rsidP="005079A3">
      <w:pPr>
        <w:rPr>
          <w:lang w:val="en-GB"/>
        </w:rPr>
      </w:pPr>
      <w:r>
        <w:rPr>
          <w:lang w:val="en-GB"/>
        </w:rPr>
        <w:t xml:space="preserve">Finally, </w:t>
      </w:r>
      <w:r w:rsidR="00035364">
        <w:rPr>
          <w:lang w:val="en-GB"/>
        </w:rPr>
        <w:t xml:space="preserve">it has to be </w:t>
      </w:r>
      <w:r>
        <w:rPr>
          <w:lang w:val="en-GB"/>
        </w:rPr>
        <w:t>point</w:t>
      </w:r>
      <w:r w:rsidR="00035364">
        <w:rPr>
          <w:lang w:val="en-GB"/>
        </w:rPr>
        <w:t>ed</w:t>
      </w:r>
      <w:r>
        <w:rPr>
          <w:lang w:val="en-GB"/>
        </w:rPr>
        <w:t xml:space="preserve"> out that a number of internal hazards </w:t>
      </w:r>
      <w:r w:rsidR="00627CF3">
        <w:rPr>
          <w:lang w:val="en-GB"/>
        </w:rPr>
        <w:t xml:space="preserve">are rather unlikely to get relevant with respect to the FDF risk measures. A prominent example would be heavy load drop damaging a number of fuel elements in the spent fuel pool (without impairing fuel cooling). Another example would be a high energy fault damaging the radioactive waste treatment system. For such scenarios, screening against the proposed </w:t>
      </w:r>
      <w:r w:rsidR="00035364">
        <w:rPr>
          <w:lang w:val="en-GB"/>
        </w:rPr>
        <w:t>r</w:t>
      </w:r>
      <w:r w:rsidR="00627CF3">
        <w:rPr>
          <w:lang w:val="en-GB"/>
        </w:rPr>
        <w:t xml:space="preserve">adionuclide mobilization frequency risk measure should be considered. For further multi-source considerations, see section </w:t>
      </w:r>
      <w:r w:rsidR="008C3F7D">
        <w:rPr>
          <w:lang w:val="en-GB"/>
        </w:rPr>
        <w:fldChar w:fldCharType="begin"/>
      </w:r>
      <w:r w:rsidR="008C3F7D">
        <w:rPr>
          <w:lang w:val="en-GB"/>
        </w:rPr>
        <w:instrText xml:space="preserve"> REF _Ref444980284 \r \h </w:instrText>
      </w:r>
      <w:r w:rsidR="008C3F7D">
        <w:rPr>
          <w:lang w:val="en-GB"/>
        </w:rPr>
      </w:r>
      <w:r w:rsidR="008C3F7D">
        <w:rPr>
          <w:lang w:val="en-GB"/>
        </w:rPr>
        <w:fldChar w:fldCharType="separate"/>
      </w:r>
      <w:r w:rsidR="00E62976">
        <w:rPr>
          <w:lang w:val="en-GB"/>
        </w:rPr>
        <w:t>6.8</w:t>
      </w:r>
      <w:r w:rsidR="008C3F7D">
        <w:rPr>
          <w:lang w:val="en-GB"/>
        </w:rPr>
        <w:fldChar w:fldCharType="end"/>
      </w:r>
      <w:r w:rsidR="001B3B6E">
        <w:rPr>
          <w:lang w:val="en-GB"/>
        </w:rPr>
        <w:t>.</w:t>
      </w:r>
    </w:p>
    <w:p w:rsidR="002B37C9" w:rsidRPr="00DD37C2" w:rsidRDefault="002B37C9" w:rsidP="00DD37C2">
      <w:pPr>
        <w:rPr>
          <w:lang w:val="en-GB"/>
        </w:rPr>
      </w:pPr>
    </w:p>
    <w:p w:rsidR="00F5423F" w:rsidRPr="00A262B4" w:rsidRDefault="00F5423F" w:rsidP="00F5423F">
      <w:pPr>
        <w:pStyle w:val="Titre2"/>
        <w:rPr>
          <w:lang w:val="en-GB"/>
        </w:rPr>
      </w:pPr>
      <w:bookmarkStart w:id="508" w:name="_Ref445141328"/>
      <w:bookmarkStart w:id="509" w:name="_Ref445216082"/>
      <w:bookmarkStart w:id="510" w:name="_Ref445297246"/>
      <w:bookmarkStart w:id="511" w:name="_Toc473303592"/>
      <w:r>
        <w:rPr>
          <w:lang w:val="en-GB"/>
        </w:rPr>
        <w:t>SELECTION</w:t>
      </w:r>
      <w:r w:rsidRPr="00A262B4">
        <w:rPr>
          <w:lang w:val="en-GB"/>
        </w:rPr>
        <w:t xml:space="preserve"> </w:t>
      </w:r>
      <w:r>
        <w:rPr>
          <w:lang w:val="en-GB"/>
        </w:rPr>
        <w:t>OF</w:t>
      </w:r>
      <w:r w:rsidRPr="00A262B4">
        <w:rPr>
          <w:lang w:val="en-GB"/>
        </w:rPr>
        <w:t xml:space="preserve"> </w:t>
      </w:r>
      <w:r>
        <w:rPr>
          <w:lang w:val="en-GB"/>
        </w:rPr>
        <w:t xml:space="preserve">THE INDIVIDUAL </w:t>
      </w:r>
      <w:r w:rsidR="00027611">
        <w:rPr>
          <w:caps w:val="0"/>
          <w:lang w:val="en-GB"/>
        </w:rPr>
        <w:t>EXTERNAL</w:t>
      </w:r>
      <w:r>
        <w:rPr>
          <w:lang w:val="en-GB"/>
        </w:rPr>
        <w:t xml:space="preserve"> HAZARDS SCENARIOS</w:t>
      </w:r>
      <w:r w:rsidRPr="00A262B4">
        <w:rPr>
          <w:lang w:val="en-GB"/>
        </w:rPr>
        <w:t xml:space="preserve"> </w:t>
      </w:r>
      <w:r>
        <w:rPr>
          <w:lang w:val="en-GB"/>
        </w:rPr>
        <w:t>TO BE CONSIDERED</w:t>
      </w:r>
      <w:r w:rsidRPr="00A262B4">
        <w:rPr>
          <w:lang w:val="en-GB"/>
        </w:rPr>
        <w:t xml:space="preserve"> </w:t>
      </w:r>
      <w:r w:rsidR="003066D2">
        <w:rPr>
          <w:lang w:val="en-GB"/>
        </w:rPr>
        <w:t xml:space="preserve">IN </w:t>
      </w:r>
      <w:r w:rsidR="003066D2" w:rsidRPr="00D054C1">
        <w:rPr>
          <w:caps w:val="0"/>
          <w:lang w:val="en-GB"/>
        </w:rPr>
        <w:t>A</w:t>
      </w:r>
      <w:r>
        <w:rPr>
          <w:lang w:val="en-GB"/>
        </w:rPr>
        <w:t xml:space="preserve"> SINGLE UNIT </w:t>
      </w:r>
      <w:r w:rsidRPr="00D054C1">
        <w:rPr>
          <w:lang w:val="en-GB"/>
        </w:rPr>
        <w:t>PSA</w:t>
      </w:r>
      <w:bookmarkEnd w:id="508"/>
      <w:bookmarkEnd w:id="509"/>
      <w:bookmarkEnd w:id="510"/>
      <w:bookmarkEnd w:id="511"/>
    </w:p>
    <w:p w:rsidR="00027611" w:rsidRDefault="00027611" w:rsidP="00027611">
      <w:pPr>
        <w:rPr>
          <w:lang w:val="en-GB"/>
        </w:rPr>
      </w:pPr>
      <w:r w:rsidRPr="000945B2">
        <w:rPr>
          <w:szCs w:val="18"/>
          <w:lang w:val="en-US"/>
        </w:rPr>
        <w:t xml:space="preserve">Improving hazard identification for PSA is one of the main lessons learned from the Fukushima Dai-ichi accident. </w:t>
      </w:r>
      <w:r w:rsidR="00401026">
        <w:rPr>
          <w:lang w:val="en-GB"/>
        </w:rPr>
        <w:t>The following recommendations from the</w:t>
      </w:r>
      <w:r>
        <w:rPr>
          <w:lang w:val="en-GB"/>
        </w:rPr>
        <w:t xml:space="preserve"> report ASAMPSA D30.2 </w:t>
      </w:r>
      <w:r w:rsidR="00ED38F4">
        <w:rPr>
          <w:lang w:val="en-GB"/>
        </w:rPr>
        <w:fldChar w:fldCharType="begin"/>
      </w:r>
      <w:r w:rsidR="00ED38F4">
        <w:rPr>
          <w:lang w:val="en-GB"/>
        </w:rPr>
        <w:instrText xml:space="preserve"> REF _Ref422842679 \r \h </w:instrText>
      </w:r>
      <w:r w:rsidR="00ED38F4">
        <w:rPr>
          <w:lang w:val="en-GB"/>
        </w:rPr>
      </w:r>
      <w:r w:rsidR="00ED38F4">
        <w:rPr>
          <w:lang w:val="en-GB"/>
        </w:rPr>
        <w:fldChar w:fldCharType="separate"/>
      </w:r>
      <w:r w:rsidR="00E62976">
        <w:rPr>
          <w:lang w:val="en-GB"/>
        </w:rPr>
        <w:t>[86]</w:t>
      </w:r>
      <w:r w:rsidR="00ED38F4">
        <w:rPr>
          <w:lang w:val="en-GB"/>
        </w:rPr>
        <w:fldChar w:fldCharType="end"/>
      </w:r>
      <w:r w:rsidR="00401026">
        <w:rPr>
          <w:lang w:val="en-GB"/>
        </w:rPr>
        <w:t xml:space="preserve"> </w:t>
      </w:r>
      <w:r>
        <w:rPr>
          <w:lang w:val="en-GB"/>
        </w:rPr>
        <w:t>are particularly relevant.</w:t>
      </w:r>
    </w:p>
    <w:p w:rsidR="00027611" w:rsidRDefault="00027611" w:rsidP="00027611">
      <w:pPr>
        <w:ind w:left="284"/>
        <w:rPr>
          <w:lang w:val="en-GB"/>
        </w:rPr>
      </w:pPr>
      <w:r w:rsidRPr="00857C86">
        <w:rPr>
          <w:lang w:val="en-GB"/>
        </w:rPr>
        <w:t xml:space="preserve">“Site specific hazard identification has to be systematically extended to scenarios in the design extension conditions range </w:t>
      </w:r>
      <w:r>
        <w:rPr>
          <w:lang w:val="en-GB"/>
        </w:rPr>
        <w:t>[…],</w:t>
      </w:r>
      <w:r w:rsidRPr="00857C86">
        <w:rPr>
          <w:lang w:val="en-GB"/>
        </w:rPr>
        <w:t xml:space="preserve"> especially for the purposes of an extended PSA.”</w:t>
      </w:r>
      <w:r w:rsidRPr="00C70893">
        <w:rPr>
          <w:lang w:val="en-GB"/>
        </w:rPr>
        <w:t xml:space="preserve"> </w:t>
      </w:r>
      <w:r w:rsidR="00ED38F4">
        <w:rPr>
          <w:lang w:val="en-GB"/>
        </w:rPr>
        <w:fldChar w:fldCharType="begin"/>
      </w:r>
      <w:r w:rsidR="00ED38F4">
        <w:rPr>
          <w:lang w:val="en-GB"/>
        </w:rPr>
        <w:instrText xml:space="preserve"> REF _Ref422842679 \r \h </w:instrText>
      </w:r>
      <w:r w:rsidR="00ED38F4">
        <w:rPr>
          <w:lang w:val="en-GB"/>
        </w:rPr>
      </w:r>
      <w:r w:rsidR="00ED38F4">
        <w:rPr>
          <w:lang w:val="en-GB"/>
        </w:rPr>
        <w:fldChar w:fldCharType="separate"/>
      </w:r>
      <w:r w:rsidR="00E62976">
        <w:rPr>
          <w:lang w:val="en-GB"/>
        </w:rPr>
        <w:t>[86]</w:t>
      </w:r>
      <w:r w:rsidR="00ED38F4">
        <w:rPr>
          <w:lang w:val="en-GB"/>
        </w:rPr>
        <w:fldChar w:fldCharType="end"/>
      </w:r>
      <w:r>
        <w:rPr>
          <w:lang w:val="en-GB"/>
        </w:rPr>
        <w:t>, p. 11</w:t>
      </w:r>
    </w:p>
    <w:p w:rsidR="00027611" w:rsidRPr="001B7918" w:rsidRDefault="00027611" w:rsidP="00027611">
      <w:pPr>
        <w:ind w:left="284"/>
        <w:rPr>
          <w:lang w:val="en-US"/>
        </w:rPr>
      </w:pPr>
      <w:r>
        <w:rPr>
          <w:rFonts w:cs="Arial"/>
          <w:szCs w:val="18"/>
          <w:lang w:val="en-GB"/>
        </w:rPr>
        <w:t>“</w:t>
      </w:r>
      <w:r w:rsidRPr="005A0C69">
        <w:rPr>
          <w:rFonts w:cs="Arial"/>
          <w:szCs w:val="18"/>
          <w:lang w:val="en-GB"/>
        </w:rPr>
        <w:t>All natural hazards that might affect the site shall be identified; a wide spectrum of rare events should be assessed</w:t>
      </w:r>
      <w:r>
        <w:rPr>
          <w:rFonts w:cs="Arial"/>
          <w:szCs w:val="18"/>
          <w:lang w:val="en-GB"/>
        </w:rPr>
        <w:t>.”</w:t>
      </w:r>
      <w:r w:rsidRPr="00857C86">
        <w:rPr>
          <w:lang w:val="en-GB"/>
        </w:rPr>
        <w:t xml:space="preserve"> </w:t>
      </w:r>
      <w:r w:rsidR="001B3B6E">
        <w:rPr>
          <w:lang w:val="en-GB"/>
        </w:rPr>
        <w:fldChar w:fldCharType="begin"/>
      </w:r>
      <w:r w:rsidR="001B3B6E">
        <w:rPr>
          <w:lang w:val="en-GB"/>
        </w:rPr>
        <w:instrText xml:space="preserve"> REF _Ref422842679 \r \h </w:instrText>
      </w:r>
      <w:r w:rsidR="001B3B6E">
        <w:rPr>
          <w:lang w:val="en-GB"/>
        </w:rPr>
      </w:r>
      <w:r w:rsidR="001B3B6E">
        <w:rPr>
          <w:lang w:val="en-GB"/>
        </w:rPr>
        <w:fldChar w:fldCharType="separate"/>
      </w:r>
      <w:r w:rsidR="00E62976">
        <w:rPr>
          <w:lang w:val="en-GB"/>
        </w:rPr>
        <w:t>[86]</w:t>
      </w:r>
      <w:r w:rsidR="001B3B6E">
        <w:rPr>
          <w:lang w:val="en-GB"/>
        </w:rPr>
        <w:fldChar w:fldCharType="end"/>
      </w:r>
      <w:r>
        <w:rPr>
          <w:lang w:val="en-GB"/>
        </w:rPr>
        <w:t>, p. 11</w:t>
      </w:r>
    </w:p>
    <w:p w:rsidR="00027611" w:rsidRDefault="00027611" w:rsidP="00027611">
      <w:pPr>
        <w:ind w:left="284"/>
        <w:rPr>
          <w:rFonts w:cs="Arial"/>
          <w:szCs w:val="18"/>
          <w:lang w:val="en-GB"/>
        </w:rPr>
      </w:pPr>
      <w:r>
        <w:rPr>
          <w:rFonts w:cs="Arial"/>
          <w:szCs w:val="18"/>
          <w:lang w:val="en-GB"/>
        </w:rPr>
        <w:t>“</w:t>
      </w:r>
      <w:r w:rsidRPr="00857C86">
        <w:rPr>
          <w:rFonts w:cs="Arial"/>
          <w:szCs w:val="18"/>
          <w:lang w:val="en-GB"/>
        </w:rPr>
        <w:t>It has been recognized that current methods as well as data used for determining frequency vs. likelihood curves for a lot of hazards are limited in their validity and often fraught with high uncertainties. Methods for treating correlated (hazard) events – if available at all – are usually not mature. Consequently, this is identified as a field for additional research</w:t>
      </w:r>
      <w:r>
        <w:rPr>
          <w:rFonts w:cs="Arial"/>
          <w:szCs w:val="18"/>
          <w:lang w:val="en-GB"/>
        </w:rPr>
        <w:t xml:space="preserve"> […].” </w:t>
      </w:r>
      <w:r w:rsidR="00ED38F4">
        <w:rPr>
          <w:rFonts w:cs="Arial"/>
          <w:szCs w:val="18"/>
          <w:lang w:val="en-GB"/>
        </w:rPr>
        <w:fldChar w:fldCharType="begin"/>
      </w:r>
      <w:r w:rsidR="00ED38F4">
        <w:rPr>
          <w:rFonts w:cs="Arial"/>
          <w:szCs w:val="18"/>
          <w:lang w:val="en-GB"/>
        </w:rPr>
        <w:instrText xml:space="preserve"> REF _Ref422842679 \r \h </w:instrText>
      </w:r>
      <w:r w:rsidR="00ED38F4">
        <w:rPr>
          <w:rFonts w:cs="Arial"/>
          <w:szCs w:val="18"/>
          <w:lang w:val="en-GB"/>
        </w:rPr>
      </w:r>
      <w:r w:rsidR="00ED38F4">
        <w:rPr>
          <w:rFonts w:cs="Arial"/>
          <w:szCs w:val="18"/>
          <w:lang w:val="en-GB"/>
        </w:rPr>
        <w:fldChar w:fldCharType="separate"/>
      </w:r>
      <w:r w:rsidR="00E62976">
        <w:rPr>
          <w:rFonts w:cs="Arial"/>
          <w:szCs w:val="18"/>
          <w:lang w:val="en-GB"/>
        </w:rPr>
        <w:t>[86]</w:t>
      </w:r>
      <w:r w:rsidR="00ED38F4">
        <w:rPr>
          <w:rFonts w:cs="Arial"/>
          <w:szCs w:val="18"/>
          <w:lang w:val="en-GB"/>
        </w:rPr>
        <w:fldChar w:fldCharType="end"/>
      </w:r>
      <w:r>
        <w:rPr>
          <w:lang w:val="en-GB"/>
        </w:rPr>
        <w:t>, p. 29</w:t>
      </w:r>
    </w:p>
    <w:p w:rsidR="00027611" w:rsidRPr="004569EB" w:rsidRDefault="00027611" w:rsidP="00027611">
      <w:pPr>
        <w:ind w:left="284"/>
        <w:rPr>
          <w:lang w:val="en-GB"/>
        </w:rPr>
      </w:pPr>
      <w:r>
        <w:rPr>
          <w:lang w:val="en-GB"/>
        </w:rPr>
        <w:t>“</w:t>
      </w:r>
      <w:r w:rsidRPr="004569EB">
        <w:rPr>
          <w:lang w:val="en-GB"/>
        </w:rPr>
        <w:t>The screening process should consider justifiable frequencies for the hazards of relatively high magnitude even if they have never been observed in the past in the plant vicinity. The impact of correlated hazards should be carefully considered.</w:t>
      </w:r>
      <w:r>
        <w:rPr>
          <w:lang w:val="en-GB"/>
        </w:rPr>
        <w:t xml:space="preserve">” </w:t>
      </w:r>
      <w:r w:rsidR="00ED38F4">
        <w:rPr>
          <w:lang w:val="en-GB"/>
        </w:rPr>
        <w:fldChar w:fldCharType="begin"/>
      </w:r>
      <w:r w:rsidR="00ED38F4">
        <w:rPr>
          <w:lang w:val="en-GB"/>
        </w:rPr>
        <w:instrText xml:space="preserve"> REF _Ref422842679 \r \h </w:instrText>
      </w:r>
      <w:r w:rsidR="00ED38F4">
        <w:rPr>
          <w:lang w:val="en-GB"/>
        </w:rPr>
      </w:r>
      <w:r w:rsidR="00ED38F4">
        <w:rPr>
          <w:lang w:val="en-GB"/>
        </w:rPr>
        <w:fldChar w:fldCharType="separate"/>
      </w:r>
      <w:r w:rsidR="00E62976">
        <w:rPr>
          <w:lang w:val="en-GB"/>
        </w:rPr>
        <w:t>[86]</w:t>
      </w:r>
      <w:r w:rsidR="00ED38F4">
        <w:rPr>
          <w:lang w:val="en-GB"/>
        </w:rPr>
        <w:fldChar w:fldCharType="end"/>
      </w:r>
      <w:r>
        <w:rPr>
          <w:lang w:val="en-GB"/>
        </w:rPr>
        <w:t>, p. 15</w:t>
      </w:r>
    </w:p>
    <w:p w:rsidR="00027611" w:rsidRPr="004569EB" w:rsidRDefault="00027611" w:rsidP="00027611">
      <w:pPr>
        <w:ind w:left="284"/>
        <w:rPr>
          <w:lang w:val="en-GB"/>
        </w:rPr>
      </w:pPr>
      <w:r>
        <w:rPr>
          <w:lang w:val="en-GB"/>
        </w:rPr>
        <w:t>“</w:t>
      </w:r>
      <w:r w:rsidRPr="004569EB">
        <w:rPr>
          <w:lang w:val="en-GB"/>
        </w:rPr>
        <w:t>Screening criteria should include suitable risk metrics for covering accidental release risk like e.g. large release frequency or conditional containment failure probability.</w:t>
      </w:r>
      <w:r>
        <w:rPr>
          <w:lang w:val="en-GB"/>
        </w:rPr>
        <w:t xml:space="preserve">” </w:t>
      </w:r>
      <w:r w:rsidR="00ED38F4">
        <w:rPr>
          <w:lang w:val="en-GB"/>
        </w:rPr>
        <w:fldChar w:fldCharType="begin"/>
      </w:r>
      <w:r w:rsidR="00ED38F4">
        <w:rPr>
          <w:lang w:val="en-GB"/>
        </w:rPr>
        <w:instrText xml:space="preserve"> REF _Ref422842679 \r \h </w:instrText>
      </w:r>
      <w:r w:rsidR="00ED38F4">
        <w:rPr>
          <w:lang w:val="en-GB"/>
        </w:rPr>
      </w:r>
      <w:r w:rsidR="00ED38F4">
        <w:rPr>
          <w:lang w:val="en-GB"/>
        </w:rPr>
        <w:fldChar w:fldCharType="separate"/>
      </w:r>
      <w:r w:rsidR="00E62976">
        <w:rPr>
          <w:lang w:val="en-GB"/>
        </w:rPr>
        <w:t>[86]</w:t>
      </w:r>
      <w:r w:rsidR="00ED38F4">
        <w:rPr>
          <w:lang w:val="en-GB"/>
        </w:rPr>
        <w:fldChar w:fldCharType="end"/>
      </w:r>
      <w:r>
        <w:rPr>
          <w:lang w:val="en-GB"/>
        </w:rPr>
        <w:t>, p. 15</w:t>
      </w:r>
    </w:p>
    <w:p w:rsidR="00A935EB" w:rsidRDefault="00027611" w:rsidP="005079A3">
      <w:pPr>
        <w:ind w:left="284"/>
        <w:rPr>
          <w:lang w:val="en-GB"/>
        </w:rPr>
      </w:pPr>
      <w:r>
        <w:rPr>
          <w:lang w:val="en-GB"/>
        </w:rPr>
        <w:t>“</w:t>
      </w:r>
      <w:r w:rsidRPr="004569EB">
        <w:rPr>
          <w:lang w:val="en-GB"/>
        </w:rPr>
        <w:t>Screening should be done by combining fixed threshold values (e.g. for frequency of exceedance) with criteria relative to the risk level of the plant (e.g. using metrics like CDF, LRF, CCFF, etc.).</w:t>
      </w:r>
      <w:r>
        <w:rPr>
          <w:lang w:val="en-GB"/>
        </w:rPr>
        <w:t xml:space="preserve">” </w:t>
      </w:r>
      <w:r w:rsidR="00ED38F4">
        <w:rPr>
          <w:lang w:val="en-GB"/>
        </w:rPr>
        <w:fldChar w:fldCharType="begin"/>
      </w:r>
      <w:r w:rsidR="00ED38F4">
        <w:rPr>
          <w:lang w:val="en-GB"/>
        </w:rPr>
        <w:instrText xml:space="preserve"> REF _Ref422842679 \r \h </w:instrText>
      </w:r>
      <w:r w:rsidR="00ED38F4">
        <w:rPr>
          <w:lang w:val="en-GB"/>
        </w:rPr>
      </w:r>
      <w:r w:rsidR="00ED38F4">
        <w:rPr>
          <w:lang w:val="en-GB"/>
        </w:rPr>
        <w:fldChar w:fldCharType="separate"/>
      </w:r>
      <w:r w:rsidR="00E62976">
        <w:rPr>
          <w:lang w:val="en-GB"/>
        </w:rPr>
        <w:t>[86]</w:t>
      </w:r>
      <w:r w:rsidR="00ED38F4">
        <w:rPr>
          <w:lang w:val="en-GB"/>
        </w:rPr>
        <w:fldChar w:fldCharType="end"/>
      </w:r>
      <w:r>
        <w:rPr>
          <w:lang w:val="en-GB"/>
        </w:rPr>
        <w:t>, p. 15</w:t>
      </w:r>
    </w:p>
    <w:p w:rsidR="00A935EB" w:rsidRDefault="00A935EB" w:rsidP="00F5423F">
      <w:pPr>
        <w:rPr>
          <w:lang w:val="en-GB"/>
        </w:rPr>
      </w:pPr>
    </w:p>
    <w:p w:rsidR="00BC4BA5" w:rsidRDefault="00BC4BA5" w:rsidP="00BC4BA5">
      <w:pPr>
        <w:rPr>
          <w:lang w:val="en-GB"/>
        </w:rPr>
      </w:pPr>
      <w:r>
        <w:rPr>
          <w:lang w:val="en-GB"/>
        </w:rPr>
        <w:t xml:space="preserve">External hazards screening for a specific site should start from a comprehensive list and narrow this down in the further steps of screening. The report ASAMPSA_E D21.2 </w:t>
      </w:r>
      <w:r w:rsidR="00ED38F4">
        <w:rPr>
          <w:lang w:val="en-GB"/>
        </w:rPr>
        <w:fldChar w:fldCharType="begin"/>
      </w:r>
      <w:r w:rsidR="00ED38F4">
        <w:rPr>
          <w:lang w:val="en-GB"/>
        </w:rPr>
        <w:instrText xml:space="preserve"> REF _Ref432950672 \r \h </w:instrText>
      </w:r>
      <w:r w:rsidR="00ED38F4">
        <w:rPr>
          <w:lang w:val="en-GB"/>
        </w:rPr>
      </w:r>
      <w:r w:rsidR="00ED38F4">
        <w:rPr>
          <w:lang w:val="en-GB"/>
        </w:rPr>
        <w:fldChar w:fldCharType="separate"/>
      </w:r>
      <w:r w:rsidR="00E62976">
        <w:rPr>
          <w:lang w:val="en-GB"/>
        </w:rPr>
        <w:t>[94]</w:t>
      </w:r>
      <w:r w:rsidR="00ED38F4">
        <w:rPr>
          <w:lang w:val="en-GB"/>
        </w:rPr>
        <w:fldChar w:fldCharType="end"/>
      </w:r>
      <w:r>
        <w:rPr>
          <w:lang w:val="en-GB"/>
        </w:rPr>
        <w:t xml:space="preserve"> provides a comprehensive list of natural and man-made hazards that can serve as a good starting point. </w:t>
      </w:r>
      <w:r w:rsidR="0091227A">
        <w:rPr>
          <w:lang w:val="en-GB"/>
        </w:rPr>
        <w:t xml:space="preserve">In addition, </w:t>
      </w:r>
      <w:r w:rsidR="0091227A">
        <w:rPr>
          <w:rFonts w:eastAsiaTheme="minorHAnsi"/>
          <w:szCs w:val="18"/>
          <w:lang w:val="en-US"/>
        </w:rPr>
        <w:t>t</w:t>
      </w:r>
      <w:r w:rsidRPr="000945B2">
        <w:rPr>
          <w:rFonts w:eastAsiaTheme="minorHAnsi"/>
          <w:szCs w:val="18"/>
          <w:lang w:val="en-US"/>
        </w:rPr>
        <w:t xml:space="preserve">he operational history of the plant in question and of similar plants should be reviewed to search for any events </w:t>
      </w:r>
      <w:r w:rsidRPr="000945B2">
        <w:rPr>
          <w:szCs w:val="18"/>
          <w:lang w:val="en-US"/>
        </w:rPr>
        <w:t xml:space="preserve">involving functional degradation or unavailability of systems due to external events </w:t>
      </w:r>
      <w:r w:rsidRPr="000945B2">
        <w:rPr>
          <w:rFonts w:eastAsiaTheme="minorHAnsi"/>
          <w:szCs w:val="18"/>
          <w:lang w:val="en-US"/>
        </w:rPr>
        <w:t>which should be added to the list. The publicly accessible databases that contain summaries of accidents and near misses that have occurred in hazardous processes around the world should be consulted.</w:t>
      </w:r>
      <w:r>
        <w:rPr>
          <w:rFonts w:eastAsiaTheme="minorHAnsi"/>
          <w:szCs w:val="18"/>
          <w:lang w:val="en-US"/>
        </w:rPr>
        <w:t xml:space="preserve"> </w:t>
      </w:r>
      <w:r w:rsidR="0091227A">
        <w:rPr>
          <w:rFonts w:eastAsiaTheme="minorHAnsi"/>
          <w:szCs w:val="18"/>
          <w:lang w:val="en-US"/>
        </w:rPr>
        <w:t xml:space="preserve">The report ASAMPSA_E D10.3 summarizes </w:t>
      </w:r>
      <w:r w:rsidR="0091227A" w:rsidRPr="0091227A">
        <w:rPr>
          <w:rFonts w:eastAsiaTheme="minorHAnsi"/>
          <w:szCs w:val="18"/>
          <w:lang w:val="en-US"/>
        </w:rPr>
        <w:t>external hazards with high amplitude that have affected NPP in operation</w:t>
      </w:r>
      <w:r w:rsidR="0091227A" w:rsidRPr="0091227A" w:rsidDel="00BC4BA5">
        <w:rPr>
          <w:rFonts w:eastAsiaTheme="minorHAnsi"/>
          <w:szCs w:val="18"/>
          <w:lang w:val="en-US"/>
        </w:rPr>
        <w:t xml:space="preserve"> </w:t>
      </w:r>
      <w:r w:rsidR="00ED38F4">
        <w:rPr>
          <w:rFonts w:eastAsiaTheme="minorHAnsi"/>
          <w:szCs w:val="18"/>
          <w:lang w:val="en-US"/>
        </w:rPr>
        <w:fldChar w:fldCharType="begin"/>
      </w:r>
      <w:r w:rsidR="00ED38F4">
        <w:rPr>
          <w:rFonts w:eastAsiaTheme="minorHAnsi"/>
          <w:szCs w:val="18"/>
          <w:lang w:val="en-US"/>
        </w:rPr>
        <w:instrText xml:space="preserve"> REF _Ref445151133 \r \h </w:instrText>
      </w:r>
      <w:r w:rsidR="00ED38F4">
        <w:rPr>
          <w:rFonts w:eastAsiaTheme="minorHAnsi"/>
          <w:szCs w:val="18"/>
          <w:lang w:val="en-US"/>
        </w:rPr>
      </w:r>
      <w:r w:rsidR="00ED38F4">
        <w:rPr>
          <w:rFonts w:eastAsiaTheme="minorHAnsi"/>
          <w:szCs w:val="18"/>
          <w:lang w:val="en-US"/>
        </w:rPr>
        <w:fldChar w:fldCharType="separate"/>
      </w:r>
      <w:r w:rsidR="00E62976">
        <w:rPr>
          <w:rFonts w:eastAsiaTheme="minorHAnsi"/>
          <w:szCs w:val="18"/>
          <w:lang w:val="en-US"/>
        </w:rPr>
        <w:t>[99]</w:t>
      </w:r>
      <w:r w:rsidR="00ED38F4">
        <w:rPr>
          <w:rFonts w:eastAsiaTheme="minorHAnsi"/>
          <w:szCs w:val="18"/>
          <w:lang w:val="en-US"/>
        </w:rPr>
        <w:fldChar w:fldCharType="end"/>
      </w:r>
      <w:r>
        <w:rPr>
          <w:lang w:val="en-GB"/>
        </w:rPr>
        <w:t>.</w:t>
      </w:r>
    </w:p>
    <w:p w:rsidR="00BC4BA5" w:rsidRDefault="00BC4BA5" w:rsidP="00BC4BA5">
      <w:pPr>
        <w:rPr>
          <w:lang w:val="en-GB"/>
        </w:rPr>
      </w:pPr>
    </w:p>
    <w:p w:rsidR="00D21044" w:rsidRDefault="005D60A3" w:rsidP="00D21044">
      <w:pPr>
        <w:rPr>
          <w:lang w:val="en-GB"/>
        </w:rPr>
      </w:pPr>
      <w:r>
        <w:rPr>
          <w:lang w:val="en-GB"/>
        </w:rPr>
        <w:t>The first step in the screening of external hazard will be applicability screening.</w:t>
      </w:r>
      <w:r w:rsidR="00D21044">
        <w:rPr>
          <w:lang w:val="en-GB"/>
        </w:rPr>
        <w:t xml:space="preserve"> Analysts need to identify those hazards that</w:t>
      </w:r>
      <w:r w:rsidR="00D21044" w:rsidRPr="0073565E">
        <w:rPr>
          <w:lang w:val="en-GB"/>
        </w:rPr>
        <w:t xml:space="preserve"> are not relevant to the nuclear power plant </w:t>
      </w:r>
      <w:r w:rsidR="00D21044">
        <w:rPr>
          <w:lang w:val="en-GB"/>
        </w:rPr>
        <w:t xml:space="preserve">and to the site </w:t>
      </w:r>
      <w:r w:rsidR="00D21044" w:rsidRPr="0073565E">
        <w:rPr>
          <w:lang w:val="en-GB"/>
        </w:rPr>
        <w:t xml:space="preserve">due to </w:t>
      </w:r>
      <w:r w:rsidR="00D21044">
        <w:rPr>
          <w:lang w:val="en-GB"/>
        </w:rPr>
        <w:t>site characteristics (e.g. tsunamis usually cannot affect plants located far away from seas and oceans)</w:t>
      </w:r>
      <w:r w:rsidR="00D21044" w:rsidRPr="0073565E">
        <w:rPr>
          <w:lang w:val="en-GB"/>
        </w:rPr>
        <w:t>.</w:t>
      </w:r>
      <w:r w:rsidR="00D21044">
        <w:rPr>
          <w:lang w:val="en-GB"/>
        </w:rPr>
        <w:t xml:space="preserve"> Hazards can be screened out as not applicable because</w:t>
      </w:r>
    </w:p>
    <w:p w:rsidR="00D21044" w:rsidRDefault="00CA4168" w:rsidP="00E62976">
      <w:pPr>
        <w:numPr>
          <w:ilvl w:val="0"/>
          <w:numId w:val="79"/>
        </w:numPr>
        <w:rPr>
          <w:lang w:val="en-GB"/>
        </w:rPr>
      </w:pPr>
      <w:r>
        <w:rPr>
          <w:lang w:val="en-GB"/>
        </w:rPr>
        <w:t xml:space="preserve">The hazard is not applicable to the site due to physical, geological or other properties. </w:t>
      </w:r>
    </w:p>
    <w:p w:rsidR="00CA4168" w:rsidRDefault="00CA4168" w:rsidP="00E62976">
      <w:pPr>
        <w:numPr>
          <w:ilvl w:val="0"/>
          <w:numId w:val="79"/>
        </w:numPr>
        <w:rPr>
          <w:lang w:val="en-GB"/>
        </w:rPr>
      </w:pPr>
      <w:r>
        <w:rPr>
          <w:lang w:val="en-GB"/>
        </w:rPr>
        <w:t xml:space="preserve">The hazard does not challenge the safety of the plant (cf. section </w:t>
      </w:r>
      <w:r w:rsidR="00125AF4">
        <w:rPr>
          <w:lang w:val="en-GB"/>
        </w:rPr>
        <w:fldChar w:fldCharType="begin"/>
      </w:r>
      <w:r>
        <w:rPr>
          <w:lang w:val="en-GB"/>
        </w:rPr>
        <w:instrText xml:space="preserve"> REF _Ref445029148 \r \h </w:instrText>
      </w:r>
      <w:r w:rsidR="00125AF4">
        <w:rPr>
          <w:lang w:val="en-GB"/>
        </w:rPr>
      </w:r>
      <w:r w:rsidR="00125AF4">
        <w:rPr>
          <w:lang w:val="en-GB"/>
        </w:rPr>
        <w:fldChar w:fldCharType="separate"/>
      </w:r>
      <w:r w:rsidR="00E62976">
        <w:rPr>
          <w:lang w:val="en-GB"/>
        </w:rPr>
        <w:t>6.2</w:t>
      </w:r>
      <w:r w:rsidR="00125AF4">
        <w:rPr>
          <w:lang w:val="en-GB"/>
        </w:rPr>
        <w:fldChar w:fldCharType="end"/>
      </w:r>
      <w:r>
        <w:rPr>
          <w:lang w:val="en-GB"/>
        </w:rPr>
        <w:t>).</w:t>
      </w:r>
    </w:p>
    <w:p w:rsidR="00BC4BA5" w:rsidRDefault="00CA4168">
      <w:pPr>
        <w:rPr>
          <w:lang w:val="en-GB"/>
        </w:rPr>
      </w:pPr>
      <w:r>
        <w:rPr>
          <w:lang w:val="en-GB"/>
        </w:rPr>
        <w:t>Applicability screening should initially be performed using a maximum (credible) impact</w:t>
      </w:r>
      <w:r w:rsidR="00645759">
        <w:rPr>
          <w:lang w:val="en-GB"/>
        </w:rPr>
        <w:t xml:space="preserve"> and needs input from plant response analysis</w:t>
      </w:r>
      <w:r>
        <w:rPr>
          <w:lang w:val="en-GB"/>
        </w:rPr>
        <w:t xml:space="preserve">, cf. section </w:t>
      </w:r>
      <w:r w:rsidR="00125AF4">
        <w:rPr>
          <w:lang w:val="en-GB"/>
        </w:rPr>
        <w:fldChar w:fldCharType="begin"/>
      </w:r>
      <w:r>
        <w:rPr>
          <w:lang w:val="en-GB"/>
        </w:rPr>
        <w:instrText xml:space="preserve"> REF _Ref445134178 \r \h </w:instrText>
      </w:r>
      <w:r w:rsidR="00125AF4">
        <w:rPr>
          <w:lang w:val="en-GB"/>
        </w:rPr>
      </w:r>
      <w:r w:rsidR="00125AF4">
        <w:rPr>
          <w:lang w:val="en-GB"/>
        </w:rPr>
        <w:fldChar w:fldCharType="separate"/>
      </w:r>
      <w:r w:rsidR="00E62976">
        <w:rPr>
          <w:lang w:val="en-GB"/>
        </w:rPr>
        <w:t>6.3</w:t>
      </w:r>
      <w:r w:rsidR="00125AF4">
        <w:rPr>
          <w:lang w:val="en-GB"/>
        </w:rPr>
        <w:fldChar w:fldCharType="end"/>
      </w:r>
      <w:r>
        <w:rPr>
          <w:lang w:val="en-GB"/>
        </w:rPr>
        <w:t>.</w:t>
      </w:r>
    </w:p>
    <w:p w:rsidR="00BC4BA5" w:rsidRDefault="00BC4BA5" w:rsidP="006479BB">
      <w:pPr>
        <w:rPr>
          <w:lang w:val="en-GB"/>
        </w:rPr>
      </w:pPr>
    </w:p>
    <w:p w:rsidR="006479BB" w:rsidRDefault="006479BB" w:rsidP="006479BB">
      <w:pPr>
        <w:rPr>
          <w:lang w:val="en-GB"/>
        </w:rPr>
      </w:pPr>
      <w:r>
        <w:rPr>
          <w:lang w:val="en-GB"/>
        </w:rPr>
        <w:t>With respect to the actual determination of frequency of exceedance curves for single hazards or combinations of hazards, the reader is referred to the hazard-</w:t>
      </w:r>
      <w:r w:rsidRPr="00167660">
        <w:rPr>
          <w:lang w:val="en-GB"/>
        </w:rPr>
        <w:t xml:space="preserve">specific </w:t>
      </w:r>
      <w:r w:rsidR="00067EAC" w:rsidRPr="005079A3">
        <w:rPr>
          <w:lang w:val="en-GB"/>
        </w:rPr>
        <w:t xml:space="preserve">ASAMPSA_E </w:t>
      </w:r>
      <w:r w:rsidRPr="00167660">
        <w:rPr>
          <w:lang w:val="en-GB"/>
        </w:rPr>
        <w:t>topical</w:t>
      </w:r>
      <w:r>
        <w:rPr>
          <w:lang w:val="en-GB"/>
        </w:rPr>
        <w:t xml:space="preserve"> reports</w:t>
      </w:r>
      <w:r w:rsidR="008C3F7D">
        <w:rPr>
          <w:lang w:val="en-GB"/>
        </w:rPr>
        <w:t>.</w:t>
      </w:r>
    </w:p>
    <w:p w:rsidR="00067EAC" w:rsidRDefault="00067EAC" w:rsidP="00061343">
      <w:pPr>
        <w:rPr>
          <w:lang w:val="en-GB"/>
        </w:rPr>
      </w:pPr>
    </w:p>
    <w:p w:rsidR="007E014E" w:rsidRDefault="00B4193E" w:rsidP="00061343">
      <w:pPr>
        <w:rPr>
          <w:lang w:val="en-GB"/>
        </w:rPr>
      </w:pPr>
      <w:r>
        <w:rPr>
          <w:lang w:val="en-GB"/>
        </w:rPr>
        <w:t>The</w:t>
      </w:r>
      <w:r w:rsidR="007E014E">
        <w:rPr>
          <w:lang w:val="en-GB"/>
        </w:rPr>
        <w:t xml:space="preserve"> determination of frequency of exceedance curves for hazards will require input from (several) subject matter experts on the respective hazards. Moreover, it is a well-known problem that the amount of data particularly on rare, high amplitude hazard events is often severely limited. </w:t>
      </w:r>
      <w:r w:rsidR="00061343">
        <w:rPr>
          <w:lang w:val="en-GB"/>
        </w:rPr>
        <w:t>C</w:t>
      </w:r>
      <w:r w:rsidR="00061343" w:rsidRPr="008B3002">
        <w:rPr>
          <w:lang w:val="en-GB"/>
        </w:rPr>
        <w:t xml:space="preserve">urrent operating experience and knowledge </w:t>
      </w:r>
      <w:r w:rsidR="00061343">
        <w:rPr>
          <w:lang w:val="en-GB"/>
        </w:rPr>
        <w:t>often</w:t>
      </w:r>
      <w:r w:rsidR="00061343" w:rsidRPr="008B3002">
        <w:rPr>
          <w:lang w:val="en-GB"/>
        </w:rPr>
        <w:t xml:space="preserve"> limits frequency estimates for single events and phenomena to values in the range of 1 </w:t>
      </w:r>
      <w:r w:rsidR="00061343">
        <w:rPr>
          <w:lang w:val="en-GB"/>
        </w:rPr>
        <w:t>10</w:t>
      </w:r>
      <w:r w:rsidR="00061343" w:rsidRPr="00C70893">
        <w:rPr>
          <w:vertAlign w:val="superscript"/>
          <w:lang w:val="en-GB"/>
        </w:rPr>
        <w:t>-4</w:t>
      </w:r>
      <w:r w:rsidR="00061343" w:rsidRPr="008B3002">
        <w:rPr>
          <w:lang w:val="en-GB"/>
        </w:rPr>
        <w:t xml:space="preserve"> to 1 </w:t>
      </w:r>
      <w:r w:rsidR="00061343">
        <w:rPr>
          <w:lang w:val="en-GB"/>
        </w:rPr>
        <w:t>10</w:t>
      </w:r>
      <w:r w:rsidR="00061343" w:rsidRPr="00C70893">
        <w:rPr>
          <w:vertAlign w:val="superscript"/>
          <w:lang w:val="en-GB"/>
        </w:rPr>
        <w:t>-7</w:t>
      </w:r>
      <w:r w:rsidR="005262CB">
        <w:rPr>
          <w:lang w:val="en-GB"/>
        </w:rPr>
        <w:t>/a</w:t>
      </w:r>
      <w:r w:rsidR="00061343" w:rsidRPr="008B3002">
        <w:rPr>
          <w:lang w:val="en-GB"/>
        </w:rPr>
        <w:t xml:space="preserve">. Using statistical methods like extreme value statistics to extend limited data far outside of the reference time frame is </w:t>
      </w:r>
      <w:r w:rsidR="00061343" w:rsidRPr="00E20701">
        <w:rPr>
          <w:lang w:val="en-GB"/>
        </w:rPr>
        <w:t xml:space="preserve">fraught with large uncertainties and </w:t>
      </w:r>
      <w:r w:rsidR="00061343">
        <w:rPr>
          <w:lang w:val="en-GB"/>
        </w:rPr>
        <w:t>might</w:t>
      </w:r>
      <w:r w:rsidR="00061343" w:rsidRPr="00E20701">
        <w:rPr>
          <w:lang w:val="en-GB"/>
        </w:rPr>
        <w:t xml:space="preserve"> produce arbitrary results. </w:t>
      </w:r>
      <w:r w:rsidR="00061343">
        <w:rPr>
          <w:lang w:val="en-GB"/>
        </w:rPr>
        <w:t>Such extensions by several orders of magnitude are</w:t>
      </w:r>
      <w:r w:rsidR="00061343" w:rsidRPr="00CC05F1">
        <w:rPr>
          <w:lang w:val="en-GB"/>
        </w:rPr>
        <w:t xml:space="preserve"> therefore not encouraged.</w:t>
      </w:r>
      <w:r w:rsidR="00061343">
        <w:rPr>
          <w:lang w:val="en-GB"/>
        </w:rPr>
        <w:t xml:space="preserve"> Instead, available data for the site have to be completed by using regional data and by evaluating historical data or paleogeological information. Since rare mechanisms and phenomena, which could result in severe hazard impacts, might be missing from the available observations altogether, these should be complemented by investigations of such potential mechanism and phenomena. These investigations will often require dedicated simulation models, calculations or expert judgement.</w:t>
      </w:r>
      <w:r w:rsidR="00F9328E">
        <w:rPr>
          <w:lang w:val="en-GB"/>
        </w:rPr>
        <w:t xml:space="preserve"> </w:t>
      </w:r>
      <w:r w:rsidR="00F9328E">
        <w:rPr>
          <w:lang w:val="en-GB"/>
        </w:rPr>
        <w:tab/>
      </w:r>
      <w:r w:rsidR="00F9328E">
        <w:rPr>
          <w:lang w:val="en-GB"/>
        </w:rPr>
        <w:br/>
        <w:t>PSA analysts should decide on the methods of investigation and the resource</w:t>
      </w:r>
      <w:r w:rsidR="00A9687A">
        <w:rPr>
          <w:lang w:val="en-GB"/>
        </w:rPr>
        <w:t>s</w:t>
      </w:r>
      <w:r w:rsidR="00F9328E">
        <w:rPr>
          <w:lang w:val="en-GB"/>
        </w:rPr>
        <w:t xml:space="preserve"> dedicated to that based on the available data (for the site), availability </w:t>
      </w:r>
      <w:r w:rsidR="00A9687A">
        <w:rPr>
          <w:lang w:val="en-GB"/>
        </w:rPr>
        <w:t>of</w:t>
      </w:r>
      <w:r w:rsidR="00F9328E">
        <w:rPr>
          <w:lang w:val="en-GB"/>
        </w:rPr>
        <w:t xml:space="preserve"> simulation models and </w:t>
      </w:r>
      <w:r w:rsidR="00A9687A">
        <w:rPr>
          <w:lang w:val="en-GB"/>
        </w:rPr>
        <w:t xml:space="preserve">of </w:t>
      </w:r>
      <w:r w:rsidR="00F9328E">
        <w:rPr>
          <w:lang w:val="en-GB"/>
        </w:rPr>
        <w:t>expertise while</w:t>
      </w:r>
      <w:r w:rsidR="00A9687A">
        <w:rPr>
          <w:lang w:val="en-GB"/>
        </w:rPr>
        <w:t xml:space="preserve"> considering the level of uncertainty in available hazard characterizations, the contribution to the overall risk and the added value that could be reached by a more in-depth investigation.</w:t>
      </w:r>
    </w:p>
    <w:p w:rsidR="00067EAC" w:rsidRDefault="00067EAC" w:rsidP="00061343">
      <w:pPr>
        <w:rPr>
          <w:lang w:val="en-GB"/>
        </w:rPr>
      </w:pPr>
    </w:p>
    <w:p w:rsidR="000F60F4" w:rsidRDefault="000F60F4" w:rsidP="006479BB">
      <w:pPr>
        <w:rPr>
          <w:lang w:val="en-GB"/>
        </w:rPr>
      </w:pPr>
      <w:r>
        <w:rPr>
          <w:lang w:val="en-GB"/>
        </w:rPr>
        <w:t xml:space="preserve">One essential step after </w:t>
      </w:r>
      <w:r w:rsidR="00A30BB4">
        <w:rPr>
          <w:lang w:val="en-GB"/>
        </w:rPr>
        <w:t xml:space="preserve">the </w:t>
      </w:r>
      <w:r>
        <w:rPr>
          <w:lang w:val="en-GB"/>
        </w:rPr>
        <w:t>determination of frequency of exceedance curves (with respect of characteristic hazard impact parameters like e.g. peak ground acceleration or flooding height) is the subdivision into more specific hazard scenario</w:t>
      </w:r>
      <w:r w:rsidR="00A30BB4">
        <w:rPr>
          <w:lang w:val="en-GB"/>
        </w:rPr>
        <w:t>s</w:t>
      </w:r>
      <w:r>
        <w:rPr>
          <w:lang w:val="en-GB"/>
        </w:rPr>
        <w:t xml:space="preserve"> </w:t>
      </w:r>
      <w:r w:rsidR="00D91FCE">
        <w:rPr>
          <w:lang w:val="en-GB"/>
        </w:rPr>
        <w:t>based on the characteristics of the plant</w:t>
      </w:r>
      <w:r>
        <w:rPr>
          <w:lang w:val="en-GB"/>
        </w:rPr>
        <w:t xml:space="preserve">. </w:t>
      </w:r>
      <w:r w:rsidR="007B71AB">
        <w:rPr>
          <w:lang w:val="en-GB"/>
        </w:rPr>
        <w:t xml:space="preserve">The </w:t>
      </w:r>
      <w:r w:rsidR="007B71AB" w:rsidRPr="005D4428">
        <w:rPr>
          <w:rFonts w:eastAsiaTheme="minorHAnsi"/>
          <w:szCs w:val="18"/>
          <w:lang w:val="en-GB" w:eastAsia="en-US"/>
        </w:rPr>
        <w:t>p</w:t>
      </w:r>
      <w:r w:rsidR="007B71AB">
        <w:rPr>
          <w:rFonts w:eastAsiaTheme="minorHAnsi"/>
          <w:szCs w:val="18"/>
          <w:lang w:val="en-GB" w:eastAsia="en-US"/>
        </w:rPr>
        <w:t>a</w:t>
      </w:r>
      <w:r w:rsidR="007B71AB" w:rsidRPr="005D4428">
        <w:rPr>
          <w:rFonts w:eastAsiaTheme="minorHAnsi"/>
          <w:szCs w:val="18"/>
          <w:lang w:val="en-GB" w:eastAsia="en-US"/>
        </w:rPr>
        <w:t>rti</w:t>
      </w:r>
      <w:r w:rsidR="00622ACF">
        <w:rPr>
          <w:rFonts w:eastAsiaTheme="minorHAnsi"/>
          <w:szCs w:val="18"/>
          <w:lang w:val="en-GB" w:eastAsia="en-US"/>
        </w:rPr>
        <w:t>ti</w:t>
      </w:r>
      <w:r w:rsidR="007B71AB" w:rsidRPr="005D4428">
        <w:rPr>
          <w:rFonts w:eastAsiaTheme="minorHAnsi"/>
          <w:szCs w:val="18"/>
          <w:lang w:val="en-GB" w:eastAsia="en-US"/>
        </w:rPr>
        <w:t xml:space="preserve">oning should be informed by </w:t>
      </w:r>
      <w:r w:rsidR="007B71AB">
        <w:rPr>
          <w:rFonts w:eastAsiaTheme="minorHAnsi"/>
          <w:szCs w:val="18"/>
          <w:lang w:val="en-GB" w:eastAsia="en-US"/>
        </w:rPr>
        <w:t xml:space="preserve">plant response and hazard </w:t>
      </w:r>
      <w:r w:rsidR="007B71AB" w:rsidRPr="005D4428">
        <w:rPr>
          <w:rFonts w:eastAsiaTheme="minorHAnsi"/>
          <w:szCs w:val="18"/>
          <w:lang w:val="en-GB" w:eastAsia="en-US"/>
        </w:rPr>
        <w:t>impact analysis, design values of SSC regarding different impacts, deterministic assessment results, other hazard PSA results, etc. as appropriate.</w:t>
      </w:r>
    </w:p>
    <w:p w:rsidR="00067EAC" w:rsidRDefault="00067EAC" w:rsidP="00D91FCE">
      <w:pPr>
        <w:autoSpaceDE w:val="0"/>
        <w:autoSpaceDN w:val="0"/>
        <w:adjustRightInd w:val="0"/>
        <w:rPr>
          <w:rFonts w:eastAsiaTheme="minorHAnsi"/>
          <w:szCs w:val="18"/>
          <w:lang w:val="en-GB" w:eastAsia="en-US"/>
        </w:rPr>
      </w:pPr>
    </w:p>
    <w:p w:rsidR="007A3BB0" w:rsidRDefault="007A3BB0" w:rsidP="00D91FCE">
      <w:pPr>
        <w:autoSpaceDE w:val="0"/>
        <w:autoSpaceDN w:val="0"/>
        <w:adjustRightInd w:val="0"/>
        <w:rPr>
          <w:rFonts w:eastAsiaTheme="minorHAnsi"/>
          <w:szCs w:val="18"/>
          <w:lang w:val="en-GB" w:eastAsia="en-US"/>
        </w:rPr>
      </w:pPr>
      <w:r>
        <w:rPr>
          <w:rFonts w:eastAsiaTheme="minorHAnsi"/>
          <w:szCs w:val="18"/>
          <w:lang w:val="en-GB" w:eastAsia="en-US"/>
        </w:rPr>
        <w:t>The subdivision</w:t>
      </w:r>
      <w:r w:rsidR="007B71AB">
        <w:rPr>
          <w:rFonts w:eastAsiaTheme="minorHAnsi"/>
          <w:szCs w:val="18"/>
          <w:lang w:val="en-GB" w:eastAsia="en-US"/>
        </w:rPr>
        <w:t xml:space="preserve">s need to </w:t>
      </w:r>
      <w:r>
        <w:rPr>
          <w:rFonts w:eastAsiaTheme="minorHAnsi"/>
          <w:szCs w:val="18"/>
          <w:lang w:val="en-GB" w:eastAsia="en-US"/>
        </w:rPr>
        <w:t>be made in light of important thresholds of the plant with regard to the impact parameter. Important limiting thresholds for screening will be the following</w:t>
      </w:r>
      <w:r w:rsidR="00CD6E0B">
        <w:rPr>
          <w:rFonts w:eastAsiaTheme="minorHAnsi"/>
          <w:szCs w:val="18"/>
          <w:lang w:val="en-GB" w:eastAsia="en-US"/>
        </w:rPr>
        <w:t>:</w:t>
      </w:r>
    </w:p>
    <w:p w:rsidR="007A3BB0" w:rsidRDefault="00847EF7" w:rsidP="00E62976">
      <w:pPr>
        <w:numPr>
          <w:ilvl w:val="0"/>
          <w:numId w:val="80"/>
        </w:numPr>
        <w:rPr>
          <w:lang w:val="en-GB"/>
        </w:rPr>
      </w:pPr>
      <w:r>
        <w:rPr>
          <w:lang w:val="en-GB"/>
        </w:rPr>
        <w:t>Minimal hazard impact magnitude with challenges to plant safety (trigger for an AOO type of event)</w:t>
      </w:r>
      <w:r w:rsidR="00067EAC">
        <w:rPr>
          <w:lang w:val="en-GB"/>
        </w:rPr>
        <w:t>,</w:t>
      </w:r>
    </w:p>
    <w:p w:rsidR="007A3BB0" w:rsidRDefault="007A3BB0" w:rsidP="00E62976">
      <w:pPr>
        <w:numPr>
          <w:ilvl w:val="0"/>
          <w:numId w:val="80"/>
        </w:numPr>
        <w:rPr>
          <w:lang w:val="en-GB"/>
        </w:rPr>
      </w:pPr>
      <w:r>
        <w:rPr>
          <w:lang w:val="en-GB"/>
        </w:rPr>
        <w:t xml:space="preserve">Design basis </w:t>
      </w:r>
      <w:r w:rsidR="00847EF7">
        <w:rPr>
          <w:lang w:val="en-GB"/>
        </w:rPr>
        <w:t>hazard impact magnitude for design basis accident conditions</w:t>
      </w:r>
      <w:r w:rsidR="00067EAC">
        <w:rPr>
          <w:lang w:val="en-GB"/>
        </w:rPr>
        <w:t>,</w:t>
      </w:r>
    </w:p>
    <w:p w:rsidR="007A3BB0" w:rsidRDefault="00847EF7" w:rsidP="00E62976">
      <w:pPr>
        <w:numPr>
          <w:ilvl w:val="0"/>
          <w:numId w:val="80"/>
        </w:numPr>
        <w:rPr>
          <w:lang w:val="en-GB"/>
        </w:rPr>
      </w:pPr>
      <w:r>
        <w:rPr>
          <w:lang w:val="en-GB"/>
        </w:rPr>
        <w:t>(Maximum) hazard impact magnitude assumed for design extension conditions</w:t>
      </w:r>
      <w:r w:rsidR="00067EAC">
        <w:rPr>
          <w:lang w:val="en-GB"/>
        </w:rPr>
        <w:t>,</w:t>
      </w:r>
    </w:p>
    <w:p w:rsidR="00847EF7" w:rsidRDefault="00847EF7" w:rsidP="00E62976">
      <w:pPr>
        <w:numPr>
          <w:ilvl w:val="0"/>
          <w:numId w:val="80"/>
        </w:numPr>
        <w:rPr>
          <w:lang w:val="en-GB"/>
        </w:rPr>
      </w:pPr>
      <w:r>
        <w:rPr>
          <w:lang w:val="en-GB"/>
        </w:rPr>
        <w:t>Hazard impact magnitude with an assumed cliff-edge to catastrophic failure</w:t>
      </w:r>
      <w:r w:rsidR="00067EAC">
        <w:rPr>
          <w:lang w:val="en-GB"/>
        </w:rPr>
        <w:t>.</w:t>
      </w:r>
    </w:p>
    <w:p w:rsidR="00067EAC" w:rsidRDefault="00067EAC" w:rsidP="005079A3">
      <w:pPr>
        <w:rPr>
          <w:lang w:val="en-GB"/>
        </w:rPr>
      </w:pPr>
    </w:p>
    <w:p w:rsidR="007B71AB" w:rsidRDefault="007B71AB" w:rsidP="00D91FCE">
      <w:pPr>
        <w:autoSpaceDE w:val="0"/>
        <w:autoSpaceDN w:val="0"/>
        <w:adjustRightInd w:val="0"/>
        <w:rPr>
          <w:rFonts w:eastAsiaTheme="minorHAnsi"/>
          <w:szCs w:val="18"/>
          <w:lang w:val="en-GB" w:eastAsia="en-US"/>
        </w:rPr>
      </w:pPr>
      <w:r>
        <w:rPr>
          <w:rFonts w:eastAsiaTheme="minorHAnsi"/>
          <w:szCs w:val="18"/>
          <w:lang w:val="en-GB" w:eastAsia="en-US"/>
        </w:rPr>
        <w:t>Usually, (single) external hazard impact is characterized by a single impact parameter. If, however, a set of impact parameters needs to be used (e.g. precipitation, wind speed, humidity, etc. for extreme weather), this subdivision needs to be made on the set of relevant impact parameters.</w:t>
      </w:r>
    </w:p>
    <w:p w:rsidR="00067EAC" w:rsidRDefault="00067EAC" w:rsidP="00D91FCE">
      <w:pPr>
        <w:autoSpaceDE w:val="0"/>
        <w:autoSpaceDN w:val="0"/>
        <w:adjustRightInd w:val="0"/>
        <w:rPr>
          <w:rFonts w:eastAsiaTheme="minorHAnsi"/>
          <w:szCs w:val="18"/>
          <w:lang w:val="en-GB" w:eastAsia="en-US"/>
        </w:rPr>
      </w:pPr>
    </w:p>
    <w:p w:rsidR="00D3200A" w:rsidRDefault="00D91FCE" w:rsidP="00D91FCE">
      <w:pPr>
        <w:autoSpaceDE w:val="0"/>
        <w:autoSpaceDN w:val="0"/>
        <w:adjustRightInd w:val="0"/>
        <w:rPr>
          <w:rFonts w:eastAsiaTheme="minorHAnsi"/>
          <w:szCs w:val="18"/>
          <w:lang w:val="en-GB" w:eastAsia="en-US"/>
        </w:rPr>
      </w:pPr>
      <w:r w:rsidRPr="005D4428">
        <w:rPr>
          <w:rFonts w:eastAsiaTheme="minorHAnsi"/>
          <w:szCs w:val="18"/>
          <w:lang w:val="en-GB" w:eastAsia="en-US"/>
        </w:rPr>
        <w:t xml:space="preserve">As an example </w:t>
      </w:r>
      <w:r w:rsidR="00067EAC">
        <w:rPr>
          <w:rFonts w:eastAsiaTheme="minorHAnsi"/>
          <w:szCs w:val="18"/>
          <w:lang w:val="en-GB" w:eastAsia="en-US"/>
        </w:rPr>
        <w:t>is</w:t>
      </w:r>
      <w:r w:rsidR="00067EAC" w:rsidRPr="005D4428">
        <w:rPr>
          <w:rFonts w:eastAsiaTheme="minorHAnsi"/>
          <w:szCs w:val="18"/>
          <w:lang w:val="en-GB" w:eastAsia="en-US"/>
        </w:rPr>
        <w:t xml:space="preserve"> </w:t>
      </w:r>
      <w:r w:rsidRPr="005D4428">
        <w:rPr>
          <w:rFonts w:eastAsiaTheme="minorHAnsi"/>
          <w:szCs w:val="18"/>
          <w:lang w:val="en-GB" w:eastAsia="en-US"/>
        </w:rPr>
        <w:t>discuss</w:t>
      </w:r>
      <w:r w:rsidR="00067EAC">
        <w:rPr>
          <w:rFonts w:eastAsiaTheme="minorHAnsi"/>
          <w:szCs w:val="18"/>
          <w:lang w:val="en-GB" w:eastAsia="en-US"/>
        </w:rPr>
        <w:t>ed s</w:t>
      </w:r>
      <w:r w:rsidRPr="005D4428">
        <w:rPr>
          <w:rFonts w:eastAsiaTheme="minorHAnsi"/>
          <w:szCs w:val="18"/>
          <w:lang w:val="en-GB" w:eastAsia="en-US"/>
        </w:rPr>
        <w:t>evere weather impact due to heavy snow. Usually the plant will cope with a certain snow weight on buildings and snow levels on the plant site without significant impairments to safety systems</w:t>
      </w:r>
      <w:r w:rsidR="00847EF7">
        <w:rPr>
          <w:rFonts w:eastAsiaTheme="minorHAnsi"/>
          <w:szCs w:val="18"/>
          <w:lang w:val="en-GB" w:eastAsia="en-US"/>
        </w:rPr>
        <w:t xml:space="preserve"> or adverse effects on operational systems, no event is triggered</w:t>
      </w:r>
      <w:r w:rsidRPr="005D4428">
        <w:rPr>
          <w:rFonts w:eastAsiaTheme="minorHAnsi"/>
          <w:szCs w:val="18"/>
          <w:lang w:val="en-GB" w:eastAsia="en-US"/>
        </w:rPr>
        <w:t>.</w:t>
      </w:r>
      <w:r w:rsidR="00114F3C">
        <w:rPr>
          <w:rFonts w:eastAsiaTheme="minorHAnsi"/>
          <w:szCs w:val="18"/>
          <w:lang w:val="en-GB" w:eastAsia="en-US"/>
        </w:rPr>
        <w:t xml:space="preserve"> This relates to the first alternative, the risk is covered by the general risk of the plant. In case of more severe snow up to design basis limits, a shutdown and likely </w:t>
      </w:r>
      <w:r w:rsidRPr="005D4428">
        <w:rPr>
          <w:rFonts w:eastAsiaTheme="minorHAnsi"/>
          <w:szCs w:val="18"/>
          <w:lang w:val="en-GB" w:eastAsia="en-US"/>
        </w:rPr>
        <w:t xml:space="preserve">loss of offsite power will </w:t>
      </w:r>
      <w:r w:rsidR="00A30BB4">
        <w:rPr>
          <w:rFonts w:eastAsiaTheme="minorHAnsi"/>
          <w:szCs w:val="18"/>
          <w:lang w:val="en-GB" w:eastAsia="en-US"/>
        </w:rPr>
        <w:t xml:space="preserve">be </w:t>
      </w:r>
      <w:r w:rsidRPr="005D4428">
        <w:rPr>
          <w:rFonts w:eastAsiaTheme="minorHAnsi"/>
          <w:szCs w:val="18"/>
          <w:lang w:val="en-GB" w:eastAsia="en-US"/>
        </w:rPr>
        <w:t>the main probable consequence of the scenario</w:t>
      </w:r>
      <w:r w:rsidR="00114F3C">
        <w:rPr>
          <w:rFonts w:eastAsiaTheme="minorHAnsi"/>
          <w:szCs w:val="18"/>
          <w:lang w:val="en-GB" w:eastAsia="en-US"/>
        </w:rPr>
        <w:t xml:space="preserve">. For beyond design basis snow loads, safety-important equipment will be rendered unavailable, for example </w:t>
      </w:r>
      <w:r w:rsidRPr="005D4428">
        <w:rPr>
          <w:rFonts w:eastAsiaTheme="minorHAnsi"/>
          <w:szCs w:val="18"/>
          <w:lang w:val="en-GB" w:eastAsia="en-US"/>
        </w:rPr>
        <w:t>(e.g. EDG air intakes covered by snow)</w:t>
      </w:r>
      <w:r w:rsidR="00A9687A">
        <w:rPr>
          <w:rFonts w:eastAsiaTheme="minorHAnsi"/>
          <w:szCs w:val="18"/>
          <w:lang w:val="en-GB" w:eastAsia="en-US"/>
        </w:rPr>
        <w:t>,</w:t>
      </w:r>
      <w:r w:rsidR="00114F3C">
        <w:rPr>
          <w:rFonts w:eastAsiaTheme="minorHAnsi"/>
          <w:szCs w:val="18"/>
          <w:lang w:val="en-GB" w:eastAsia="en-US"/>
        </w:rPr>
        <w:t xml:space="preserve"> and emergency measures might no longer be possible. Based on plant response analysis, a maximum impact level needs to be determined</w:t>
      </w:r>
      <w:r w:rsidR="00114F3C">
        <w:rPr>
          <w:rStyle w:val="Appelnotedebasdep"/>
          <w:rFonts w:eastAsiaTheme="minorHAnsi"/>
          <w:szCs w:val="18"/>
          <w:lang w:val="en-GB" w:eastAsia="en-US"/>
        </w:rPr>
        <w:footnoteReference w:id="17"/>
      </w:r>
      <w:r w:rsidR="00114F3C">
        <w:rPr>
          <w:rFonts w:eastAsiaTheme="minorHAnsi"/>
          <w:szCs w:val="18"/>
          <w:lang w:val="en-GB" w:eastAsia="en-US"/>
        </w:rPr>
        <w:t xml:space="preserve">. Excessive snow loads could </w:t>
      </w:r>
      <w:r w:rsidR="007B71AB">
        <w:rPr>
          <w:rFonts w:eastAsiaTheme="minorHAnsi"/>
          <w:szCs w:val="18"/>
          <w:lang w:val="en-GB" w:eastAsia="en-US"/>
        </w:rPr>
        <w:t>potentially</w:t>
      </w:r>
      <w:r w:rsidR="00114F3C">
        <w:rPr>
          <w:rFonts w:eastAsiaTheme="minorHAnsi"/>
          <w:szCs w:val="18"/>
          <w:lang w:val="en-GB" w:eastAsia="en-US"/>
        </w:rPr>
        <w:t xml:space="preserve"> lead to catastrophic building collapse (e.g. th</w:t>
      </w:r>
      <w:r w:rsidR="007B71AB">
        <w:rPr>
          <w:rFonts w:eastAsiaTheme="minorHAnsi"/>
          <w:szCs w:val="18"/>
          <w:lang w:val="en-GB" w:eastAsia="en-US"/>
        </w:rPr>
        <w:t>e reactor building) with catastrophic off-site</w:t>
      </w:r>
      <w:r w:rsidR="00114F3C">
        <w:rPr>
          <w:rFonts w:eastAsiaTheme="minorHAnsi"/>
          <w:szCs w:val="18"/>
          <w:lang w:val="en-GB" w:eastAsia="en-US"/>
        </w:rPr>
        <w:t xml:space="preserve"> consequences. </w:t>
      </w:r>
    </w:p>
    <w:p w:rsidR="0061672F" w:rsidRDefault="0061672F" w:rsidP="00D91FCE">
      <w:pPr>
        <w:autoSpaceDE w:val="0"/>
        <w:autoSpaceDN w:val="0"/>
        <w:adjustRightInd w:val="0"/>
        <w:rPr>
          <w:rFonts w:eastAsiaTheme="minorHAnsi"/>
          <w:szCs w:val="18"/>
          <w:lang w:val="en-GB" w:eastAsia="en-US"/>
        </w:rPr>
      </w:pPr>
    </w:p>
    <w:p w:rsidR="007B71AB" w:rsidRDefault="007B71AB" w:rsidP="00D91FCE">
      <w:pPr>
        <w:autoSpaceDE w:val="0"/>
        <w:autoSpaceDN w:val="0"/>
        <w:adjustRightInd w:val="0"/>
        <w:rPr>
          <w:rFonts w:eastAsiaTheme="minorHAnsi"/>
          <w:szCs w:val="18"/>
          <w:lang w:val="en-GB" w:eastAsia="en-US"/>
        </w:rPr>
      </w:pPr>
      <w:r>
        <w:rPr>
          <w:rFonts w:eastAsiaTheme="minorHAnsi"/>
          <w:szCs w:val="18"/>
          <w:lang w:val="en-GB" w:eastAsia="en-US"/>
        </w:rPr>
        <w:t xml:space="preserve">Based on the frequency of </w:t>
      </w:r>
      <w:r w:rsidR="00A30BB4">
        <w:rPr>
          <w:rFonts w:eastAsiaTheme="minorHAnsi"/>
          <w:szCs w:val="18"/>
          <w:lang w:val="en-GB" w:eastAsia="en-US"/>
        </w:rPr>
        <w:t xml:space="preserve">the </w:t>
      </w:r>
      <w:r>
        <w:rPr>
          <w:rFonts w:eastAsiaTheme="minorHAnsi"/>
          <w:szCs w:val="18"/>
          <w:lang w:val="en-GB" w:eastAsia="en-US"/>
        </w:rPr>
        <w:t>occurrence curve (often a cumulative distribution), a bounding estimate frequency for the respective subset has to be determined. The specific hazard scenario is then described by enveloping impact parameters and the assigned frequency value.</w:t>
      </w:r>
    </w:p>
    <w:p w:rsidR="0061672F" w:rsidRDefault="0061672F" w:rsidP="00D91FCE">
      <w:pPr>
        <w:autoSpaceDE w:val="0"/>
        <w:autoSpaceDN w:val="0"/>
        <w:adjustRightInd w:val="0"/>
        <w:rPr>
          <w:rFonts w:eastAsiaTheme="minorHAnsi"/>
          <w:szCs w:val="18"/>
          <w:lang w:val="en-GB" w:eastAsia="en-US"/>
        </w:rPr>
      </w:pPr>
    </w:p>
    <w:p w:rsidR="00D3200A" w:rsidRDefault="00B4193E" w:rsidP="00D91FCE">
      <w:pPr>
        <w:autoSpaceDE w:val="0"/>
        <w:autoSpaceDN w:val="0"/>
        <w:adjustRightInd w:val="0"/>
        <w:rPr>
          <w:rFonts w:eastAsiaTheme="minorHAnsi"/>
          <w:szCs w:val="18"/>
          <w:lang w:val="en-GB" w:eastAsia="en-US"/>
        </w:rPr>
      </w:pPr>
      <w:r>
        <w:rPr>
          <w:rFonts w:eastAsiaTheme="minorHAnsi"/>
          <w:szCs w:val="18"/>
          <w:lang w:val="en-GB" w:eastAsia="en-US"/>
        </w:rPr>
        <w:t>The</w:t>
      </w:r>
      <w:r w:rsidR="00D3200A">
        <w:rPr>
          <w:rFonts w:eastAsiaTheme="minorHAnsi"/>
          <w:szCs w:val="18"/>
          <w:lang w:val="en-GB" w:eastAsia="en-US"/>
        </w:rPr>
        <w:t xml:space="preserve"> bulk of the frequency distribution will usually fall within the first two classes or even below. Moreover, these two classes can often be screened out for further detailed analyses by (cf. section </w:t>
      </w:r>
      <w:r w:rsidR="00125AF4">
        <w:rPr>
          <w:rFonts w:eastAsiaTheme="minorHAnsi"/>
          <w:szCs w:val="18"/>
          <w:lang w:val="en-GB" w:eastAsia="en-US"/>
        </w:rPr>
        <w:fldChar w:fldCharType="begin"/>
      </w:r>
      <w:r w:rsidR="00D3200A">
        <w:rPr>
          <w:rFonts w:eastAsiaTheme="minorHAnsi"/>
          <w:szCs w:val="18"/>
          <w:lang w:val="en-GB" w:eastAsia="en-US"/>
        </w:rPr>
        <w:instrText xml:space="preserve"> REF _Ref445029148 \r \h </w:instrText>
      </w:r>
      <w:r w:rsidR="00125AF4">
        <w:rPr>
          <w:rFonts w:eastAsiaTheme="minorHAnsi"/>
          <w:szCs w:val="18"/>
          <w:lang w:val="en-GB" w:eastAsia="en-US"/>
        </w:rPr>
      </w:r>
      <w:r w:rsidR="00125AF4">
        <w:rPr>
          <w:rFonts w:eastAsiaTheme="minorHAnsi"/>
          <w:szCs w:val="18"/>
          <w:lang w:val="en-GB" w:eastAsia="en-US"/>
        </w:rPr>
        <w:fldChar w:fldCharType="separate"/>
      </w:r>
      <w:r w:rsidR="00E62976">
        <w:rPr>
          <w:rFonts w:eastAsiaTheme="minorHAnsi"/>
          <w:szCs w:val="18"/>
          <w:lang w:val="en-GB" w:eastAsia="en-US"/>
        </w:rPr>
        <w:t>6.2</w:t>
      </w:r>
      <w:r w:rsidR="00125AF4">
        <w:rPr>
          <w:rFonts w:eastAsiaTheme="minorHAnsi"/>
          <w:szCs w:val="18"/>
          <w:lang w:val="en-GB" w:eastAsia="en-US"/>
        </w:rPr>
        <w:fldChar w:fldCharType="end"/>
      </w:r>
      <w:r w:rsidR="00D3200A">
        <w:rPr>
          <w:rFonts w:eastAsiaTheme="minorHAnsi"/>
          <w:szCs w:val="18"/>
          <w:lang w:val="en-GB" w:eastAsia="en-US"/>
        </w:rPr>
        <w:t>) the following criteria</w:t>
      </w:r>
      <w:r w:rsidR="008D7E57">
        <w:rPr>
          <w:rFonts w:eastAsiaTheme="minorHAnsi"/>
          <w:szCs w:val="18"/>
          <w:lang w:val="en-GB" w:eastAsia="en-US"/>
        </w:rPr>
        <w:t>:</w:t>
      </w:r>
    </w:p>
    <w:p w:rsidR="00D3200A" w:rsidRDefault="00D3200A" w:rsidP="00E62976">
      <w:pPr>
        <w:numPr>
          <w:ilvl w:val="0"/>
          <w:numId w:val="81"/>
        </w:numPr>
        <w:rPr>
          <w:lang w:val="en-GB"/>
        </w:rPr>
      </w:pPr>
      <w:r w:rsidRPr="00C70893">
        <w:rPr>
          <w:lang w:val="en-GB"/>
        </w:rPr>
        <w:t>The event poses no challenge to safety systems</w:t>
      </w:r>
      <w:r w:rsidR="0061672F">
        <w:rPr>
          <w:lang w:val="en-GB"/>
        </w:rPr>
        <w:t>,</w:t>
      </w:r>
    </w:p>
    <w:p w:rsidR="00D3200A" w:rsidRDefault="00D3200A" w:rsidP="00E62976">
      <w:pPr>
        <w:numPr>
          <w:ilvl w:val="0"/>
          <w:numId w:val="81"/>
        </w:numPr>
        <w:rPr>
          <w:lang w:val="en-GB"/>
        </w:rPr>
      </w:pPr>
      <w:r w:rsidRPr="00C70893">
        <w:rPr>
          <w:lang w:val="en-GB"/>
        </w:rPr>
        <w:t>The event is bounded by another initiating even</w:t>
      </w:r>
      <w:r w:rsidR="0061672F">
        <w:rPr>
          <w:lang w:val="en-GB"/>
        </w:rPr>
        <w:t>t,</w:t>
      </w:r>
    </w:p>
    <w:p w:rsidR="00A61A4B" w:rsidRDefault="00A61A4B" w:rsidP="00E62976">
      <w:pPr>
        <w:numPr>
          <w:ilvl w:val="0"/>
          <w:numId w:val="81"/>
        </w:numPr>
        <w:rPr>
          <w:lang w:val="en-GB"/>
        </w:rPr>
      </w:pPr>
      <w:r>
        <w:rPr>
          <w:lang w:val="en-GB"/>
        </w:rPr>
        <w:t>The scenario is already captured in the PSA model as an intermediary state</w:t>
      </w:r>
      <w:r>
        <w:rPr>
          <w:rStyle w:val="Appelnotedebasdep"/>
          <w:lang w:val="en-GB"/>
        </w:rPr>
        <w:footnoteReference w:id="18"/>
      </w:r>
      <w:r w:rsidR="0094591E">
        <w:rPr>
          <w:lang w:val="en-GB"/>
        </w:rPr>
        <w:t>.</w:t>
      </w:r>
    </w:p>
    <w:p w:rsidR="00D3200A" w:rsidRDefault="00D3200A" w:rsidP="00D91FCE">
      <w:pPr>
        <w:autoSpaceDE w:val="0"/>
        <w:autoSpaceDN w:val="0"/>
        <w:adjustRightInd w:val="0"/>
        <w:rPr>
          <w:rFonts w:eastAsiaTheme="minorHAnsi"/>
          <w:szCs w:val="18"/>
          <w:lang w:val="en-GB" w:eastAsia="en-US"/>
        </w:rPr>
      </w:pPr>
      <w:r>
        <w:rPr>
          <w:rFonts w:eastAsiaTheme="minorHAnsi"/>
          <w:szCs w:val="18"/>
          <w:lang w:val="en-GB" w:eastAsia="en-US"/>
        </w:rPr>
        <w:t>The group corresponding to impact magnitude related to a</w:t>
      </w:r>
      <w:r w:rsidR="00B60728">
        <w:rPr>
          <w:rFonts w:eastAsiaTheme="minorHAnsi"/>
          <w:szCs w:val="18"/>
          <w:lang w:val="en-GB" w:eastAsia="en-US"/>
        </w:rPr>
        <w:t xml:space="preserve"> catastrophic</w:t>
      </w:r>
      <w:r>
        <w:rPr>
          <w:rFonts w:eastAsiaTheme="minorHAnsi"/>
          <w:szCs w:val="18"/>
          <w:lang w:val="en-GB" w:eastAsia="en-US"/>
        </w:rPr>
        <w:t xml:space="preserve"> cliff-edge effect can often be screened </w:t>
      </w:r>
      <w:r w:rsidR="00B60728">
        <w:rPr>
          <w:rFonts w:eastAsiaTheme="minorHAnsi"/>
          <w:szCs w:val="18"/>
          <w:lang w:val="en-GB" w:eastAsia="en-US"/>
        </w:rPr>
        <w:t xml:space="preserve">out from further detailed analysis </w:t>
      </w:r>
      <w:r>
        <w:rPr>
          <w:rFonts w:eastAsiaTheme="minorHAnsi"/>
          <w:szCs w:val="18"/>
          <w:lang w:val="en-GB" w:eastAsia="en-US"/>
        </w:rPr>
        <w:t>because</w:t>
      </w:r>
      <w:r w:rsidR="00B60728">
        <w:rPr>
          <w:rFonts w:eastAsiaTheme="minorHAnsi"/>
          <w:szCs w:val="18"/>
          <w:lang w:val="en-GB" w:eastAsia="en-US"/>
        </w:rPr>
        <w:t>:</w:t>
      </w:r>
    </w:p>
    <w:p w:rsidR="00D3200A" w:rsidRDefault="00D3200A" w:rsidP="00E62976">
      <w:pPr>
        <w:numPr>
          <w:ilvl w:val="0"/>
          <w:numId w:val="82"/>
        </w:numPr>
        <w:rPr>
          <w:lang w:val="en-GB"/>
        </w:rPr>
      </w:pPr>
      <w:r>
        <w:rPr>
          <w:lang w:val="en-GB"/>
        </w:rPr>
        <w:t>Such hazard impact magnitudes are not physically possible for the hazard source under consideration</w:t>
      </w:r>
      <w:r w:rsidR="0061672F">
        <w:rPr>
          <w:lang w:val="en-GB"/>
        </w:rPr>
        <w:t>,</w:t>
      </w:r>
    </w:p>
    <w:p w:rsidR="00D3200A" w:rsidRDefault="00D3200A" w:rsidP="00E62976">
      <w:pPr>
        <w:numPr>
          <w:ilvl w:val="0"/>
          <w:numId w:val="82"/>
        </w:numPr>
        <w:rPr>
          <w:lang w:val="en-GB"/>
        </w:rPr>
      </w:pPr>
      <w:r>
        <w:rPr>
          <w:lang w:val="en-GB"/>
        </w:rPr>
        <w:t>Such hazard impact magnitudes are not applicable to the site</w:t>
      </w:r>
      <w:r w:rsidR="0061672F">
        <w:rPr>
          <w:lang w:val="en-GB"/>
        </w:rPr>
        <w:t>,</w:t>
      </w:r>
    </w:p>
    <w:p w:rsidR="00D3200A" w:rsidRDefault="00B60728" w:rsidP="00E62976">
      <w:pPr>
        <w:numPr>
          <w:ilvl w:val="0"/>
          <w:numId w:val="82"/>
        </w:numPr>
        <w:rPr>
          <w:lang w:val="en-GB"/>
        </w:rPr>
      </w:pPr>
      <w:r>
        <w:rPr>
          <w:lang w:val="en-GB"/>
        </w:rPr>
        <w:t>The estimated frequency for such hazard impact magnitudes is significantly below quantitative screening values and thresholds for practical elimination</w:t>
      </w:r>
      <w:r w:rsidR="00A30BB4">
        <w:rPr>
          <w:lang w:val="en-GB"/>
        </w:rPr>
        <w:t>.</w:t>
      </w:r>
    </w:p>
    <w:p w:rsidR="00D3200A" w:rsidRDefault="00A30BB4" w:rsidP="00D91FCE">
      <w:pPr>
        <w:autoSpaceDE w:val="0"/>
        <w:autoSpaceDN w:val="0"/>
        <w:adjustRightInd w:val="0"/>
        <w:rPr>
          <w:rFonts w:eastAsiaTheme="minorHAnsi"/>
          <w:szCs w:val="18"/>
          <w:lang w:val="en-GB" w:eastAsia="en-US"/>
        </w:rPr>
      </w:pPr>
      <w:r>
        <w:rPr>
          <w:rFonts w:eastAsiaTheme="minorHAnsi"/>
          <w:szCs w:val="18"/>
          <w:lang w:val="en-GB" w:eastAsia="en-US"/>
        </w:rPr>
        <w:t>It is</w:t>
      </w:r>
      <w:r w:rsidR="00F61B23">
        <w:rPr>
          <w:rFonts w:eastAsiaTheme="minorHAnsi"/>
          <w:szCs w:val="18"/>
          <w:lang w:val="en-GB" w:eastAsia="en-US"/>
        </w:rPr>
        <w:t xml:space="preserve"> emphasize</w:t>
      </w:r>
      <w:r>
        <w:rPr>
          <w:rFonts w:eastAsiaTheme="minorHAnsi"/>
          <w:szCs w:val="18"/>
          <w:lang w:val="en-GB" w:eastAsia="en-US"/>
        </w:rPr>
        <w:t>d</w:t>
      </w:r>
      <w:r w:rsidR="00F61B23">
        <w:rPr>
          <w:rFonts w:eastAsiaTheme="minorHAnsi"/>
          <w:szCs w:val="18"/>
          <w:lang w:val="en-GB" w:eastAsia="en-US"/>
        </w:rPr>
        <w:t xml:space="preserve"> that application of the latter criteri</w:t>
      </w:r>
      <w:r w:rsidR="00D37F9B">
        <w:rPr>
          <w:rFonts w:eastAsiaTheme="minorHAnsi"/>
          <w:szCs w:val="18"/>
          <w:lang w:val="en-GB" w:eastAsia="en-US"/>
        </w:rPr>
        <w:t>on</w:t>
      </w:r>
      <w:r w:rsidR="00F61B23">
        <w:rPr>
          <w:rFonts w:eastAsiaTheme="minorHAnsi"/>
          <w:szCs w:val="18"/>
          <w:lang w:val="en-GB" w:eastAsia="en-US"/>
        </w:rPr>
        <w:t xml:space="preserve"> includes these hazard scenarios into the overall PSA results.</w:t>
      </w:r>
    </w:p>
    <w:p w:rsidR="00D91FCE" w:rsidRDefault="00D91FCE" w:rsidP="006479BB">
      <w:pPr>
        <w:rPr>
          <w:lang w:val="en-GB"/>
        </w:rPr>
      </w:pPr>
    </w:p>
    <w:p w:rsidR="005A747B" w:rsidRPr="001B7918" w:rsidRDefault="00F61B23" w:rsidP="005079A3">
      <w:pPr>
        <w:rPr>
          <w:rFonts w:eastAsiaTheme="minorHAnsi"/>
          <w:szCs w:val="18"/>
          <w:lang w:val="en-GB" w:eastAsia="en-US"/>
        </w:rPr>
      </w:pPr>
      <w:r>
        <w:rPr>
          <w:lang w:val="en-GB"/>
        </w:rPr>
        <w:t xml:space="preserve">The next step consists of identifying initiating events triggered by the specific hazard scenarios. </w:t>
      </w:r>
      <w:r w:rsidR="005A747B" w:rsidRPr="001B7918">
        <w:rPr>
          <w:rFonts w:eastAsiaTheme="minorHAnsi"/>
          <w:szCs w:val="18"/>
          <w:lang w:val="en-GB" w:eastAsia="en-US"/>
        </w:rPr>
        <w:t xml:space="preserve">When </w:t>
      </w:r>
      <w:r w:rsidR="007A4182">
        <w:rPr>
          <w:rFonts w:eastAsiaTheme="minorHAnsi"/>
          <w:szCs w:val="18"/>
          <w:lang w:val="en-GB" w:eastAsia="en-US"/>
        </w:rPr>
        <w:t>i</w:t>
      </w:r>
      <w:r>
        <w:rPr>
          <w:rFonts w:eastAsiaTheme="minorHAnsi"/>
          <w:szCs w:val="18"/>
          <w:lang w:val="en-GB" w:eastAsia="en-US"/>
        </w:rPr>
        <w:t>dentifying</w:t>
      </w:r>
      <w:r w:rsidR="005A747B" w:rsidRPr="001B7918">
        <w:rPr>
          <w:rFonts w:eastAsiaTheme="minorHAnsi"/>
          <w:szCs w:val="18"/>
          <w:lang w:val="en-GB" w:eastAsia="en-US"/>
        </w:rPr>
        <w:t xml:space="preserve"> internal init</w:t>
      </w:r>
      <w:r w:rsidR="004961E7">
        <w:rPr>
          <w:rFonts w:eastAsiaTheme="minorHAnsi"/>
          <w:szCs w:val="18"/>
          <w:lang w:val="en-GB" w:eastAsia="en-US"/>
        </w:rPr>
        <w:t>i</w:t>
      </w:r>
      <w:r w:rsidR="005A747B" w:rsidRPr="001B7918">
        <w:rPr>
          <w:rFonts w:eastAsiaTheme="minorHAnsi"/>
          <w:szCs w:val="18"/>
          <w:lang w:val="en-GB" w:eastAsia="en-US"/>
        </w:rPr>
        <w:t xml:space="preserve">ating events for hazard scenarios </w:t>
      </w:r>
      <w:r>
        <w:rPr>
          <w:rFonts w:eastAsiaTheme="minorHAnsi"/>
          <w:szCs w:val="18"/>
          <w:lang w:val="en-GB" w:eastAsia="en-US"/>
        </w:rPr>
        <w:t>during</w:t>
      </w:r>
      <w:r w:rsidR="005A747B" w:rsidRPr="001B7918">
        <w:rPr>
          <w:rFonts w:eastAsiaTheme="minorHAnsi"/>
          <w:szCs w:val="18"/>
          <w:lang w:val="en-GB" w:eastAsia="en-US"/>
        </w:rPr>
        <w:t xml:space="preserve"> screening for a hazard PSA, analysts </w:t>
      </w:r>
      <w:r w:rsidR="00111054">
        <w:rPr>
          <w:rFonts w:eastAsiaTheme="minorHAnsi"/>
          <w:szCs w:val="18"/>
          <w:lang w:val="en-GB" w:eastAsia="en-US"/>
        </w:rPr>
        <w:t>should have</w:t>
      </w:r>
      <w:r w:rsidR="00111054" w:rsidRPr="001B7918">
        <w:rPr>
          <w:rFonts w:eastAsiaTheme="minorHAnsi"/>
          <w:szCs w:val="18"/>
          <w:lang w:val="en-GB" w:eastAsia="en-US"/>
        </w:rPr>
        <w:t xml:space="preserve"> </w:t>
      </w:r>
      <w:r w:rsidR="005A747B" w:rsidRPr="001B7918">
        <w:rPr>
          <w:rFonts w:eastAsiaTheme="minorHAnsi"/>
          <w:szCs w:val="18"/>
          <w:lang w:val="en-GB" w:eastAsia="en-US"/>
        </w:rPr>
        <w:t xml:space="preserve">access to the internal events PSA </w:t>
      </w:r>
      <w:r w:rsidR="00111054">
        <w:rPr>
          <w:rFonts w:eastAsiaTheme="minorHAnsi"/>
          <w:szCs w:val="18"/>
          <w:lang w:val="en-GB" w:eastAsia="en-US"/>
        </w:rPr>
        <w:t xml:space="preserve">Level 1 and Level 2 </w:t>
      </w:r>
      <w:r w:rsidR="005A747B" w:rsidRPr="001B7918">
        <w:rPr>
          <w:rFonts w:eastAsiaTheme="minorHAnsi"/>
          <w:szCs w:val="18"/>
          <w:lang w:val="en-GB" w:eastAsia="en-US"/>
        </w:rPr>
        <w:t xml:space="preserve">for all operating states for the plant and, if applicable, for the site. </w:t>
      </w:r>
      <w:r w:rsidR="00111054">
        <w:rPr>
          <w:rFonts w:eastAsiaTheme="minorHAnsi"/>
          <w:szCs w:val="18"/>
          <w:lang w:val="en-GB" w:eastAsia="en-US"/>
        </w:rPr>
        <w:t>The PSA model should cover the</w:t>
      </w:r>
      <w:r w:rsidR="005A747B" w:rsidRPr="001B7918">
        <w:rPr>
          <w:rFonts w:eastAsiaTheme="minorHAnsi"/>
          <w:szCs w:val="18"/>
          <w:lang w:val="en-GB" w:eastAsia="en-US"/>
        </w:rPr>
        <w:t xml:space="preserve"> spent fuel pool and other major sources for fuel damage, as applicable. If this is not the case, </w:t>
      </w:r>
      <w:r w:rsidR="004961E7">
        <w:rPr>
          <w:rFonts w:eastAsiaTheme="minorHAnsi"/>
          <w:szCs w:val="18"/>
          <w:lang w:val="en-GB" w:eastAsia="en-US"/>
        </w:rPr>
        <w:t xml:space="preserve">it is recommended </w:t>
      </w:r>
      <w:r w:rsidR="005A747B" w:rsidRPr="001B7918">
        <w:rPr>
          <w:rFonts w:eastAsiaTheme="minorHAnsi"/>
          <w:szCs w:val="18"/>
          <w:lang w:val="en-GB" w:eastAsia="en-US"/>
        </w:rPr>
        <w:t>to check hazard screening</w:t>
      </w:r>
      <w:r w:rsidR="00111054">
        <w:rPr>
          <w:rFonts w:eastAsiaTheme="minorHAnsi"/>
          <w:szCs w:val="18"/>
          <w:lang w:val="en-GB" w:eastAsia="en-US"/>
        </w:rPr>
        <w:t xml:space="preserve"> results as the internal events PSA models become available.</w:t>
      </w:r>
      <w:r w:rsidR="002268CD">
        <w:rPr>
          <w:rFonts w:eastAsiaTheme="minorHAnsi"/>
          <w:szCs w:val="18"/>
          <w:lang w:val="en-GB" w:eastAsia="en-US"/>
        </w:rPr>
        <w:t xml:space="preserve"> For the identification of initiating events and unavailabilities of safety-related SSC, so-called “hazard equipment lists</w:t>
      </w:r>
      <w:r w:rsidR="000F550F">
        <w:rPr>
          <w:rFonts w:eastAsiaTheme="minorHAnsi"/>
          <w:szCs w:val="18"/>
          <w:lang w:val="en-GB" w:eastAsia="en-US"/>
        </w:rPr>
        <w:t xml:space="preserve">” </w:t>
      </w:r>
      <w:r w:rsidR="002268CD">
        <w:rPr>
          <w:rFonts w:eastAsiaTheme="minorHAnsi"/>
          <w:szCs w:val="18"/>
          <w:lang w:val="en-GB" w:eastAsia="en-US"/>
        </w:rPr>
        <w:t>are an essential tool. Guidance on these lists can be found in</w:t>
      </w:r>
      <w:r w:rsidR="000F550F">
        <w:rPr>
          <w:rFonts w:eastAsiaTheme="minorHAnsi"/>
          <w:szCs w:val="18"/>
          <w:lang w:val="en-GB" w:eastAsia="en-US"/>
        </w:rPr>
        <w:t xml:space="preserve"> e.g. in</w:t>
      </w:r>
      <w:r w:rsidR="002268CD">
        <w:rPr>
          <w:rFonts w:eastAsiaTheme="minorHAnsi"/>
          <w:szCs w:val="18"/>
          <w:lang w:val="en-GB" w:eastAsia="en-US"/>
        </w:rPr>
        <w:t xml:space="preserve"> </w:t>
      </w:r>
      <w:r w:rsidR="000F550F">
        <w:rPr>
          <w:rFonts w:eastAsiaTheme="minorHAnsi"/>
          <w:szCs w:val="18"/>
          <w:lang w:val="en-GB" w:eastAsia="en-US"/>
        </w:rPr>
        <w:t xml:space="preserve">Ref. </w:t>
      </w:r>
      <w:r w:rsidR="00125AF4">
        <w:rPr>
          <w:rFonts w:eastAsiaTheme="minorHAnsi"/>
          <w:szCs w:val="18"/>
          <w:lang w:val="en-GB" w:eastAsia="en-US"/>
        </w:rPr>
        <w:fldChar w:fldCharType="begin"/>
      </w:r>
      <w:r w:rsidR="000F550F">
        <w:rPr>
          <w:rFonts w:eastAsiaTheme="minorHAnsi"/>
          <w:szCs w:val="18"/>
          <w:lang w:val="en-GB" w:eastAsia="en-US"/>
        </w:rPr>
        <w:instrText xml:space="preserve"> REF _Ref445305953 \r \h </w:instrText>
      </w:r>
      <w:r w:rsidR="00125AF4">
        <w:rPr>
          <w:rFonts w:eastAsiaTheme="minorHAnsi"/>
          <w:szCs w:val="18"/>
          <w:lang w:val="en-GB" w:eastAsia="en-US"/>
        </w:rPr>
      </w:r>
      <w:r w:rsidR="00125AF4">
        <w:rPr>
          <w:rFonts w:eastAsiaTheme="minorHAnsi"/>
          <w:szCs w:val="18"/>
          <w:lang w:val="en-GB" w:eastAsia="en-US"/>
        </w:rPr>
        <w:fldChar w:fldCharType="separate"/>
      </w:r>
      <w:r w:rsidR="00E62976">
        <w:rPr>
          <w:rFonts w:eastAsiaTheme="minorHAnsi"/>
          <w:szCs w:val="18"/>
          <w:lang w:val="en-GB" w:eastAsia="en-US"/>
        </w:rPr>
        <w:t>[100]</w:t>
      </w:r>
      <w:r w:rsidR="00125AF4">
        <w:rPr>
          <w:rFonts w:eastAsiaTheme="minorHAnsi"/>
          <w:szCs w:val="18"/>
          <w:lang w:val="en-GB" w:eastAsia="en-US"/>
        </w:rPr>
        <w:fldChar w:fldCharType="end"/>
      </w:r>
      <w:r w:rsidR="000F550F">
        <w:rPr>
          <w:rFonts w:eastAsiaTheme="minorHAnsi"/>
          <w:szCs w:val="18"/>
          <w:lang w:val="en-GB" w:eastAsia="en-US"/>
        </w:rPr>
        <w:t>.</w:t>
      </w:r>
    </w:p>
    <w:p w:rsidR="0061672F" w:rsidRDefault="0061672F" w:rsidP="005A747B">
      <w:pPr>
        <w:autoSpaceDE w:val="0"/>
        <w:autoSpaceDN w:val="0"/>
        <w:adjustRightInd w:val="0"/>
        <w:rPr>
          <w:szCs w:val="18"/>
          <w:lang w:val="en-GB"/>
        </w:rPr>
      </w:pPr>
    </w:p>
    <w:p w:rsidR="005A747B" w:rsidRPr="001B7918" w:rsidRDefault="005A747B" w:rsidP="005A747B">
      <w:pPr>
        <w:autoSpaceDE w:val="0"/>
        <w:autoSpaceDN w:val="0"/>
        <w:adjustRightInd w:val="0"/>
        <w:rPr>
          <w:rFonts w:eastAsiaTheme="minorHAnsi"/>
          <w:szCs w:val="18"/>
          <w:lang w:val="en-GB" w:eastAsia="en-US"/>
        </w:rPr>
      </w:pPr>
      <w:r w:rsidRPr="001B7918">
        <w:rPr>
          <w:szCs w:val="18"/>
          <w:lang w:val="en-GB"/>
        </w:rPr>
        <w:t xml:space="preserve">“Probabilistic hazards analysis routinely maps the hazard impact on the plant to initiating events for an (internal) accident sequence model, which is usually already present in the PSA” </w:t>
      </w:r>
      <w:r w:rsidR="00ED38F4">
        <w:rPr>
          <w:szCs w:val="18"/>
          <w:lang w:val="en-GB"/>
        </w:rPr>
        <w:fldChar w:fldCharType="begin"/>
      </w:r>
      <w:r w:rsidR="00ED38F4">
        <w:rPr>
          <w:szCs w:val="18"/>
          <w:lang w:val="en-GB"/>
        </w:rPr>
        <w:instrText xml:space="preserve"> REF _Ref422842679 \r \h </w:instrText>
      </w:r>
      <w:r w:rsidR="00ED38F4">
        <w:rPr>
          <w:szCs w:val="18"/>
          <w:lang w:val="en-GB"/>
        </w:rPr>
      </w:r>
      <w:r w:rsidR="00ED38F4">
        <w:rPr>
          <w:szCs w:val="18"/>
          <w:lang w:val="en-GB"/>
        </w:rPr>
        <w:fldChar w:fldCharType="separate"/>
      </w:r>
      <w:r w:rsidR="00E62976">
        <w:rPr>
          <w:szCs w:val="18"/>
          <w:lang w:val="en-GB"/>
        </w:rPr>
        <w:t>[86]</w:t>
      </w:r>
      <w:r w:rsidR="00ED38F4">
        <w:rPr>
          <w:szCs w:val="18"/>
          <w:lang w:val="en-GB"/>
        </w:rPr>
        <w:fldChar w:fldCharType="end"/>
      </w:r>
      <w:r w:rsidRPr="001B7918">
        <w:rPr>
          <w:szCs w:val="18"/>
          <w:lang w:val="en-GB"/>
        </w:rPr>
        <w:t xml:space="preserve">, p. 19. For that mapping, insights </w:t>
      </w:r>
      <w:r w:rsidR="00867C04">
        <w:rPr>
          <w:szCs w:val="18"/>
          <w:lang w:val="en-GB"/>
        </w:rPr>
        <w:t xml:space="preserve">from </w:t>
      </w:r>
      <w:r w:rsidR="00867C04" w:rsidRPr="001B7918">
        <w:rPr>
          <w:szCs w:val="18"/>
          <w:lang w:val="en-GB"/>
        </w:rPr>
        <w:t>plant</w:t>
      </w:r>
      <w:r w:rsidRPr="001B7918">
        <w:rPr>
          <w:szCs w:val="18"/>
          <w:lang w:val="en-GB"/>
        </w:rPr>
        <w:t xml:space="preserve"> response analysis and bounding analysis will be essential. </w:t>
      </w:r>
      <w:r w:rsidR="0061672F">
        <w:rPr>
          <w:rFonts w:eastAsiaTheme="minorHAnsi"/>
          <w:szCs w:val="18"/>
          <w:lang w:val="en-GB" w:eastAsia="en-US"/>
        </w:rPr>
        <w:t>T</w:t>
      </w:r>
      <w:r w:rsidR="0061672F" w:rsidRPr="001B7918">
        <w:rPr>
          <w:rFonts w:eastAsiaTheme="minorHAnsi"/>
          <w:szCs w:val="18"/>
          <w:lang w:val="en-GB" w:eastAsia="en-US"/>
        </w:rPr>
        <w:t xml:space="preserve">he </w:t>
      </w:r>
      <w:r w:rsidRPr="001B7918">
        <w:rPr>
          <w:rFonts w:eastAsiaTheme="minorHAnsi"/>
          <w:szCs w:val="18"/>
          <w:lang w:val="en-GB" w:eastAsia="en-US"/>
        </w:rPr>
        <w:t>following cases</w:t>
      </w:r>
      <w:r w:rsidR="0061672F">
        <w:rPr>
          <w:rFonts w:eastAsiaTheme="minorHAnsi"/>
          <w:szCs w:val="18"/>
          <w:lang w:val="en-GB" w:eastAsia="en-US"/>
        </w:rPr>
        <w:t xml:space="preserve"> can be distinguished</w:t>
      </w:r>
      <w:r w:rsidRPr="001B7918">
        <w:rPr>
          <w:rStyle w:val="Appelnotedebasdep"/>
          <w:rFonts w:eastAsiaTheme="minorHAnsi"/>
          <w:szCs w:val="18"/>
          <w:lang w:val="en-GB" w:eastAsia="en-US"/>
        </w:rPr>
        <w:footnoteReference w:id="19"/>
      </w:r>
      <w:r w:rsidRPr="001B7918">
        <w:rPr>
          <w:rFonts w:eastAsiaTheme="minorHAnsi"/>
          <w:szCs w:val="18"/>
          <w:lang w:val="en-GB" w:eastAsia="en-US"/>
        </w:rPr>
        <w:t>:</w:t>
      </w:r>
    </w:p>
    <w:p w:rsidR="005A747B" w:rsidRPr="001B7918" w:rsidRDefault="005A747B" w:rsidP="00E62976">
      <w:pPr>
        <w:pStyle w:val="Paragraphedeliste"/>
        <w:numPr>
          <w:ilvl w:val="0"/>
          <w:numId w:val="43"/>
        </w:numPr>
        <w:autoSpaceDE w:val="0"/>
        <w:autoSpaceDN w:val="0"/>
        <w:adjustRightInd w:val="0"/>
        <w:spacing w:after="0" w:line="348" w:lineRule="atLeast"/>
        <w:jc w:val="both"/>
        <w:rPr>
          <w:rFonts w:ascii="Trebuchet MS" w:eastAsiaTheme="minorHAnsi" w:hAnsi="Trebuchet MS"/>
          <w:sz w:val="18"/>
          <w:szCs w:val="18"/>
        </w:rPr>
      </w:pPr>
      <w:r w:rsidRPr="001B7918">
        <w:rPr>
          <w:rFonts w:ascii="Trebuchet MS" w:eastAsiaTheme="minorHAnsi" w:hAnsi="Trebuchet MS"/>
          <w:sz w:val="18"/>
          <w:szCs w:val="18"/>
        </w:rPr>
        <w:t xml:space="preserve">The hazard scenario contributes to an </w:t>
      </w:r>
      <w:r w:rsidR="00111054">
        <w:rPr>
          <w:rFonts w:ascii="Trebuchet MS" w:eastAsiaTheme="minorHAnsi" w:hAnsi="Trebuchet MS"/>
          <w:sz w:val="18"/>
          <w:szCs w:val="18"/>
        </w:rPr>
        <w:t>initiating event</w:t>
      </w:r>
      <w:r w:rsidR="00111054" w:rsidRPr="001B7918">
        <w:rPr>
          <w:rFonts w:ascii="Trebuchet MS" w:eastAsiaTheme="minorHAnsi" w:hAnsi="Trebuchet MS"/>
          <w:sz w:val="18"/>
          <w:szCs w:val="18"/>
        </w:rPr>
        <w:t xml:space="preserve"> </w:t>
      </w:r>
      <w:r w:rsidRPr="001B7918">
        <w:rPr>
          <w:rFonts w:ascii="Trebuchet MS" w:eastAsiaTheme="minorHAnsi" w:hAnsi="Trebuchet MS"/>
          <w:sz w:val="18"/>
          <w:szCs w:val="18"/>
        </w:rPr>
        <w:t>which is already modelled in the PSA, and is not altering any other conditions assumed in the internal events analysis</w:t>
      </w:r>
      <w:r w:rsidR="00111054">
        <w:rPr>
          <w:rFonts w:ascii="Trebuchet MS" w:eastAsiaTheme="minorHAnsi" w:hAnsi="Trebuchet MS"/>
          <w:sz w:val="18"/>
          <w:szCs w:val="18"/>
        </w:rPr>
        <w:t xml:space="preserve">. </w:t>
      </w:r>
      <w:r w:rsidR="00111054" w:rsidRPr="001B7918">
        <w:rPr>
          <w:rFonts w:ascii="Trebuchet MS" w:eastAsiaTheme="minorHAnsi" w:hAnsi="Trebuchet MS"/>
          <w:sz w:val="18"/>
          <w:szCs w:val="18"/>
        </w:rPr>
        <w:t xml:space="preserve">Analysts need to </w:t>
      </w:r>
      <w:r w:rsidR="00111054">
        <w:rPr>
          <w:rFonts w:ascii="Trebuchet MS" w:eastAsiaTheme="minorHAnsi" w:hAnsi="Trebuchet MS"/>
          <w:sz w:val="18"/>
          <w:szCs w:val="18"/>
        </w:rPr>
        <w:t>check</w:t>
      </w:r>
      <w:r w:rsidR="00111054" w:rsidRPr="001B7918">
        <w:rPr>
          <w:rFonts w:ascii="Trebuchet MS" w:eastAsiaTheme="minorHAnsi" w:hAnsi="Trebuchet MS"/>
          <w:sz w:val="18"/>
          <w:szCs w:val="18"/>
        </w:rPr>
        <w:t xml:space="preserve"> that not only PSA Level 1 but also PSA Level 2 boundary conditions are identical or at least comparable between the internal IE and the hazard scenario.</w:t>
      </w:r>
      <w:r w:rsidR="00111054">
        <w:rPr>
          <w:rFonts w:ascii="Trebuchet MS" w:eastAsiaTheme="minorHAnsi" w:hAnsi="Trebuchet MS"/>
          <w:sz w:val="18"/>
          <w:szCs w:val="18"/>
        </w:rPr>
        <w:t xml:space="preserve"> Based on the screening approach, the hazard scenarios should be grouped into the initiating event group. Salient examples include</w:t>
      </w:r>
      <w:r w:rsidRPr="001B7918">
        <w:rPr>
          <w:rFonts w:ascii="Trebuchet MS" w:eastAsiaTheme="minorHAnsi" w:hAnsi="Trebuchet MS"/>
          <w:sz w:val="18"/>
          <w:szCs w:val="18"/>
        </w:rPr>
        <w:t xml:space="preserve"> loss of off-site power (heavy snow, lightning, etc.)</w:t>
      </w:r>
      <w:r w:rsidR="00111054">
        <w:rPr>
          <w:rFonts w:ascii="Trebuchet MS" w:eastAsiaTheme="minorHAnsi" w:hAnsi="Trebuchet MS"/>
          <w:sz w:val="18"/>
          <w:szCs w:val="18"/>
        </w:rPr>
        <w:t xml:space="preserve"> scenarios. Analysts need to check if</w:t>
      </w:r>
      <w:r w:rsidRPr="001B7918">
        <w:rPr>
          <w:rFonts w:ascii="Trebuchet MS" w:eastAsiaTheme="minorHAnsi" w:hAnsi="Trebuchet MS"/>
          <w:sz w:val="18"/>
          <w:szCs w:val="18"/>
        </w:rPr>
        <w:t xml:space="preserve"> these events </w:t>
      </w:r>
      <w:r w:rsidR="00D37F9B">
        <w:rPr>
          <w:rFonts w:ascii="Trebuchet MS" w:eastAsiaTheme="minorHAnsi" w:hAnsi="Trebuchet MS"/>
          <w:sz w:val="18"/>
          <w:szCs w:val="18"/>
        </w:rPr>
        <w:t xml:space="preserve">are </w:t>
      </w:r>
      <w:r w:rsidR="00111054">
        <w:rPr>
          <w:rFonts w:ascii="Trebuchet MS" w:eastAsiaTheme="minorHAnsi" w:hAnsi="Trebuchet MS"/>
          <w:sz w:val="18"/>
          <w:szCs w:val="18"/>
        </w:rPr>
        <w:t>covered by the operating experience used for the determination of (internal) initiating</w:t>
      </w:r>
      <w:r w:rsidRPr="001B7918">
        <w:rPr>
          <w:rFonts w:ascii="Trebuchet MS" w:eastAsiaTheme="minorHAnsi" w:hAnsi="Trebuchet MS"/>
          <w:sz w:val="18"/>
          <w:szCs w:val="18"/>
        </w:rPr>
        <w:t xml:space="preserve"> events </w:t>
      </w:r>
      <w:r w:rsidR="00111054">
        <w:rPr>
          <w:rFonts w:ascii="Trebuchet MS" w:eastAsiaTheme="minorHAnsi" w:hAnsi="Trebuchet MS"/>
          <w:sz w:val="18"/>
          <w:szCs w:val="18"/>
        </w:rPr>
        <w:t>frequency</w:t>
      </w:r>
      <w:r w:rsidRPr="001B7918">
        <w:rPr>
          <w:rFonts w:ascii="Trebuchet MS" w:eastAsiaTheme="minorHAnsi" w:hAnsi="Trebuchet MS"/>
          <w:sz w:val="18"/>
          <w:szCs w:val="18"/>
        </w:rPr>
        <w:t>.</w:t>
      </w:r>
      <w:r w:rsidR="0026201A">
        <w:rPr>
          <w:rFonts w:ascii="Trebuchet MS" w:eastAsiaTheme="minorHAnsi" w:hAnsi="Trebuchet MS"/>
          <w:sz w:val="18"/>
          <w:szCs w:val="18"/>
        </w:rPr>
        <w:t xml:space="preserve"> However, grouping hazard scenarios with very different ranges of uncertainty – regarding frequency of occurrence as well as plant impact and accident development – should be avoided to the extent sensible.</w:t>
      </w:r>
      <w:r w:rsidR="00A9687A">
        <w:rPr>
          <w:rFonts w:ascii="Trebuchet MS" w:eastAsiaTheme="minorHAnsi" w:hAnsi="Trebuchet MS"/>
          <w:sz w:val="18"/>
          <w:szCs w:val="18"/>
        </w:rPr>
        <w:tab/>
      </w:r>
      <w:r w:rsidR="0026201A">
        <w:rPr>
          <w:rFonts w:ascii="Trebuchet MS" w:eastAsiaTheme="minorHAnsi" w:hAnsi="Trebuchet MS"/>
          <w:sz w:val="18"/>
          <w:szCs w:val="18"/>
        </w:rPr>
        <w:br/>
      </w:r>
      <w:r w:rsidR="00111054">
        <w:rPr>
          <w:rFonts w:ascii="Trebuchet MS" w:eastAsiaTheme="minorHAnsi" w:hAnsi="Trebuchet MS"/>
          <w:sz w:val="18"/>
          <w:szCs w:val="18"/>
        </w:rPr>
        <w:t>Hazard-specific contributions can be derived from importance values for PSA end results. There is no need for additional modelling</w:t>
      </w:r>
      <w:r w:rsidRPr="001B7918">
        <w:rPr>
          <w:rFonts w:ascii="Trebuchet MS" w:eastAsiaTheme="minorHAnsi" w:hAnsi="Trebuchet MS"/>
          <w:sz w:val="18"/>
          <w:szCs w:val="18"/>
        </w:rPr>
        <w:t>.</w:t>
      </w:r>
    </w:p>
    <w:p w:rsidR="00B5390F" w:rsidRPr="005262CB" w:rsidRDefault="005A747B" w:rsidP="00E62976">
      <w:pPr>
        <w:pStyle w:val="Paragraphedeliste"/>
        <w:numPr>
          <w:ilvl w:val="0"/>
          <w:numId w:val="43"/>
        </w:numPr>
        <w:autoSpaceDE w:val="0"/>
        <w:autoSpaceDN w:val="0"/>
        <w:adjustRightInd w:val="0"/>
        <w:spacing w:after="0" w:line="348" w:lineRule="atLeast"/>
        <w:jc w:val="both"/>
        <w:rPr>
          <w:rFonts w:ascii="Trebuchet MS" w:eastAsiaTheme="minorHAnsi" w:hAnsi="Trebuchet MS"/>
          <w:sz w:val="18"/>
          <w:szCs w:val="18"/>
        </w:rPr>
      </w:pPr>
      <w:r w:rsidRPr="001B7918">
        <w:rPr>
          <w:rFonts w:ascii="Trebuchet MS" w:eastAsiaTheme="minorHAnsi" w:hAnsi="Trebuchet MS"/>
          <w:sz w:val="18"/>
          <w:szCs w:val="18"/>
        </w:rPr>
        <w:t xml:space="preserve">The hazard </w:t>
      </w:r>
      <w:r w:rsidR="00111054">
        <w:rPr>
          <w:rFonts w:ascii="Trebuchet MS" w:eastAsiaTheme="minorHAnsi" w:hAnsi="Trebuchet MS"/>
          <w:sz w:val="18"/>
          <w:szCs w:val="18"/>
        </w:rPr>
        <w:t>scenarios</w:t>
      </w:r>
      <w:r w:rsidR="00111054" w:rsidRPr="001B7918">
        <w:rPr>
          <w:rFonts w:ascii="Trebuchet MS" w:eastAsiaTheme="minorHAnsi" w:hAnsi="Trebuchet MS"/>
          <w:sz w:val="18"/>
          <w:szCs w:val="18"/>
        </w:rPr>
        <w:t xml:space="preserve"> </w:t>
      </w:r>
      <w:r w:rsidRPr="001B7918">
        <w:rPr>
          <w:rFonts w:ascii="Trebuchet MS" w:eastAsiaTheme="minorHAnsi" w:hAnsi="Trebuchet MS"/>
          <w:sz w:val="18"/>
          <w:szCs w:val="18"/>
        </w:rPr>
        <w:t xml:space="preserve">induce an </w:t>
      </w:r>
      <w:r w:rsidR="00111054">
        <w:rPr>
          <w:rFonts w:ascii="Trebuchet MS" w:eastAsiaTheme="minorHAnsi" w:hAnsi="Trebuchet MS"/>
          <w:sz w:val="18"/>
          <w:szCs w:val="18"/>
        </w:rPr>
        <w:t>(internal)</w:t>
      </w:r>
      <w:r w:rsidR="00111054" w:rsidRPr="001B7918">
        <w:rPr>
          <w:rFonts w:ascii="Trebuchet MS" w:eastAsiaTheme="minorHAnsi" w:hAnsi="Trebuchet MS"/>
          <w:sz w:val="18"/>
          <w:szCs w:val="18"/>
        </w:rPr>
        <w:t xml:space="preserve"> </w:t>
      </w:r>
      <w:r w:rsidR="00111054">
        <w:rPr>
          <w:rFonts w:ascii="Trebuchet MS" w:eastAsiaTheme="minorHAnsi" w:hAnsi="Trebuchet MS"/>
          <w:sz w:val="18"/>
          <w:szCs w:val="18"/>
        </w:rPr>
        <w:t xml:space="preserve">initiating </w:t>
      </w:r>
      <w:r w:rsidR="00D37F9B">
        <w:rPr>
          <w:rFonts w:ascii="Trebuchet MS" w:eastAsiaTheme="minorHAnsi" w:hAnsi="Trebuchet MS"/>
          <w:sz w:val="18"/>
          <w:szCs w:val="18"/>
        </w:rPr>
        <w:t xml:space="preserve">event </w:t>
      </w:r>
      <w:r w:rsidRPr="001B7918">
        <w:rPr>
          <w:rFonts w:ascii="Trebuchet MS" w:eastAsiaTheme="minorHAnsi" w:hAnsi="Trebuchet MS"/>
          <w:sz w:val="18"/>
          <w:szCs w:val="18"/>
        </w:rPr>
        <w:t xml:space="preserve">but </w:t>
      </w:r>
      <w:r w:rsidR="000F60F4">
        <w:rPr>
          <w:rFonts w:ascii="Trebuchet MS" w:eastAsiaTheme="minorHAnsi" w:hAnsi="Trebuchet MS"/>
          <w:sz w:val="18"/>
          <w:szCs w:val="18"/>
        </w:rPr>
        <w:t>with different</w:t>
      </w:r>
      <w:r w:rsidR="000F60F4" w:rsidRPr="001B7918">
        <w:rPr>
          <w:rFonts w:ascii="Trebuchet MS" w:eastAsiaTheme="minorHAnsi" w:hAnsi="Trebuchet MS"/>
          <w:sz w:val="18"/>
          <w:szCs w:val="18"/>
        </w:rPr>
        <w:t xml:space="preserve"> </w:t>
      </w:r>
      <w:r w:rsidRPr="001B7918">
        <w:rPr>
          <w:rFonts w:ascii="Trebuchet MS" w:eastAsiaTheme="minorHAnsi" w:hAnsi="Trebuchet MS"/>
          <w:sz w:val="18"/>
          <w:szCs w:val="18"/>
        </w:rPr>
        <w:t xml:space="preserve">boundary for the PSA Level 1 or PSA Level 2 model. </w:t>
      </w:r>
      <w:r w:rsidR="000F60F4">
        <w:rPr>
          <w:rFonts w:ascii="Trebuchet MS" w:eastAsiaTheme="minorHAnsi" w:hAnsi="Trebuchet MS"/>
          <w:sz w:val="18"/>
          <w:szCs w:val="18"/>
        </w:rPr>
        <w:t>Then,</w:t>
      </w:r>
      <w:r w:rsidRPr="001B7918">
        <w:rPr>
          <w:rFonts w:ascii="Trebuchet MS" w:eastAsiaTheme="minorHAnsi" w:hAnsi="Trebuchet MS"/>
          <w:sz w:val="18"/>
          <w:szCs w:val="18"/>
        </w:rPr>
        <w:t xml:space="preserve"> the </w:t>
      </w:r>
      <w:r w:rsidR="000F60F4">
        <w:rPr>
          <w:rFonts w:ascii="Trebuchet MS" w:eastAsiaTheme="minorHAnsi" w:hAnsi="Trebuchet MS"/>
          <w:sz w:val="18"/>
          <w:szCs w:val="18"/>
        </w:rPr>
        <w:t>hazard scenario</w:t>
      </w:r>
      <w:r w:rsidRPr="001B7918">
        <w:rPr>
          <w:rFonts w:ascii="Trebuchet MS" w:eastAsiaTheme="minorHAnsi" w:hAnsi="Trebuchet MS"/>
          <w:sz w:val="18"/>
          <w:szCs w:val="18"/>
        </w:rPr>
        <w:t xml:space="preserve"> should be linked to the existing IE, with appropriate boundary conditions. </w:t>
      </w:r>
      <w:r w:rsidRPr="001B7918">
        <w:rPr>
          <w:rFonts w:ascii="Trebuchet MS" w:hAnsi="Trebuchet MS"/>
          <w:sz w:val="18"/>
          <w:szCs w:val="18"/>
        </w:rPr>
        <w:t xml:space="preserve">Further consequences of hazard impact (e.g. common cause failures) relevant to the event tree or fault tree modelling can then be considered by setting appropriate boundary conditions on the availability of required safety functions and accident management measures. </w:t>
      </w:r>
      <w:r w:rsidR="000F60F4">
        <w:rPr>
          <w:rFonts w:ascii="Trebuchet MS" w:hAnsi="Trebuchet MS"/>
          <w:sz w:val="18"/>
          <w:szCs w:val="18"/>
        </w:rPr>
        <w:t>This standard approach</w:t>
      </w:r>
      <w:r w:rsidRPr="001B7918">
        <w:rPr>
          <w:rFonts w:ascii="Trebuchet MS" w:hAnsi="Trebuchet MS"/>
          <w:sz w:val="18"/>
          <w:szCs w:val="18"/>
        </w:rPr>
        <w:t xml:space="preserve"> is well described in SSG-3 </w:t>
      </w:r>
      <w:r w:rsidR="00125AF4" w:rsidRPr="001B7918">
        <w:rPr>
          <w:rFonts w:ascii="Trebuchet MS" w:hAnsi="Trebuchet MS"/>
          <w:sz w:val="18"/>
          <w:szCs w:val="18"/>
        </w:rPr>
        <w:fldChar w:fldCharType="begin"/>
      </w:r>
      <w:r w:rsidRPr="001B7918">
        <w:rPr>
          <w:rFonts w:ascii="Trebuchet MS" w:hAnsi="Trebuchet MS"/>
          <w:sz w:val="18"/>
          <w:szCs w:val="18"/>
        </w:rPr>
        <w:instrText xml:space="preserve"> REF _Ref384386913 \r \h </w:instrText>
      </w:r>
      <w:r w:rsidR="00125AF4" w:rsidRPr="001B7918">
        <w:rPr>
          <w:rFonts w:ascii="Trebuchet MS" w:hAnsi="Trebuchet MS"/>
          <w:sz w:val="18"/>
          <w:szCs w:val="18"/>
        </w:rPr>
      </w:r>
      <w:r w:rsidR="00125AF4" w:rsidRPr="001B7918">
        <w:rPr>
          <w:rFonts w:ascii="Trebuchet MS" w:hAnsi="Trebuchet MS"/>
          <w:sz w:val="18"/>
          <w:szCs w:val="18"/>
        </w:rPr>
        <w:fldChar w:fldCharType="separate"/>
      </w:r>
      <w:r w:rsidR="00E62976">
        <w:rPr>
          <w:rFonts w:ascii="Trebuchet MS" w:hAnsi="Trebuchet MS"/>
          <w:sz w:val="18"/>
          <w:szCs w:val="18"/>
        </w:rPr>
        <w:t>[4]</w:t>
      </w:r>
      <w:r w:rsidR="00125AF4" w:rsidRPr="001B7918">
        <w:rPr>
          <w:rFonts w:ascii="Trebuchet MS" w:hAnsi="Trebuchet MS"/>
          <w:sz w:val="18"/>
          <w:szCs w:val="18"/>
        </w:rPr>
        <w:fldChar w:fldCharType="end"/>
      </w:r>
      <w:r w:rsidRPr="001B7918">
        <w:rPr>
          <w:rFonts w:ascii="Trebuchet MS" w:hAnsi="Trebuchet MS"/>
          <w:sz w:val="18"/>
          <w:szCs w:val="18"/>
        </w:rPr>
        <w:t>.</w:t>
      </w:r>
    </w:p>
    <w:p w:rsidR="005A747B" w:rsidRPr="001B7918" w:rsidRDefault="005A747B" w:rsidP="005262CB">
      <w:pPr>
        <w:pStyle w:val="Paragraphedeliste"/>
        <w:autoSpaceDE w:val="0"/>
        <w:autoSpaceDN w:val="0"/>
        <w:adjustRightInd w:val="0"/>
        <w:spacing w:after="0" w:line="348" w:lineRule="atLeast"/>
        <w:jc w:val="both"/>
        <w:rPr>
          <w:rFonts w:ascii="Trebuchet MS" w:eastAsiaTheme="minorHAnsi" w:hAnsi="Trebuchet MS"/>
          <w:sz w:val="18"/>
          <w:szCs w:val="18"/>
        </w:rPr>
      </w:pPr>
      <w:r w:rsidRPr="001B7918">
        <w:rPr>
          <w:rFonts w:ascii="Trebuchet MS" w:hAnsi="Trebuchet MS"/>
          <w:sz w:val="18"/>
          <w:szCs w:val="18"/>
        </w:rPr>
        <w:t>Depending on the overall PSA structure, modelling practices, and the modelling tool, either the hazard event scenario is added to the (set of) initiator</w:t>
      </w:r>
      <w:r w:rsidR="000F60F4">
        <w:rPr>
          <w:rFonts w:ascii="Trebuchet MS" w:hAnsi="Trebuchet MS"/>
          <w:sz w:val="18"/>
          <w:szCs w:val="18"/>
        </w:rPr>
        <w:t>s</w:t>
      </w:r>
      <w:r w:rsidRPr="001B7918">
        <w:rPr>
          <w:rFonts w:ascii="Trebuchet MS" w:hAnsi="Trebuchet MS"/>
          <w:sz w:val="18"/>
          <w:szCs w:val="18"/>
        </w:rPr>
        <w:t xml:space="preserve"> treated in the event tree together with the respective boundary conditions. Alternatively, the existing event tree/fault tree model is copied, linked to the hazard scenario as an initiator and the respective boundary conditions are set to the model. Whether hazard scenario specific boundary conditions or effects are considered via setting logic switches or by adapting the actual fault tree/event tree structure e.g. by adding additional (scenario-specific) basic events depends on the overall modelling approach.</w:t>
      </w:r>
    </w:p>
    <w:p w:rsidR="005A747B" w:rsidRPr="005079A3" w:rsidRDefault="005A747B" w:rsidP="00E62976">
      <w:pPr>
        <w:pStyle w:val="Paragraphedeliste"/>
        <w:numPr>
          <w:ilvl w:val="0"/>
          <w:numId w:val="43"/>
        </w:numPr>
        <w:autoSpaceDE w:val="0"/>
        <w:autoSpaceDN w:val="0"/>
        <w:adjustRightInd w:val="0"/>
        <w:spacing w:after="0" w:line="348" w:lineRule="atLeast"/>
        <w:jc w:val="both"/>
        <w:rPr>
          <w:rFonts w:ascii="Trebuchet MS" w:eastAsiaTheme="minorHAnsi" w:hAnsi="Trebuchet MS"/>
          <w:sz w:val="18"/>
          <w:szCs w:val="18"/>
        </w:rPr>
      </w:pPr>
      <w:r w:rsidRPr="005D4428">
        <w:rPr>
          <w:rFonts w:ascii="Trebuchet MS" w:hAnsi="Trebuchet MS"/>
          <w:sz w:val="18"/>
          <w:szCs w:val="18"/>
        </w:rPr>
        <w:t>If the set of</w:t>
      </w:r>
      <w:r w:rsidRPr="00815D61">
        <w:rPr>
          <w:rFonts w:ascii="Trebuchet MS" w:hAnsi="Trebuchet MS"/>
          <w:sz w:val="18"/>
          <w:szCs w:val="18"/>
        </w:rPr>
        <w:t xml:space="preserve"> internal initiating events does not include a suitable initiator and a</w:t>
      </w:r>
      <w:r w:rsidRPr="005D4428">
        <w:rPr>
          <w:rFonts w:ascii="Trebuchet MS" w:hAnsi="Trebuchet MS"/>
          <w:sz w:val="18"/>
          <w:szCs w:val="18"/>
        </w:rPr>
        <w:t>ccident sequence (event tree) model that can be mapped to</w:t>
      </w:r>
      <w:r w:rsidRPr="00815D61">
        <w:rPr>
          <w:rFonts w:ascii="Trebuchet MS" w:hAnsi="Trebuchet MS"/>
          <w:sz w:val="18"/>
          <w:szCs w:val="18"/>
        </w:rPr>
        <w:t xml:space="preserve"> the hazard scenario, </w:t>
      </w:r>
      <w:r w:rsidRPr="001B7918">
        <w:rPr>
          <w:rFonts w:ascii="Trebuchet MS" w:eastAsiaTheme="minorHAnsi" w:hAnsi="Trebuchet MS"/>
          <w:sz w:val="18"/>
          <w:szCs w:val="18"/>
        </w:rPr>
        <w:t xml:space="preserve">a new IE should be defined. In any case, analysts will have to model the accident development and systems analysis under scenario-specific conditions as it is done for internal events (cf. SGG-3 </w:t>
      </w:r>
      <w:r w:rsidR="00A72107">
        <w:fldChar w:fldCharType="begin"/>
      </w:r>
      <w:r w:rsidR="00A72107">
        <w:instrText xml:space="preserve"> REF _Ref384386913 \r \h  \* MERGEFORMAT </w:instrText>
      </w:r>
      <w:r w:rsidR="00A72107">
        <w:fldChar w:fldCharType="separate"/>
      </w:r>
      <w:r w:rsidR="00E62976" w:rsidRPr="00E62976">
        <w:rPr>
          <w:rFonts w:ascii="Trebuchet MS" w:eastAsiaTheme="minorHAnsi" w:hAnsi="Trebuchet MS"/>
          <w:sz w:val="18"/>
          <w:szCs w:val="18"/>
        </w:rPr>
        <w:t>[4]</w:t>
      </w:r>
      <w:r w:rsidR="00A72107">
        <w:fldChar w:fldCharType="end"/>
      </w:r>
      <w:r w:rsidRPr="001B7918">
        <w:rPr>
          <w:rFonts w:ascii="Trebuchet MS" w:eastAsiaTheme="minorHAnsi" w:hAnsi="Trebuchet MS"/>
          <w:sz w:val="18"/>
          <w:szCs w:val="18"/>
        </w:rPr>
        <w:t>)</w:t>
      </w:r>
      <w:r w:rsidRPr="005D4428">
        <w:rPr>
          <w:szCs w:val="18"/>
        </w:rPr>
        <w:t>.</w:t>
      </w:r>
      <w:r w:rsidRPr="001B7918">
        <w:rPr>
          <w:rFonts w:ascii="Trebuchet MS" w:hAnsi="Trebuchet MS"/>
          <w:sz w:val="18"/>
          <w:szCs w:val="18"/>
        </w:rPr>
        <w:t xml:space="preserve"> The Fukushima </w:t>
      </w:r>
      <w:r w:rsidR="00883D03">
        <w:rPr>
          <w:rFonts w:ascii="Trebuchet MS" w:hAnsi="Trebuchet MS"/>
          <w:sz w:val="18"/>
          <w:szCs w:val="18"/>
        </w:rPr>
        <w:t xml:space="preserve">Dai-ichi </w:t>
      </w:r>
      <w:r w:rsidRPr="001B7918">
        <w:rPr>
          <w:rFonts w:ascii="Trebuchet MS" w:hAnsi="Trebuchet MS"/>
          <w:sz w:val="18"/>
          <w:szCs w:val="18"/>
        </w:rPr>
        <w:t xml:space="preserve">accident highlighted the need for defining initiating events for risk sources other than the core (as the spent fuel pool) and systematically mapping hazards to those initiating events for full power as well </w:t>
      </w:r>
      <w:r w:rsidR="000077FE">
        <w:rPr>
          <w:rFonts w:ascii="Trebuchet MS" w:hAnsi="Trebuchet MS"/>
          <w:sz w:val="18"/>
          <w:szCs w:val="18"/>
        </w:rPr>
        <w:t xml:space="preserve">as </w:t>
      </w:r>
      <w:r w:rsidRPr="001B7918">
        <w:rPr>
          <w:rFonts w:ascii="Trebuchet MS" w:hAnsi="Trebuchet MS"/>
          <w:sz w:val="18"/>
          <w:szCs w:val="18"/>
        </w:rPr>
        <w:t xml:space="preserve">low power and shutdown operations. </w:t>
      </w:r>
      <w:r w:rsidR="00ED38F4">
        <w:rPr>
          <w:rFonts w:ascii="Trebuchet MS" w:hAnsi="Trebuchet MS"/>
          <w:sz w:val="18"/>
          <w:szCs w:val="18"/>
        </w:rPr>
        <w:fldChar w:fldCharType="begin"/>
      </w:r>
      <w:r w:rsidR="00ED38F4">
        <w:rPr>
          <w:rFonts w:ascii="Trebuchet MS" w:hAnsi="Trebuchet MS"/>
          <w:sz w:val="18"/>
          <w:szCs w:val="18"/>
        </w:rPr>
        <w:instrText xml:space="preserve"> REF _Ref422842679 \r \h </w:instrText>
      </w:r>
      <w:r w:rsidR="00ED38F4">
        <w:rPr>
          <w:rFonts w:ascii="Trebuchet MS" w:hAnsi="Trebuchet MS"/>
          <w:sz w:val="18"/>
          <w:szCs w:val="18"/>
        </w:rPr>
      </w:r>
      <w:r w:rsidR="00ED38F4">
        <w:rPr>
          <w:rFonts w:ascii="Trebuchet MS" w:hAnsi="Trebuchet MS"/>
          <w:sz w:val="18"/>
          <w:szCs w:val="18"/>
        </w:rPr>
        <w:fldChar w:fldCharType="separate"/>
      </w:r>
      <w:r w:rsidR="00E62976">
        <w:rPr>
          <w:rFonts w:ascii="Trebuchet MS" w:hAnsi="Trebuchet MS"/>
          <w:sz w:val="18"/>
          <w:szCs w:val="18"/>
        </w:rPr>
        <w:t>[86]</w:t>
      </w:r>
      <w:r w:rsidR="00ED38F4">
        <w:rPr>
          <w:rFonts w:ascii="Trebuchet MS" w:hAnsi="Trebuchet MS"/>
          <w:sz w:val="18"/>
          <w:szCs w:val="18"/>
        </w:rPr>
        <w:fldChar w:fldCharType="end"/>
      </w:r>
    </w:p>
    <w:p w:rsidR="0061672F" w:rsidRDefault="0061672F" w:rsidP="00E211F0">
      <w:pPr>
        <w:autoSpaceDE w:val="0"/>
        <w:autoSpaceDN w:val="0"/>
        <w:adjustRightInd w:val="0"/>
        <w:rPr>
          <w:szCs w:val="18"/>
          <w:lang w:val="en-US"/>
        </w:rPr>
      </w:pPr>
    </w:p>
    <w:p w:rsidR="000F60F4" w:rsidRPr="005079A3" w:rsidRDefault="000F60F4" w:rsidP="00E211F0">
      <w:pPr>
        <w:autoSpaceDE w:val="0"/>
        <w:autoSpaceDN w:val="0"/>
        <w:adjustRightInd w:val="0"/>
        <w:rPr>
          <w:rFonts w:eastAsiaTheme="minorHAnsi"/>
          <w:szCs w:val="18"/>
          <w:lang w:val="en-US"/>
        </w:rPr>
      </w:pPr>
      <w:r w:rsidRPr="005079A3">
        <w:rPr>
          <w:szCs w:val="18"/>
          <w:lang w:val="en-US"/>
        </w:rPr>
        <w:t xml:space="preserve">Further </w:t>
      </w:r>
      <w:r w:rsidRPr="008C3F7D">
        <w:rPr>
          <w:szCs w:val="18"/>
          <w:lang w:val="en-US"/>
        </w:rPr>
        <w:t xml:space="preserve">guidance can be found in report D22.1 </w:t>
      </w:r>
      <w:r w:rsidR="00ED38F4">
        <w:rPr>
          <w:szCs w:val="18"/>
          <w:lang w:val="en-US"/>
        </w:rPr>
        <w:fldChar w:fldCharType="begin"/>
      </w:r>
      <w:r w:rsidR="00ED38F4">
        <w:rPr>
          <w:szCs w:val="18"/>
          <w:lang w:val="en-US"/>
        </w:rPr>
        <w:instrText xml:space="preserve"> REF _Ref433376606 \r \h </w:instrText>
      </w:r>
      <w:r w:rsidR="00ED38F4">
        <w:rPr>
          <w:szCs w:val="18"/>
          <w:lang w:val="en-US"/>
        </w:rPr>
      </w:r>
      <w:r w:rsidR="00ED38F4">
        <w:rPr>
          <w:szCs w:val="18"/>
          <w:lang w:val="en-US"/>
        </w:rPr>
        <w:fldChar w:fldCharType="separate"/>
      </w:r>
      <w:r w:rsidR="00E62976">
        <w:rPr>
          <w:szCs w:val="18"/>
          <w:lang w:val="en-US"/>
        </w:rPr>
        <w:t>[96]</w:t>
      </w:r>
      <w:r w:rsidR="00ED38F4">
        <w:rPr>
          <w:szCs w:val="18"/>
          <w:lang w:val="en-US"/>
        </w:rPr>
        <w:fldChar w:fldCharType="end"/>
      </w:r>
      <w:r w:rsidR="007A4182" w:rsidRPr="008C3F7D">
        <w:rPr>
          <w:szCs w:val="18"/>
          <w:lang w:val="en-US"/>
        </w:rPr>
        <w:t xml:space="preserve"> </w:t>
      </w:r>
      <w:r w:rsidRPr="008C3F7D">
        <w:rPr>
          <w:szCs w:val="18"/>
          <w:lang w:val="en-US"/>
        </w:rPr>
        <w:t>and the hazard</w:t>
      </w:r>
      <w:r w:rsidR="007A4182" w:rsidRPr="008C3F7D">
        <w:rPr>
          <w:szCs w:val="18"/>
          <w:lang w:val="en-US"/>
        </w:rPr>
        <w:t>-</w:t>
      </w:r>
      <w:r w:rsidRPr="008C3F7D">
        <w:rPr>
          <w:szCs w:val="18"/>
          <w:lang w:val="en-US"/>
        </w:rPr>
        <w:t xml:space="preserve">specific ASAMPSA_E </w:t>
      </w:r>
      <w:r w:rsidR="008C3F7D" w:rsidRPr="008C3F7D">
        <w:rPr>
          <w:szCs w:val="18"/>
          <w:lang w:val="en-US"/>
        </w:rPr>
        <w:t>reports</w:t>
      </w:r>
      <w:r w:rsidR="0061672F" w:rsidRPr="009803F6">
        <w:rPr>
          <w:lang w:val="en-GB"/>
        </w:rPr>
        <w:t>.</w:t>
      </w:r>
    </w:p>
    <w:p w:rsidR="000F60F4" w:rsidRPr="005079A3" w:rsidRDefault="000F60F4" w:rsidP="005079A3">
      <w:pPr>
        <w:autoSpaceDE w:val="0"/>
        <w:autoSpaceDN w:val="0"/>
        <w:adjustRightInd w:val="0"/>
        <w:rPr>
          <w:rFonts w:eastAsiaTheme="minorHAnsi"/>
          <w:szCs w:val="18"/>
          <w:lang w:val="en-US"/>
        </w:rPr>
      </w:pPr>
    </w:p>
    <w:p w:rsidR="007C3D6A" w:rsidRDefault="007C3D6A" w:rsidP="00D3200A">
      <w:pPr>
        <w:autoSpaceDE w:val="0"/>
        <w:autoSpaceDN w:val="0"/>
        <w:adjustRightInd w:val="0"/>
        <w:rPr>
          <w:rFonts w:eastAsiaTheme="minorHAnsi"/>
          <w:szCs w:val="18"/>
          <w:lang w:val="en-GB" w:eastAsia="en-US"/>
        </w:rPr>
      </w:pPr>
      <w:r>
        <w:rPr>
          <w:rFonts w:eastAsiaTheme="minorHAnsi"/>
          <w:szCs w:val="18"/>
          <w:lang w:val="en-GB" w:eastAsia="en-US"/>
        </w:rPr>
        <w:t>For screening purposes, this initial mapping to initiating events and the associated bounding analysis will often be sufficient. If hazard scenarios might be screened out from further analysis due to initial mapping and respective bounding analysis, analysts need to check for the following</w:t>
      </w:r>
      <w:r w:rsidR="008D7E57">
        <w:rPr>
          <w:rFonts w:eastAsiaTheme="minorHAnsi"/>
          <w:szCs w:val="18"/>
          <w:lang w:val="en-GB" w:eastAsia="en-US"/>
        </w:rPr>
        <w:t>:</w:t>
      </w:r>
    </w:p>
    <w:p w:rsidR="007C3D6A" w:rsidRDefault="007C3D6A" w:rsidP="00E62976">
      <w:pPr>
        <w:numPr>
          <w:ilvl w:val="0"/>
          <w:numId w:val="83"/>
        </w:numPr>
        <w:rPr>
          <w:lang w:val="en-GB"/>
        </w:rPr>
      </w:pPr>
      <w:r>
        <w:rPr>
          <w:lang w:val="en-GB"/>
        </w:rPr>
        <w:t>A hazard scenario might trigger several (distinct) initiating events with different probabilities</w:t>
      </w:r>
      <w:r w:rsidRPr="00C70893">
        <w:rPr>
          <w:lang w:val="en-GB"/>
        </w:rPr>
        <w:t>.</w:t>
      </w:r>
      <w:r>
        <w:rPr>
          <w:lang w:val="en-GB"/>
        </w:rPr>
        <w:t xml:space="preserve"> The screening needs to ensure that at least bounding assumptions on the triggered event, the overall conditional probability, and consequences with respect to Level 1 and Level 2 risk measures have been made.</w:t>
      </w:r>
    </w:p>
    <w:p w:rsidR="007C3D6A" w:rsidRDefault="007F418F" w:rsidP="00E62976">
      <w:pPr>
        <w:numPr>
          <w:ilvl w:val="0"/>
          <w:numId w:val="83"/>
        </w:numPr>
        <w:rPr>
          <w:lang w:val="en-GB"/>
        </w:rPr>
      </w:pPr>
      <w:r>
        <w:rPr>
          <w:lang w:val="en-GB"/>
        </w:rPr>
        <w:t>If the hazard scenario triggers a “near miss”, i.e. there is only a (weak) line of defence left to prevent core damage or (assuming the use of a PSA model) there are minimal cuts triggered by the hazard scenario and its enveloping boundary conditions that include only one additional, non-consequential</w:t>
      </w:r>
      <w:r w:rsidRPr="007F418F">
        <w:rPr>
          <w:lang w:val="en-GB"/>
        </w:rPr>
        <w:t xml:space="preserve"> failure.</w:t>
      </w:r>
    </w:p>
    <w:p w:rsidR="007F418F" w:rsidRPr="001B7918" w:rsidRDefault="007C3D6A" w:rsidP="007F418F">
      <w:pPr>
        <w:pStyle w:val="Default"/>
        <w:spacing w:line="348" w:lineRule="atLeast"/>
        <w:jc w:val="both"/>
        <w:rPr>
          <w:rFonts w:ascii="Trebuchet MS" w:hAnsi="Trebuchet MS"/>
          <w:color w:val="auto"/>
          <w:sz w:val="18"/>
          <w:szCs w:val="18"/>
          <w:lang w:val="en-GB"/>
        </w:rPr>
      </w:pPr>
      <w:r w:rsidRPr="007F418F">
        <w:rPr>
          <w:rFonts w:ascii="Trebuchet MS" w:eastAsiaTheme="minorHAnsi" w:hAnsi="Trebuchet MS"/>
          <w:color w:val="auto"/>
          <w:sz w:val="18"/>
          <w:szCs w:val="18"/>
          <w:lang w:val="en-GB"/>
        </w:rPr>
        <w:t xml:space="preserve">If hazards screening is iterated in order to reduce the scope of detailed analysis, a refinement of the hazard scenario subdivisions can be considered. Depending on further subdivisions of hazard impact magnitude, different boundary conditions, conditional failure probabilities, and eventually consequences can be justified as bounding estimates. </w:t>
      </w:r>
      <w:r w:rsidR="007F418F" w:rsidRPr="007F418F">
        <w:rPr>
          <w:rFonts w:ascii="Trebuchet MS" w:eastAsiaTheme="minorHAnsi" w:hAnsi="Trebuchet MS"/>
          <w:color w:val="auto"/>
          <w:sz w:val="18"/>
          <w:szCs w:val="18"/>
          <w:lang w:val="en-GB"/>
        </w:rPr>
        <w:t xml:space="preserve">Such subdivisions can be based </w:t>
      </w:r>
      <w:r w:rsidR="007F418F">
        <w:rPr>
          <w:rFonts w:ascii="Trebuchet MS" w:eastAsiaTheme="minorHAnsi" w:hAnsi="Trebuchet MS"/>
          <w:color w:val="auto"/>
          <w:sz w:val="18"/>
          <w:szCs w:val="18"/>
          <w:lang w:val="en-GB"/>
        </w:rPr>
        <w:t xml:space="preserve">e.g. </w:t>
      </w:r>
      <w:r w:rsidR="007F418F" w:rsidRPr="007F418F">
        <w:rPr>
          <w:rFonts w:ascii="Trebuchet MS" w:eastAsiaTheme="minorHAnsi" w:hAnsi="Trebuchet MS"/>
          <w:color w:val="auto"/>
          <w:sz w:val="18"/>
          <w:szCs w:val="18"/>
          <w:lang w:val="en-GB"/>
        </w:rPr>
        <w:t xml:space="preserve">on </w:t>
      </w:r>
      <w:r w:rsidR="007F418F" w:rsidRPr="001B7918">
        <w:rPr>
          <w:rFonts w:ascii="Trebuchet MS" w:hAnsi="Trebuchet MS"/>
          <w:color w:val="auto"/>
          <w:sz w:val="18"/>
          <w:szCs w:val="18"/>
          <w:lang w:val="en-GB"/>
        </w:rPr>
        <w:t>components operability limits, assuming that:</w:t>
      </w:r>
    </w:p>
    <w:p w:rsidR="007F418F" w:rsidRPr="001B7918" w:rsidRDefault="007F418F" w:rsidP="00E62976">
      <w:pPr>
        <w:pStyle w:val="Paragraphedeliste"/>
        <w:numPr>
          <w:ilvl w:val="0"/>
          <w:numId w:val="44"/>
        </w:numPr>
        <w:autoSpaceDE w:val="0"/>
        <w:autoSpaceDN w:val="0"/>
        <w:adjustRightInd w:val="0"/>
        <w:spacing w:after="0" w:line="348" w:lineRule="atLeast"/>
        <w:jc w:val="both"/>
        <w:rPr>
          <w:rFonts w:ascii="Trebuchet MS" w:eastAsiaTheme="minorHAnsi" w:hAnsi="Trebuchet MS"/>
          <w:sz w:val="18"/>
          <w:szCs w:val="18"/>
        </w:rPr>
      </w:pPr>
      <w:r w:rsidRPr="001B7918">
        <w:rPr>
          <w:rFonts w:ascii="Trebuchet MS" w:eastAsiaTheme="minorHAnsi" w:hAnsi="Trebuchet MS"/>
          <w:sz w:val="18"/>
          <w:szCs w:val="18"/>
        </w:rPr>
        <w:t>SSCs will fail if the loads (acceleration, vibration, humidity, temperature, etc.) exceed the design loads</w:t>
      </w:r>
      <w:r w:rsidR="00FD04AC">
        <w:rPr>
          <w:rFonts w:ascii="Trebuchet MS" w:eastAsiaTheme="minorHAnsi" w:hAnsi="Trebuchet MS"/>
          <w:sz w:val="18"/>
          <w:szCs w:val="18"/>
        </w:rPr>
        <w:t>,</w:t>
      </w:r>
    </w:p>
    <w:p w:rsidR="007F418F" w:rsidRPr="001B7918" w:rsidRDefault="007F418F" w:rsidP="00E62976">
      <w:pPr>
        <w:pStyle w:val="Paragraphedeliste"/>
        <w:numPr>
          <w:ilvl w:val="0"/>
          <w:numId w:val="44"/>
        </w:numPr>
        <w:autoSpaceDE w:val="0"/>
        <w:autoSpaceDN w:val="0"/>
        <w:adjustRightInd w:val="0"/>
        <w:spacing w:after="0" w:line="348" w:lineRule="atLeast"/>
        <w:jc w:val="both"/>
        <w:rPr>
          <w:rFonts w:ascii="Trebuchet MS" w:eastAsiaTheme="minorHAnsi" w:hAnsi="Trebuchet MS"/>
          <w:sz w:val="18"/>
          <w:szCs w:val="18"/>
        </w:rPr>
      </w:pPr>
      <w:r w:rsidRPr="001B7918">
        <w:rPr>
          <w:rFonts w:ascii="Trebuchet MS" w:eastAsiaTheme="minorHAnsi" w:hAnsi="Trebuchet MS"/>
          <w:sz w:val="18"/>
          <w:szCs w:val="18"/>
        </w:rPr>
        <w:t>SSCs will remain operational if the loads are below the design loads</w:t>
      </w:r>
      <w:r w:rsidR="00FD04AC">
        <w:rPr>
          <w:rFonts w:ascii="Trebuchet MS" w:eastAsiaTheme="minorHAnsi" w:hAnsi="Trebuchet MS"/>
          <w:sz w:val="18"/>
          <w:szCs w:val="18"/>
        </w:rPr>
        <w:t>,</w:t>
      </w:r>
    </w:p>
    <w:p w:rsidR="007F418F" w:rsidRPr="001B7918" w:rsidRDefault="007F418F" w:rsidP="00E62976">
      <w:pPr>
        <w:pStyle w:val="Paragraphedeliste"/>
        <w:numPr>
          <w:ilvl w:val="0"/>
          <w:numId w:val="44"/>
        </w:numPr>
        <w:autoSpaceDE w:val="0"/>
        <w:autoSpaceDN w:val="0"/>
        <w:adjustRightInd w:val="0"/>
        <w:spacing w:after="0" w:line="348" w:lineRule="atLeast"/>
        <w:jc w:val="both"/>
        <w:rPr>
          <w:rFonts w:ascii="Trebuchet MS" w:eastAsiaTheme="minorHAnsi" w:hAnsi="Trebuchet MS"/>
          <w:sz w:val="18"/>
          <w:szCs w:val="18"/>
        </w:rPr>
      </w:pPr>
      <w:r w:rsidRPr="001B7918">
        <w:rPr>
          <w:rFonts w:ascii="Trebuchet MS" w:eastAsiaTheme="minorHAnsi" w:hAnsi="Trebuchet MS"/>
          <w:sz w:val="18"/>
          <w:szCs w:val="18"/>
        </w:rPr>
        <w:t>all equipment located inside damaged buildings/structures or close to the failed structures will be inoperable</w:t>
      </w:r>
      <w:r w:rsidR="00FD04AC">
        <w:rPr>
          <w:rFonts w:ascii="Trebuchet MS" w:eastAsiaTheme="minorHAnsi" w:hAnsi="Trebuchet MS"/>
          <w:sz w:val="18"/>
          <w:szCs w:val="18"/>
        </w:rPr>
        <w:t>,</w:t>
      </w:r>
    </w:p>
    <w:p w:rsidR="007F418F" w:rsidRPr="001B7918" w:rsidRDefault="007F418F" w:rsidP="00E62976">
      <w:pPr>
        <w:pStyle w:val="Paragraphedeliste"/>
        <w:numPr>
          <w:ilvl w:val="0"/>
          <w:numId w:val="44"/>
        </w:numPr>
        <w:autoSpaceDE w:val="0"/>
        <w:autoSpaceDN w:val="0"/>
        <w:adjustRightInd w:val="0"/>
        <w:spacing w:after="0" w:line="348" w:lineRule="atLeast"/>
        <w:jc w:val="both"/>
        <w:rPr>
          <w:rFonts w:ascii="Trebuchet MS" w:eastAsiaTheme="minorHAnsi" w:hAnsi="Trebuchet MS"/>
          <w:sz w:val="18"/>
          <w:szCs w:val="18"/>
        </w:rPr>
      </w:pPr>
      <w:r w:rsidRPr="001B7918">
        <w:rPr>
          <w:rFonts w:ascii="Trebuchet MS" w:eastAsiaTheme="minorHAnsi" w:hAnsi="Trebuchet MS"/>
          <w:sz w:val="18"/>
          <w:szCs w:val="18"/>
        </w:rPr>
        <w:t>human actions are successful if they are performed from a location not affected by the hazard and with pathways available after the hazard occurrence</w:t>
      </w:r>
      <w:r w:rsidR="00FD04AC">
        <w:rPr>
          <w:rFonts w:ascii="Trebuchet MS" w:eastAsiaTheme="minorHAnsi" w:hAnsi="Trebuchet MS"/>
          <w:sz w:val="18"/>
          <w:szCs w:val="18"/>
        </w:rPr>
        <w:t>.</w:t>
      </w:r>
    </w:p>
    <w:p w:rsidR="007E014E" w:rsidRDefault="007E014E" w:rsidP="005079A3">
      <w:pPr>
        <w:rPr>
          <w:lang w:val="en-GB"/>
        </w:rPr>
      </w:pPr>
    </w:p>
    <w:p w:rsidR="005A747B" w:rsidRPr="005D4428" w:rsidRDefault="005A747B" w:rsidP="005A747B">
      <w:pPr>
        <w:autoSpaceDE w:val="0"/>
        <w:autoSpaceDN w:val="0"/>
        <w:adjustRightInd w:val="0"/>
        <w:rPr>
          <w:rFonts w:eastAsiaTheme="minorHAnsi"/>
          <w:szCs w:val="18"/>
          <w:lang w:val="en-GB" w:eastAsia="en-US"/>
        </w:rPr>
      </w:pPr>
      <w:r w:rsidRPr="005D4428">
        <w:rPr>
          <w:rFonts w:eastAsiaTheme="minorHAnsi"/>
          <w:szCs w:val="18"/>
          <w:lang w:val="en-GB" w:eastAsia="en-US"/>
        </w:rPr>
        <w:t xml:space="preserve">The principles for internal </w:t>
      </w:r>
      <w:r w:rsidR="009A739D">
        <w:rPr>
          <w:rFonts w:eastAsiaTheme="minorHAnsi"/>
          <w:szCs w:val="18"/>
          <w:lang w:val="en-GB" w:eastAsia="en-US"/>
        </w:rPr>
        <w:t>initiating events</w:t>
      </w:r>
      <w:r w:rsidR="009A739D" w:rsidRPr="005D4428">
        <w:rPr>
          <w:rFonts w:eastAsiaTheme="minorHAnsi"/>
          <w:szCs w:val="18"/>
          <w:lang w:val="en-GB" w:eastAsia="en-US"/>
        </w:rPr>
        <w:t xml:space="preserve"> </w:t>
      </w:r>
      <w:r w:rsidRPr="005D4428">
        <w:rPr>
          <w:rFonts w:eastAsiaTheme="minorHAnsi"/>
          <w:szCs w:val="18"/>
          <w:lang w:val="en-GB" w:eastAsia="en-US"/>
        </w:rPr>
        <w:t xml:space="preserve">grouping </w:t>
      </w:r>
      <w:r w:rsidR="009A739D">
        <w:rPr>
          <w:rFonts w:eastAsiaTheme="minorHAnsi"/>
          <w:szCs w:val="18"/>
          <w:lang w:val="en-GB" w:eastAsia="en-US"/>
        </w:rPr>
        <w:t>can</w:t>
      </w:r>
      <w:r w:rsidR="009A739D" w:rsidRPr="005D4428">
        <w:rPr>
          <w:rFonts w:eastAsiaTheme="minorHAnsi"/>
          <w:szCs w:val="18"/>
          <w:lang w:val="en-GB" w:eastAsia="en-US"/>
        </w:rPr>
        <w:t xml:space="preserve"> </w:t>
      </w:r>
      <w:r w:rsidRPr="005D4428">
        <w:rPr>
          <w:rFonts w:eastAsiaTheme="minorHAnsi"/>
          <w:szCs w:val="18"/>
          <w:lang w:val="en-GB" w:eastAsia="en-US"/>
        </w:rPr>
        <w:t xml:space="preserve">be transferred to </w:t>
      </w:r>
      <w:r w:rsidRPr="00815D61">
        <w:rPr>
          <w:rFonts w:eastAsiaTheme="minorHAnsi"/>
          <w:szCs w:val="18"/>
          <w:lang w:val="en-GB" w:eastAsia="en-US"/>
        </w:rPr>
        <w:t>hazard scenario</w:t>
      </w:r>
      <w:r w:rsidR="009A739D">
        <w:rPr>
          <w:rFonts w:eastAsiaTheme="minorHAnsi"/>
          <w:szCs w:val="18"/>
          <w:lang w:val="en-GB" w:eastAsia="en-US"/>
        </w:rPr>
        <w:t>s. In order to reduce the amount of detailed analysis, a hazard scenario group</w:t>
      </w:r>
      <w:r w:rsidRPr="00815D61">
        <w:rPr>
          <w:rFonts w:eastAsiaTheme="minorHAnsi"/>
          <w:szCs w:val="18"/>
          <w:lang w:val="en-GB" w:eastAsia="en-US"/>
        </w:rPr>
        <w:t xml:space="preserve"> with enveloping boundary conditions and </w:t>
      </w:r>
      <w:r w:rsidR="009A739D">
        <w:rPr>
          <w:rFonts w:eastAsiaTheme="minorHAnsi"/>
          <w:szCs w:val="18"/>
          <w:lang w:val="en-GB" w:eastAsia="en-US"/>
        </w:rPr>
        <w:t xml:space="preserve">impact </w:t>
      </w:r>
      <w:r w:rsidRPr="00815D61">
        <w:rPr>
          <w:rFonts w:eastAsiaTheme="minorHAnsi"/>
          <w:szCs w:val="18"/>
          <w:lang w:val="en-GB" w:eastAsia="en-US"/>
        </w:rPr>
        <w:t xml:space="preserve">characteristics </w:t>
      </w:r>
      <w:r w:rsidR="009A739D">
        <w:rPr>
          <w:rFonts w:eastAsiaTheme="minorHAnsi"/>
          <w:szCs w:val="18"/>
          <w:lang w:val="en-GB" w:eastAsia="en-US"/>
        </w:rPr>
        <w:t>can be defined</w:t>
      </w:r>
      <w:r w:rsidRPr="005D4428">
        <w:rPr>
          <w:rFonts w:eastAsiaTheme="minorHAnsi"/>
          <w:szCs w:val="18"/>
          <w:lang w:val="en-GB" w:eastAsia="en-US"/>
        </w:rPr>
        <w:t>. The grouping should not be overly conservative</w:t>
      </w:r>
      <w:r w:rsidR="009A739D">
        <w:rPr>
          <w:rFonts w:eastAsiaTheme="minorHAnsi"/>
          <w:szCs w:val="18"/>
          <w:lang w:val="en-GB" w:eastAsia="en-US"/>
        </w:rPr>
        <w:t xml:space="preserve"> and it</w:t>
      </w:r>
      <w:r w:rsidRPr="005D4428">
        <w:rPr>
          <w:rFonts w:eastAsiaTheme="minorHAnsi"/>
          <w:szCs w:val="18"/>
          <w:lang w:val="en-GB" w:eastAsia="en-US"/>
        </w:rPr>
        <w:t xml:space="preserve"> shall be made in such a way that hazard scenarios assigned to the group would induce the same or a reasonably similar plant response</w:t>
      </w:r>
      <w:r w:rsidR="009A739D">
        <w:rPr>
          <w:rFonts w:eastAsiaTheme="minorHAnsi"/>
          <w:szCs w:val="18"/>
          <w:lang w:val="en-GB" w:eastAsia="en-US"/>
        </w:rPr>
        <w:t xml:space="preserve"> with regard to </w:t>
      </w:r>
      <w:r w:rsidRPr="005D4428">
        <w:rPr>
          <w:rFonts w:eastAsiaTheme="minorHAnsi"/>
          <w:szCs w:val="18"/>
          <w:lang w:val="en-GB" w:eastAsia="en-US"/>
        </w:rPr>
        <w:t>same success criteria on the frontline systems</w:t>
      </w:r>
      <w:r w:rsidR="009A739D">
        <w:rPr>
          <w:rFonts w:eastAsiaTheme="minorHAnsi"/>
          <w:szCs w:val="18"/>
          <w:lang w:val="en-GB" w:eastAsia="en-US"/>
        </w:rPr>
        <w:t xml:space="preserve">, </w:t>
      </w:r>
      <w:r w:rsidRPr="005D4428">
        <w:rPr>
          <w:rFonts w:eastAsiaTheme="minorHAnsi"/>
          <w:szCs w:val="18"/>
          <w:lang w:val="en-GB" w:eastAsia="en-US"/>
        </w:rPr>
        <w:t>challenges to plant operators</w:t>
      </w:r>
      <w:r w:rsidR="009A739D">
        <w:rPr>
          <w:rFonts w:eastAsiaTheme="minorHAnsi"/>
          <w:szCs w:val="18"/>
          <w:lang w:val="en-GB" w:eastAsia="en-US"/>
        </w:rPr>
        <w:t xml:space="preserve">, and </w:t>
      </w:r>
      <w:r w:rsidRPr="005D4428">
        <w:rPr>
          <w:rFonts w:eastAsiaTheme="minorHAnsi"/>
          <w:szCs w:val="18"/>
          <w:lang w:val="en-GB" w:eastAsia="en-US"/>
        </w:rPr>
        <w:t>plant damage states for PSA Level 1 and PSA Level 2.</w:t>
      </w:r>
      <w:r w:rsidRPr="00815D61">
        <w:rPr>
          <w:rFonts w:eastAsiaTheme="minorHAnsi"/>
          <w:szCs w:val="18"/>
          <w:lang w:val="en-GB" w:eastAsia="en-US"/>
        </w:rPr>
        <w:t xml:space="preserve"> </w:t>
      </w:r>
      <w:r w:rsidRPr="001B7918">
        <w:rPr>
          <w:szCs w:val="18"/>
          <w:lang w:val="en-GB"/>
        </w:rPr>
        <w:t xml:space="preserve">In particular, it should be checked if the accident progression after the initiating event will trigger the same mitigating systems and with the same (or less onerous) success criteria. Moreover, the availability and operability of safety systems and support systems, grace </w:t>
      </w:r>
      <w:r w:rsidR="006127F1">
        <w:rPr>
          <w:szCs w:val="18"/>
          <w:lang w:val="en-GB"/>
        </w:rPr>
        <w:t>periods</w:t>
      </w:r>
      <w:r w:rsidR="006127F1" w:rsidRPr="001B7918">
        <w:rPr>
          <w:szCs w:val="18"/>
          <w:lang w:val="en-GB"/>
        </w:rPr>
        <w:t xml:space="preserve"> </w:t>
      </w:r>
      <w:r w:rsidRPr="001B7918">
        <w:rPr>
          <w:szCs w:val="18"/>
          <w:lang w:val="en-GB"/>
        </w:rPr>
        <w:t>and requirements on operators should be similar or less onerous than those of the bounding event.</w:t>
      </w:r>
    </w:p>
    <w:p w:rsidR="005A747B" w:rsidRPr="005D4428" w:rsidRDefault="005A747B" w:rsidP="005A747B">
      <w:pPr>
        <w:autoSpaceDE w:val="0"/>
        <w:autoSpaceDN w:val="0"/>
        <w:adjustRightInd w:val="0"/>
        <w:rPr>
          <w:rFonts w:eastAsiaTheme="minorHAnsi"/>
          <w:szCs w:val="18"/>
          <w:lang w:val="en-GB" w:eastAsia="en-US"/>
        </w:rPr>
      </w:pPr>
    </w:p>
    <w:p w:rsidR="005A747B" w:rsidRPr="00815D61" w:rsidRDefault="006127F1" w:rsidP="005A747B">
      <w:pPr>
        <w:autoSpaceDE w:val="0"/>
        <w:autoSpaceDN w:val="0"/>
        <w:adjustRightInd w:val="0"/>
        <w:rPr>
          <w:rFonts w:eastAsiaTheme="minorHAnsi"/>
          <w:szCs w:val="18"/>
          <w:lang w:val="en-GB" w:eastAsia="en-US"/>
        </w:rPr>
      </w:pPr>
      <w:r>
        <w:rPr>
          <w:rFonts w:eastAsiaTheme="minorHAnsi"/>
          <w:szCs w:val="18"/>
          <w:lang w:val="en-GB" w:eastAsia="en-US"/>
        </w:rPr>
        <w:t xml:space="preserve">It is </w:t>
      </w:r>
      <w:r w:rsidR="005A747B" w:rsidRPr="005D4428">
        <w:rPr>
          <w:rFonts w:eastAsiaTheme="minorHAnsi"/>
          <w:szCs w:val="18"/>
          <w:lang w:val="en-GB" w:eastAsia="en-US"/>
        </w:rPr>
        <w:t>emphasize</w:t>
      </w:r>
      <w:r>
        <w:rPr>
          <w:rFonts w:eastAsiaTheme="minorHAnsi"/>
          <w:szCs w:val="18"/>
          <w:lang w:val="en-GB" w:eastAsia="en-US"/>
        </w:rPr>
        <w:t>d</w:t>
      </w:r>
      <w:r w:rsidR="005A747B" w:rsidRPr="005D4428">
        <w:rPr>
          <w:rFonts w:eastAsiaTheme="minorHAnsi"/>
          <w:szCs w:val="18"/>
          <w:lang w:val="en-GB" w:eastAsia="en-US"/>
        </w:rPr>
        <w:t xml:space="preserve"> that the process for the identification and mapping of internal events triggered by hazard scenarios, the grouping and/or partitioning of hazard scenarios with regard to mapped internal events, the identification and establishment of boundary conditions on the internal events assigned to each hazard scenario, and the development of a model for an extended PSA is to be understood as an iterative process. </w:t>
      </w:r>
    </w:p>
    <w:p w:rsidR="00401026" w:rsidRDefault="00401026" w:rsidP="00F5423F">
      <w:pPr>
        <w:rPr>
          <w:lang w:val="en-GB"/>
        </w:rPr>
      </w:pPr>
    </w:p>
    <w:p w:rsidR="005A747B" w:rsidRDefault="00F07960" w:rsidP="005A747B">
      <w:pPr>
        <w:rPr>
          <w:lang w:val="en-GB"/>
        </w:rPr>
      </w:pPr>
      <w:r>
        <w:rPr>
          <w:lang w:val="en-GB"/>
        </w:rPr>
        <w:t>It is</w:t>
      </w:r>
      <w:r w:rsidR="009A739D">
        <w:rPr>
          <w:lang w:val="en-GB"/>
        </w:rPr>
        <w:t xml:space="preserve"> recommend</w:t>
      </w:r>
      <w:r>
        <w:rPr>
          <w:lang w:val="en-GB"/>
        </w:rPr>
        <w:t>ed</w:t>
      </w:r>
      <w:r w:rsidR="009A739D">
        <w:rPr>
          <w:lang w:val="en-GB"/>
        </w:rPr>
        <w:t xml:space="preserve"> </w:t>
      </w:r>
      <w:r w:rsidR="006127F1">
        <w:rPr>
          <w:lang w:val="en-GB"/>
        </w:rPr>
        <w:t>applying</w:t>
      </w:r>
      <w:r w:rsidR="009A739D">
        <w:rPr>
          <w:lang w:val="en-GB"/>
        </w:rPr>
        <w:t xml:space="preserve"> the screening criteria outlined in section </w:t>
      </w:r>
      <w:r w:rsidR="00125AF4">
        <w:rPr>
          <w:lang w:val="en-GB"/>
        </w:rPr>
        <w:fldChar w:fldCharType="begin"/>
      </w:r>
      <w:r w:rsidR="009A739D">
        <w:rPr>
          <w:lang w:val="en-GB"/>
        </w:rPr>
        <w:instrText xml:space="preserve"> REF _Ref445029148 \r \h </w:instrText>
      </w:r>
      <w:r w:rsidR="00125AF4">
        <w:rPr>
          <w:lang w:val="en-GB"/>
        </w:rPr>
      </w:r>
      <w:r w:rsidR="00125AF4">
        <w:rPr>
          <w:lang w:val="en-GB"/>
        </w:rPr>
        <w:fldChar w:fldCharType="separate"/>
      </w:r>
      <w:r w:rsidR="00E62976">
        <w:rPr>
          <w:lang w:val="en-GB"/>
        </w:rPr>
        <w:t>6.2</w:t>
      </w:r>
      <w:r w:rsidR="00125AF4">
        <w:rPr>
          <w:lang w:val="en-GB"/>
        </w:rPr>
        <w:fldChar w:fldCharType="end"/>
      </w:r>
      <w:r w:rsidR="009A739D">
        <w:rPr>
          <w:lang w:val="en-GB"/>
        </w:rPr>
        <w:t xml:space="preserve">. No hazard-specific screening criteria are recommended. Since external hazards are usually affecting the site, site-PSA considerations play a role, cf. section </w:t>
      </w:r>
      <w:r w:rsidR="00125AF4">
        <w:rPr>
          <w:lang w:val="en-GB"/>
        </w:rPr>
        <w:fldChar w:fldCharType="begin"/>
      </w:r>
      <w:r w:rsidR="009A739D">
        <w:rPr>
          <w:lang w:val="en-GB"/>
        </w:rPr>
        <w:instrText xml:space="preserve"> REF _Ref444980284 \r \h </w:instrText>
      </w:r>
      <w:r w:rsidR="00125AF4">
        <w:rPr>
          <w:lang w:val="en-GB"/>
        </w:rPr>
      </w:r>
      <w:r w:rsidR="00125AF4">
        <w:rPr>
          <w:lang w:val="en-GB"/>
        </w:rPr>
        <w:fldChar w:fldCharType="separate"/>
      </w:r>
      <w:r w:rsidR="00E62976">
        <w:rPr>
          <w:lang w:val="en-GB"/>
        </w:rPr>
        <w:t>6.8</w:t>
      </w:r>
      <w:r w:rsidR="00125AF4">
        <w:rPr>
          <w:lang w:val="en-GB"/>
        </w:rPr>
        <w:fldChar w:fldCharType="end"/>
      </w:r>
      <w:r w:rsidR="009A739D">
        <w:rPr>
          <w:lang w:val="en-GB"/>
        </w:rPr>
        <w:t xml:space="preserve">. For discussion on combinations of hazards and correlated hazards, see section </w:t>
      </w:r>
      <w:r w:rsidR="00125AF4">
        <w:rPr>
          <w:lang w:val="en-GB"/>
        </w:rPr>
        <w:fldChar w:fldCharType="begin"/>
      </w:r>
      <w:r w:rsidR="009A739D">
        <w:rPr>
          <w:lang w:val="en-GB"/>
        </w:rPr>
        <w:instrText xml:space="preserve"> REF _Ref445062137 \r \h </w:instrText>
      </w:r>
      <w:r w:rsidR="00125AF4">
        <w:rPr>
          <w:lang w:val="en-GB"/>
        </w:rPr>
      </w:r>
      <w:r w:rsidR="00125AF4">
        <w:rPr>
          <w:lang w:val="en-GB"/>
        </w:rPr>
        <w:fldChar w:fldCharType="separate"/>
      </w:r>
      <w:r w:rsidR="00E62976">
        <w:rPr>
          <w:lang w:val="en-GB"/>
        </w:rPr>
        <w:t>6.7</w:t>
      </w:r>
      <w:r w:rsidR="00125AF4">
        <w:rPr>
          <w:lang w:val="en-GB"/>
        </w:rPr>
        <w:fldChar w:fldCharType="end"/>
      </w:r>
      <w:r w:rsidR="009A739D">
        <w:rPr>
          <w:lang w:val="en-GB"/>
        </w:rPr>
        <w:t xml:space="preserve"> below. </w:t>
      </w:r>
    </w:p>
    <w:p w:rsidR="00401026" w:rsidRPr="00F5423F" w:rsidRDefault="00401026" w:rsidP="00F5423F">
      <w:pPr>
        <w:rPr>
          <w:lang w:val="en-GB"/>
        </w:rPr>
      </w:pPr>
    </w:p>
    <w:p w:rsidR="00E8318D" w:rsidRDefault="00731003" w:rsidP="005079A3">
      <w:pPr>
        <w:pStyle w:val="Titre2"/>
        <w:rPr>
          <w:lang w:val="en-GB"/>
        </w:rPr>
      </w:pPr>
      <w:bookmarkStart w:id="512" w:name="_Ref445062137"/>
      <w:bookmarkStart w:id="513" w:name="_Toc473303593"/>
      <w:r>
        <w:rPr>
          <w:lang w:val="en-GB"/>
        </w:rPr>
        <w:t>SELECTION</w:t>
      </w:r>
      <w:r w:rsidR="00E8318D" w:rsidRPr="005079A3">
        <w:rPr>
          <w:lang w:val="en-GB"/>
        </w:rPr>
        <w:t xml:space="preserve"> </w:t>
      </w:r>
      <w:r>
        <w:rPr>
          <w:lang w:val="en-GB"/>
        </w:rPr>
        <w:t>OF</w:t>
      </w:r>
      <w:r w:rsidR="00E8318D" w:rsidRPr="005079A3">
        <w:rPr>
          <w:lang w:val="en-GB"/>
        </w:rPr>
        <w:t xml:space="preserve"> </w:t>
      </w:r>
      <w:r w:rsidR="006101D2">
        <w:rPr>
          <w:lang w:val="en-GB"/>
        </w:rPr>
        <w:t xml:space="preserve">THE COMBINED/CORRELATED </w:t>
      </w:r>
      <w:r w:rsidR="00342A71" w:rsidRPr="00342A71">
        <w:rPr>
          <w:caps w:val="0"/>
          <w:lang w:val="en-GB"/>
        </w:rPr>
        <w:t>HAZARDS</w:t>
      </w:r>
      <w:r w:rsidR="00E8318D" w:rsidRPr="005079A3">
        <w:rPr>
          <w:lang w:val="en-GB"/>
        </w:rPr>
        <w:t xml:space="preserve"> </w:t>
      </w:r>
      <w:r w:rsidR="006101D2">
        <w:rPr>
          <w:lang w:val="en-GB"/>
        </w:rPr>
        <w:t>SCENARIOS</w:t>
      </w:r>
      <w:r w:rsidR="00E8318D" w:rsidRPr="00D054C1">
        <w:rPr>
          <w:lang w:val="en-GB"/>
        </w:rPr>
        <w:t xml:space="preserve"> </w:t>
      </w:r>
      <w:r w:rsidR="003066D2">
        <w:rPr>
          <w:lang w:val="en-GB"/>
        </w:rPr>
        <w:t>IN</w:t>
      </w:r>
      <w:r w:rsidR="00E8318D" w:rsidRPr="005079A3">
        <w:rPr>
          <w:lang w:val="en-GB"/>
        </w:rPr>
        <w:t xml:space="preserve"> </w:t>
      </w:r>
      <w:r w:rsidR="003066D2" w:rsidRPr="003066D2">
        <w:rPr>
          <w:caps w:val="0"/>
          <w:lang w:val="en-GB"/>
        </w:rPr>
        <w:t>A</w:t>
      </w:r>
      <w:r w:rsidR="006101D2">
        <w:rPr>
          <w:lang w:val="en-GB"/>
        </w:rPr>
        <w:t xml:space="preserve"> SINGLE UNIT </w:t>
      </w:r>
      <w:r w:rsidR="006101D2" w:rsidRPr="006101D2">
        <w:rPr>
          <w:lang w:val="en-GB"/>
        </w:rPr>
        <w:t>PSA</w:t>
      </w:r>
      <w:bookmarkEnd w:id="512"/>
      <w:bookmarkEnd w:id="513"/>
    </w:p>
    <w:p w:rsidR="00721087" w:rsidRDefault="009A739D" w:rsidP="00721087">
      <w:pPr>
        <w:rPr>
          <w:lang w:val="en-GB"/>
        </w:rPr>
      </w:pPr>
      <w:r>
        <w:rPr>
          <w:lang w:val="en-GB"/>
        </w:rPr>
        <w:t>With regard to the selection of combinations of external as well as internal hazards and correlated hazards</w:t>
      </w:r>
      <w:r w:rsidR="00AC195F">
        <w:rPr>
          <w:lang w:val="en-GB"/>
        </w:rPr>
        <w:t xml:space="preserve"> </w:t>
      </w:r>
      <w:r w:rsidR="0076459E">
        <w:rPr>
          <w:lang w:val="en-GB"/>
        </w:rPr>
        <w:t>and</w:t>
      </w:r>
      <w:r w:rsidR="00AC195F">
        <w:rPr>
          <w:lang w:val="en-GB"/>
        </w:rPr>
        <w:t xml:space="preserve"> internal events, t</w:t>
      </w:r>
      <w:r w:rsidR="00721087">
        <w:rPr>
          <w:lang w:val="en-GB"/>
        </w:rPr>
        <w:t xml:space="preserve">he following recommendations from the report ASAMPSA D30.2 </w:t>
      </w:r>
      <w:r w:rsidR="00ED38F4">
        <w:rPr>
          <w:lang w:val="en-GB"/>
        </w:rPr>
        <w:fldChar w:fldCharType="begin"/>
      </w:r>
      <w:r w:rsidR="00ED38F4">
        <w:rPr>
          <w:lang w:val="en-GB"/>
        </w:rPr>
        <w:instrText xml:space="preserve"> REF _Ref422842679 \r \h </w:instrText>
      </w:r>
      <w:r w:rsidR="00ED38F4">
        <w:rPr>
          <w:lang w:val="en-GB"/>
        </w:rPr>
      </w:r>
      <w:r w:rsidR="00ED38F4">
        <w:rPr>
          <w:lang w:val="en-GB"/>
        </w:rPr>
        <w:fldChar w:fldCharType="separate"/>
      </w:r>
      <w:r w:rsidR="00E62976">
        <w:rPr>
          <w:lang w:val="en-GB"/>
        </w:rPr>
        <w:t>[86]</w:t>
      </w:r>
      <w:r w:rsidR="00ED38F4">
        <w:rPr>
          <w:lang w:val="en-GB"/>
        </w:rPr>
        <w:fldChar w:fldCharType="end"/>
      </w:r>
      <w:r w:rsidR="00721087">
        <w:rPr>
          <w:lang w:val="en-GB"/>
        </w:rPr>
        <w:t xml:space="preserve"> are particularly relevant.</w:t>
      </w:r>
    </w:p>
    <w:p w:rsidR="00C1760C" w:rsidRDefault="00C1760C" w:rsidP="00C1760C">
      <w:pPr>
        <w:ind w:left="284"/>
        <w:rPr>
          <w:lang w:val="en-GB"/>
        </w:rPr>
      </w:pPr>
      <w:r>
        <w:rPr>
          <w:lang w:val="en-GB"/>
        </w:rPr>
        <w:t>“</w:t>
      </w:r>
      <w:r w:rsidRPr="00857C86">
        <w:rPr>
          <w:lang w:val="en-GB"/>
        </w:rPr>
        <w:t>A realistic set of combinations of hazards should be identified on the basis of a list of individual internal and external hazards, before the application of any screening criteria.</w:t>
      </w:r>
      <w:r>
        <w:rPr>
          <w:lang w:val="en-GB"/>
        </w:rPr>
        <w:t xml:space="preserve"> </w:t>
      </w:r>
    </w:p>
    <w:p w:rsidR="00C1760C" w:rsidRPr="004569EB" w:rsidRDefault="00C1760C" w:rsidP="00C1760C">
      <w:pPr>
        <w:ind w:left="284"/>
        <w:rPr>
          <w:lang w:val="en-GB"/>
        </w:rPr>
      </w:pPr>
      <w:r w:rsidRPr="004569EB">
        <w:rPr>
          <w:lang w:val="en-GB"/>
        </w:rPr>
        <w:t>It should be done through a systematic check of dependencies, by identifying:</w:t>
      </w:r>
    </w:p>
    <w:p w:rsidR="00C1760C" w:rsidRPr="004569EB" w:rsidRDefault="00C1760C" w:rsidP="00E62976">
      <w:pPr>
        <w:numPr>
          <w:ilvl w:val="0"/>
          <w:numId w:val="72"/>
        </w:numPr>
        <w:rPr>
          <w:lang w:val="en-GB"/>
        </w:rPr>
      </w:pPr>
      <w:r w:rsidRPr="004569EB">
        <w:rPr>
          <w:lang w:val="en-GB"/>
        </w:rPr>
        <w:t>hazards occurring at the same time and in the same conditions (e.g. winds and snow);</w:t>
      </w:r>
    </w:p>
    <w:p w:rsidR="00C1760C" w:rsidRPr="004569EB" w:rsidRDefault="00C1760C" w:rsidP="00E62976">
      <w:pPr>
        <w:numPr>
          <w:ilvl w:val="0"/>
          <w:numId w:val="72"/>
        </w:numPr>
        <w:rPr>
          <w:lang w:val="en-GB"/>
        </w:rPr>
      </w:pPr>
      <w:r w:rsidRPr="004569EB">
        <w:rPr>
          <w:lang w:val="en-GB"/>
        </w:rPr>
        <w:t>hazards and other internal events occurring at the same time (e.g. if a hazard situation persists);</w:t>
      </w:r>
    </w:p>
    <w:p w:rsidR="00C1760C" w:rsidRPr="004569EB" w:rsidRDefault="00C1760C" w:rsidP="00E62976">
      <w:pPr>
        <w:numPr>
          <w:ilvl w:val="0"/>
          <w:numId w:val="72"/>
        </w:numPr>
        <w:rPr>
          <w:lang w:val="en-GB"/>
        </w:rPr>
      </w:pPr>
      <w:r w:rsidRPr="004569EB">
        <w:rPr>
          <w:lang w:val="en-GB"/>
        </w:rPr>
        <w:t>external hazard inducing other external hazards (e.g. seismically induced tsunami) ;</w:t>
      </w:r>
    </w:p>
    <w:p w:rsidR="00C1760C" w:rsidRPr="004569EB" w:rsidRDefault="00C1760C" w:rsidP="00E62976">
      <w:pPr>
        <w:numPr>
          <w:ilvl w:val="0"/>
          <w:numId w:val="72"/>
        </w:numPr>
        <w:rPr>
          <w:lang w:val="en-GB"/>
        </w:rPr>
      </w:pPr>
      <w:r w:rsidRPr="004569EB">
        <w:rPr>
          <w:lang w:val="en-GB"/>
        </w:rPr>
        <w:t>external hazard inducing internal hazards (e.g. seismically induced internal fires);</w:t>
      </w:r>
    </w:p>
    <w:p w:rsidR="00C1760C" w:rsidRDefault="00C1760C" w:rsidP="00E62976">
      <w:pPr>
        <w:numPr>
          <w:ilvl w:val="0"/>
          <w:numId w:val="71"/>
        </w:numPr>
        <w:ind w:left="709"/>
        <w:rPr>
          <w:lang w:val="en-GB"/>
        </w:rPr>
      </w:pPr>
      <w:r w:rsidRPr="004569EB">
        <w:rPr>
          <w:lang w:val="en-GB"/>
        </w:rPr>
        <w:t>internal hazard inducing other internal hazards (e.g. internal floods induced by missiles).</w:t>
      </w:r>
      <w:r>
        <w:rPr>
          <w:lang w:val="en-GB"/>
        </w:rPr>
        <w:t xml:space="preserve">” </w:t>
      </w:r>
      <w:r w:rsidR="00ED38F4">
        <w:rPr>
          <w:lang w:val="en-GB"/>
        </w:rPr>
        <w:fldChar w:fldCharType="begin"/>
      </w:r>
      <w:r w:rsidR="00ED38F4">
        <w:rPr>
          <w:lang w:val="en-GB"/>
        </w:rPr>
        <w:instrText xml:space="preserve"> REF _Ref422842679 \r \h </w:instrText>
      </w:r>
      <w:r w:rsidR="00ED38F4">
        <w:rPr>
          <w:lang w:val="en-GB"/>
        </w:rPr>
      </w:r>
      <w:r w:rsidR="00ED38F4">
        <w:rPr>
          <w:lang w:val="en-GB"/>
        </w:rPr>
        <w:fldChar w:fldCharType="separate"/>
      </w:r>
      <w:r w:rsidR="00E62976">
        <w:rPr>
          <w:lang w:val="en-GB"/>
        </w:rPr>
        <w:t>[86]</w:t>
      </w:r>
      <w:r w:rsidR="00ED38F4">
        <w:rPr>
          <w:lang w:val="en-GB"/>
        </w:rPr>
        <w:fldChar w:fldCharType="end"/>
      </w:r>
      <w:r>
        <w:rPr>
          <w:lang w:val="en-GB"/>
        </w:rPr>
        <w:t>, p. 13</w:t>
      </w:r>
    </w:p>
    <w:p w:rsidR="00C1760C" w:rsidRPr="004569EB" w:rsidRDefault="00C1760C" w:rsidP="00C1760C">
      <w:pPr>
        <w:ind w:left="284"/>
        <w:rPr>
          <w:lang w:val="en-GB"/>
        </w:rPr>
      </w:pPr>
      <w:r>
        <w:rPr>
          <w:lang w:val="en-GB"/>
        </w:rPr>
        <w:t>“</w:t>
      </w:r>
      <w:r w:rsidRPr="004569EB">
        <w:rPr>
          <w:lang w:val="en-GB"/>
        </w:rPr>
        <w:t>The screening process should consider justifiable frequencies for the hazards of relatively high magnitude even if they have never been observed in the past in the plant vicinity. The impact of correlated hazards should be carefully considered.</w:t>
      </w:r>
      <w:r>
        <w:rPr>
          <w:lang w:val="en-GB"/>
        </w:rPr>
        <w:t xml:space="preserve">” </w:t>
      </w:r>
      <w:r w:rsidR="00ED38F4">
        <w:rPr>
          <w:lang w:val="en-GB"/>
        </w:rPr>
        <w:fldChar w:fldCharType="begin"/>
      </w:r>
      <w:r w:rsidR="00ED38F4">
        <w:rPr>
          <w:lang w:val="en-GB"/>
        </w:rPr>
        <w:instrText xml:space="preserve"> REF _Ref422842679 \r \h </w:instrText>
      </w:r>
      <w:r w:rsidR="00ED38F4">
        <w:rPr>
          <w:lang w:val="en-GB"/>
        </w:rPr>
      </w:r>
      <w:r w:rsidR="00ED38F4">
        <w:rPr>
          <w:lang w:val="en-GB"/>
        </w:rPr>
        <w:fldChar w:fldCharType="separate"/>
      </w:r>
      <w:r w:rsidR="00E62976">
        <w:rPr>
          <w:lang w:val="en-GB"/>
        </w:rPr>
        <w:t>[86]</w:t>
      </w:r>
      <w:r w:rsidR="00ED38F4">
        <w:rPr>
          <w:lang w:val="en-GB"/>
        </w:rPr>
        <w:fldChar w:fldCharType="end"/>
      </w:r>
      <w:r>
        <w:rPr>
          <w:lang w:val="en-GB"/>
        </w:rPr>
        <w:t xml:space="preserve"> p. 15</w:t>
      </w:r>
    </w:p>
    <w:p w:rsidR="00C1760C" w:rsidRDefault="00C1760C" w:rsidP="005079A3">
      <w:pPr>
        <w:rPr>
          <w:lang w:val="en-GB"/>
        </w:rPr>
      </w:pPr>
    </w:p>
    <w:p w:rsidR="006479BB" w:rsidRPr="000945B2" w:rsidRDefault="006479BB" w:rsidP="006479BB">
      <w:pPr>
        <w:autoSpaceDE w:val="0"/>
        <w:autoSpaceDN w:val="0"/>
        <w:adjustRightInd w:val="0"/>
        <w:rPr>
          <w:rFonts w:cs="Arial"/>
          <w:szCs w:val="18"/>
          <w:lang w:val="en-US"/>
        </w:rPr>
      </w:pPr>
      <w:r>
        <w:rPr>
          <w:lang w:val="en-GB"/>
        </w:rPr>
        <w:t xml:space="preserve">The scope of hazard screening needs to be comprehensive. The ASAMPSA_E project has drawn up a list of external hazards, including man-made hazards, which by themselves or as combinations can apply to the site of a nuclear installation. </w:t>
      </w:r>
      <w:r w:rsidRPr="000945B2">
        <w:rPr>
          <w:rFonts w:cs="Arial"/>
          <w:szCs w:val="18"/>
          <w:lang w:val="en-US"/>
        </w:rPr>
        <w:t>The correlations between hazards can lead to the following categories of combinations</w:t>
      </w:r>
      <w:r>
        <w:rPr>
          <w:rFonts w:cs="Arial"/>
          <w:szCs w:val="18"/>
          <w:lang w:val="en-US"/>
        </w:rPr>
        <w:t xml:space="preserve"> </w:t>
      </w:r>
      <w:r w:rsidR="00ED38F4">
        <w:rPr>
          <w:rFonts w:cs="Arial"/>
          <w:szCs w:val="18"/>
          <w:lang w:val="en-US"/>
        </w:rPr>
        <w:fldChar w:fldCharType="begin"/>
      </w:r>
      <w:r w:rsidR="00ED38F4">
        <w:rPr>
          <w:rFonts w:cs="Arial"/>
          <w:szCs w:val="18"/>
          <w:lang w:val="en-US"/>
        </w:rPr>
        <w:instrText xml:space="preserve"> REF _Ref433376606 \r \h </w:instrText>
      </w:r>
      <w:r w:rsidR="00ED38F4">
        <w:rPr>
          <w:rFonts w:cs="Arial"/>
          <w:szCs w:val="18"/>
          <w:lang w:val="en-US"/>
        </w:rPr>
      </w:r>
      <w:r w:rsidR="00ED38F4">
        <w:rPr>
          <w:rFonts w:cs="Arial"/>
          <w:szCs w:val="18"/>
          <w:lang w:val="en-US"/>
        </w:rPr>
        <w:fldChar w:fldCharType="separate"/>
      </w:r>
      <w:r w:rsidR="00E62976">
        <w:rPr>
          <w:rFonts w:cs="Arial"/>
          <w:szCs w:val="18"/>
          <w:lang w:val="en-US"/>
        </w:rPr>
        <w:t>[96]</w:t>
      </w:r>
      <w:r w:rsidR="00ED38F4">
        <w:rPr>
          <w:rFonts w:cs="Arial"/>
          <w:szCs w:val="18"/>
          <w:lang w:val="en-US"/>
        </w:rPr>
        <w:fldChar w:fldCharType="end"/>
      </w:r>
      <w:r w:rsidRPr="000945B2">
        <w:rPr>
          <w:rFonts w:cs="Arial"/>
          <w:szCs w:val="18"/>
          <w:lang w:val="en-US"/>
        </w:rPr>
        <w:t>:</w:t>
      </w:r>
    </w:p>
    <w:p w:rsidR="006479BB" w:rsidRPr="001B7918" w:rsidRDefault="008555D8" w:rsidP="00E62976">
      <w:pPr>
        <w:numPr>
          <w:ilvl w:val="0"/>
          <w:numId w:val="71"/>
        </w:numPr>
        <w:rPr>
          <w:lang w:val="en-GB"/>
        </w:rPr>
      </w:pPr>
      <w:r>
        <w:rPr>
          <w:lang w:val="en-GB"/>
        </w:rPr>
        <w:t>c</w:t>
      </w:r>
      <w:r w:rsidR="006479BB" w:rsidRPr="001B7918">
        <w:rPr>
          <w:lang w:val="en-GB"/>
        </w:rPr>
        <w:t>ausally connected hazards where one hazard may cause another hazard; or where one hazard is a prerequisite for a correlated hazard</w:t>
      </w:r>
      <w:r>
        <w:rPr>
          <w:lang w:val="en-GB"/>
        </w:rPr>
        <w:t>,</w:t>
      </w:r>
    </w:p>
    <w:p w:rsidR="006479BB" w:rsidRPr="001B7918" w:rsidRDefault="008555D8" w:rsidP="00E62976">
      <w:pPr>
        <w:numPr>
          <w:ilvl w:val="0"/>
          <w:numId w:val="71"/>
        </w:numPr>
        <w:rPr>
          <w:lang w:val="en-GB"/>
        </w:rPr>
      </w:pPr>
      <w:r>
        <w:rPr>
          <w:lang w:val="en-GB"/>
        </w:rPr>
        <w:t>a</w:t>
      </w:r>
      <w:r w:rsidR="006479BB" w:rsidRPr="001B7918">
        <w:rPr>
          <w:lang w:val="en-GB"/>
        </w:rPr>
        <w:t>ssociated hazards which are probable to occur at the same time due to a common root cause</w:t>
      </w:r>
      <w:r>
        <w:rPr>
          <w:lang w:val="en-GB"/>
        </w:rPr>
        <w:t>.</w:t>
      </w:r>
    </w:p>
    <w:p w:rsidR="006479BB" w:rsidRPr="000945B2" w:rsidRDefault="006479BB" w:rsidP="006479BB">
      <w:pPr>
        <w:rPr>
          <w:rFonts w:cs="Arial"/>
          <w:szCs w:val="18"/>
          <w:lang w:val="en-US"/>
        </w:rPr>
      </w:pPr>
      <w:r w:rsidRPr="000945B2">
        <w:rPr>
          <w:rFonts w:cs="Arial"/>
          <w:szCs w:val="18"/>
          <w:lang w:val="en-US"/>
        </w:rPr>
        <w:t xml:space="preserve">The causality dependence can be divided into </w:t>
      </w:r>
      <w:r w:rsidR="004311B6">
        <w:rPr>
          <w:rFonts w:cs="Arial"/>
          <w:szCs w:val="18"/>
          <w:lang w:val="en-US"/>
        </w:rPr>
        <w:t>two</w:t>
      </w:r>
      <w:r w:rsidR="004311B6" w:rsidRPr="000945B2">
        <w:rPr>
          <w:rFonts w:cs="Arial"/>
          <w:szCs w:val="18"/>
          <w:lang w:val="en-US"/>
        </w:rPr>
        <w:t xml:space="preserve"> </w:t>
      </w:r>
      <w:r w:rsidRPr="000945B2">
        <w:rPr>
          <w:rFonts w:cs="Arial"/>
          <w:szCs w:val="18"/>
          <w:lang w:val="en-US"/>
        </w:rPr>
        <w:t>categories:</w:t>
      </w:r>
    </w:p>
    <w:p w:rsidR="006479BB" w:rsidRPr="001B7918" w:rsidRDefault="006479BB" w:rsidP="00E62976">
      <w:pPr>
        <w:numPr>
          <w:ilvl w:val="0"/>
          <w:numId w:val="71"/>
        </w:numPr>
        <w:rPr>
          <w:lang w:val="en-GB"/>
        </w:rPr>
      </w:pPr>
      <w:r w:rsidRPr="001B7918">
        <w:rPr>
          <w:lang w:val="en-GB"/>
        </w:rPr>
        <w:t>causality dependence between the specific hazard and the external natural hazards group</w:t>
      </w:r>
      <w:r w:rsidR="008555D8">
        <w:rPr>
          <w:lang w:val="en-GB"/>
        </w:rPr>
        <w:t>,</w:t>
      </w:r>
    </w:p>
    <w:p w:rsidR="006479BB" w:rsidRPr="001B7918" w:rsidRDefault="006479BB" w:rsidP="00E62976">
      <w:pPr>
        <w:numPr>
          <w:ilvl w:val="0"/>
          <w:numId w:val="71"/>
        </w:numPr>
        <w:rPr>
          <w:lang w:val="en-GB"/>
        </w:rPr>
      </w:pPr>
      <w:r w:rsidRPr="001B7918">
        <w:rPr>
          <w:lang w:val="en-GB"/>
        </w:rPr>
        <w:t>causality dependence of specific hazard with the man-made hazards group</w:t>
      </w:r>
      <w:r w:rsidR="008555D8">
        <w:rPr>
          <w:lang w:val="en-GB"/>
        </w:rPr>
        <w:t>.</w:t>
      </w:r>
    </w:p>
    <w:p w:rsidR="006479BB" w:rsidRDefault="00CF69BE" w:rsidP="005079A3">
      <w:pPr>
        <w:rPr>
          <w:lang w:val="en-GB"/>
        </w:rPr>
      </w:pPr>
      <w:r>
        <w:rPr>
          <w:lang w:val="en-GB"/>
        </w:rPr>
        <w:t>With respect to internal hazards, the analysis has to be extended to consider the following issues</w:t>
      </w:r>
      <w:r w:rsidR="004311B6">
        <w:rPr>
          <w:lang w:val="en-GB"/>
        </w:rPr>
        <w:t>:</w:t>
      </w:r>
    </w:p>
    <w:p w:rsidR="00CF69BE" w:rsidRPr="001B7918" w:rsidRDefault="00CF69BE" w:rsidP="00E62976">
      <w:pPr>
        <w:numPr>
          <w:ilvl w:val="0"/>
          <w:numId w:val="71"/>
        </w:numPr>
        <w:rPr>
          <w:lang w:val="en-GB"/>
        </w:rPr>
      </w:pPr>
      <w:r>
        <w:rPr>
          <w:lang w:val="en-GB"/>
        </w:rPr>
        <w:t>Internal hazard scenarios are triggered as a consequence of external hazard impact (e.g. external flooding entering the reactor building)</w:t>
      </w:r>
      <w:r w:rsidR="008555D8">
        <w:rPr>
          <w:lang w:val="en-GB"/>
        </w:rPr>
        <w:t>,</w:t>
      </w:r>
    </w:p>
    <w:p w:rsidR="00CF69BE" w:rsidRDefault="00CF69BE" w:rsidP="00E62976">
      <w:pPr>
        <w:numPr>
          <w:ilvl w:val="0"/>
          <w:numId w:val="71"/>
        </w:numPr>
        <w:rPr>
          <w:lang w:val="en-GB"/>
        </w:rPr>
      </w:pPr>
      <w:r>
        <w:rPr>
          <w:lang w:val="en-GB"/>
        </w:rPr>
        <w:t>Internal hazard scenarios triggered on the site but not in the unit or for the source currently analyse</w:t>
      </w:r>
      <w:r w:rsidR="0076459E">
        <w:rPr>
          <w:lang w:val="en-GB"/>
        </w:rPr>
        <w:t>d</w:t>
      </w:r>
      <w:r>
        <w:rPr>
          <w:lang w:val="en-GB"/>
        </w:rPr>
        <w:t xml:space="preserve"> (cf. section </w:t>
      </w:r>
      <w:r w:rsidR="00125AF4">
        <w:rPr>
          <w:lang w:val="en-GB"/>
        </w:rPr>
        <w:fldChar w:fldCharType="begin"/>
      </w:r>
      <w:r>
        <w:rPr>
          <w:lang w:val="en-GB"/>
        </w:rPr>
        <w:instrText xml:space="preserve"> REF _Ref445215343 \r \h </w:instrText>
      </w:r>
      <w:r w:rsidR="00125AF4">
        <w:rPr>
          <w:lang w:val="en-GB"/>
        </w:rPr>
      </w:r>
      <w:r w:rsidR="00125AF4">
        <w:rPr>
          <w:lang w:val="en-GB"/>
        </w:rPr>
        <w:fldChar w:fldCharType="separate"/>
      </w:r>
      <w:r w:rsidR="00E62976">
        <w:rPr>
          <w:lang w:val="en-GB"/>
        </w:rPr>
        <w:t>6.5</w:t>
      </w:r>
      <w:r w:rsidR="00125AF4">
        <w:rPr>
          <w:lang w:val="en-GB"/>
        </w:rPr>
        <w:fldChar w:fldCharType="end"/>
      </w:r>
      <w:r w:rsidR="004311B6">
        <w:rPr>
          <w:lang w:val="en-GB"/>
        </w:rPr>
        <w:t>)</w:t>
      </w:r>
      <w:r w:rsidR="008555D8">
        <w:rPr>
          <w:lang w:val="en-GB"/>
        </w:rPr>
        <w:t>,</w:t>
      </w:r>
    </w:p>
    <w:p w:rsidR="00CF69BE" w:rsidRPr="00CF69BE" w:rsidRDefault="00CF69BE" w:rsidP="00E62976">
      <w:pPr>
        <w:numPr>
          <w:ilvl w:val="0"/>
          <w:numId w:val="71"/>
        </w:numPr>
        <w:rPr>
          <w:lang w:val="en-GB"/>
        </w:rPr>
      </w:pPr>
      <w:r>
        <w:rPr>
          <w:lang w:val="en-GB"/>
        </w:rPr>
        <w:t>Internal initiating events, for which probability of occurrence correlates with the hazard scenario frequencies (e.g. a LOOP scenario might be more likely due to high grid load in conjunction with a heat wave or during the hurricane season).</w:t>
      </w:r>
    </w:p>
    <w:p w:rsidR="00CF69BE" w:rsidRDefault="00CF69BE" w:rsidP="005079A3">
      <w:pPr>
        <w:rPr>
          <w:lang w:val="en-GB"/>
        </w:rPr>
      </w:pPr>
    </w:p>
    <w:p w:rsidR="00270FB7" w:rsidRDefault="00270FB7" w:rsidP="005079A3">
      <w:pPr>
        <w:rPr>
          <w:lang w:val="en-GB"/>
        </w:rPr>
      </w:pPr>
      <w:r>
        <w:rPr>
          <w:lang w:val="en-GB"/>
        </w:rPr>
        <w:t xml:space="preserve">As a first step, </w:t>
      </w:r>
      <w:r w:rsidR="00777C8B">
        <w:rPr>
          <w:lang w:val="en-GB"/>
        </w:rPr>
        <w:t>PSA analysts should develop a matrix of all reasonable (bounding) combinations</w:t>
      </w:r>
      <w:r w:rsidR="00D03349">
        <w:rPr>
          <w:lang w:val="en-GB"/>
        </w:rPr>
        <w:t xml:space="preserve"> of hazards deemed applicable to the site</w:t>
      </w:r>
      <w:r w:rsidR="00777C8B">
        <w:rPr>
          <w:lang w:val="en-GB"/>
        </w:rPr>
        <w:t xml:space="preserve">. </w:t>
      </w:r>
      <w:r w:rsidR="0021705F">
        <w:rPr>
          <w:lang w:val="en-GB"/>
        </w:rPr>
        <w:t xml:space="preserve">Quantitative screening thresholds as </w:t>
      </w:r>
      <w:r w:rsidR="0021705F" w:rsidRPr="00167660">
        <w:rPr>
          <w:lang w:val="en-GB"/>
        </w:rPr>
        <w:t xml:space="preserve">defined in </w:t>
      </w:r>
      <w:r w:rsidR="0021705F" w:rsidRPr="00080288">
        <w:rPr>
          <w:lang w:val="en-GB"/>
        </w:rPr>
        <w:t xml:space="preserve">section </w:t>
      </w:r>
      <w:r w:rsidR="00A72107">
        <w:fldChar w:fldCharType="begin"/>
      </w:r>
      <w:r w:rsidR="00A72107" w:rsidRPr="00453A79">
        <w:instrText xml:space="preserve"> REF _Ref446676114 \r \h  \* MERGEFORMAT </w:instrText>
      </w:r>
      <w:r w:rsidR="00A72107">
        <w:fldChar w:fldCharType="separate"/>
      </w:r>
      <w:r w:rsidR="00E62976" w:rsidRPr="00E62976">
        <w:rPr>
          <w:lang w:val="en-GB"/>
        </w:rPr>
        <w:t>b</w:t>
      </w:r>
      <w:r w:rsidR="00A72107">
        <w:fldChar w:fldCharType="end"/>
      </w:r>
      <w:r w:rsidR="0076459E" w:rsidRPr="00080288">
        <w:rPr>
          <w:lang w:val="en-GB"/>
        </w:rPr>
        <w:t xml:space="preserve"> probably</w:t>
      </w:r>
      <w:r w:rsidR="0076459E">
        <w:rPr>
          <w:lang w:val="en-GB"/>
        </w:rPr>
        <w:t xml:space="preserve"> </w:t>
      </w:r>
      <w:r w:rsidR="0021705F">
        <w:rPr>
          <w:lang w:val="en-GB"/>
        </w:rPr>
        <w:t xml:space="preserve">should be applied. </w:t>
      </w:r>
      <w:r w:rsidR="00777C8B">
        <w:rPr>
          <w:lang w:val="en-GB"/>
        </w:rPr>
        <w:t>Such a matrix needs to consider all hazards, even if they have been screened out individually</w:t>
      </w:r>
      <w:r w:rsidR="00D03349">
        <w:rPr>
          <w:lang w:val="en-GB"/>
        </w:rPr>
        <w:t xml:space="preserve"> (for not challenging the plant or </w:t>
      </w:r>
      <w:r w:rsidR="00622ACF">
        <w:rPr>
          <w:lang w:val="en-GB"/>
        </w:rPr>
        <w:t>based on</w:t>
      </w:r>
      <w:r w:rsidR="00D03349">
        <w:rPr>
          <w:lang w:val="en-GB"/>
        </w:rPr>
        <w:t xml:space="preserve"> bounding analysis</w:t>
      </w:r>
      <w:r w:rsidR="0023278B">
        <w:rPr>
          <w:lang w:val="en-GB"/>
        </w:rPr>
        <w:t>, hazard screened out individually because they are not applicable to the site must not be considered for combinations</w:t>
      </w:r>
      <w:r w:rsidR="00D03349">
        <w:rPr>
          <w:lang w:val="en-GB"/>
        </w:rPr>
        <w:t>)</w:t>
      </w:r>
      <w:r w:rsidR="00777C8B">
        <w:rPr>
          <w:lang w:val="en-GB"/>
        </w:rPr>
        <w:t xml:space="preserve">. </w:t>
      </w:r>
      <w:r w:rsidR="00F83361">
        <w:rPr>
          <w:lang w:val="en-GB"/>
        </w:rPr>
        <w:t>T</w:t>
      </w:r>
      <w:r w:rsidR="00D03349">
        <w:rPr>
          <w:lang w:val="en-GB"/>
        </w:rPr>
        <w:t xml:space="preserve">he </w:t>
      </w:r>
      <w:r w:rsidR="00D03349" w:rsidRPr="00E20701">
        <w:rPr>
          <w:lang w:val="en-GB"/>
        </w:rPr>
        <w:t xml:space="preserve">screening </w:t>
      </w:r>
      <w:r w:rsidR="00D03349">
        <w:rPr>
          <w:lang w:val="en-GB"/>
        </w:rPr>
        <w:t xml:space="preserve">of combinations </w:t>
      </w:r>
      <w:r w:rsidR="00D03349" w:rsidRPr="00E20701">
        <w:rPr>
          <w:lang w:val="en-GB"/>
        </w:rPr>
        <w:t>should not only consider rare, high impact events, but also less intense scenarios at or even below design basis values, as these might be relevant in combinations with other events. One salient example would be the combination of high external temperatures with a design basis earthquake, which was identified as a contributor for a NPP, since ventilation systems were not qualified for earthquake impact and the subsequent temperature increase in safety related buildings would impair safety-related I&amp;C.</w:t>
      </w:r>
    </w:p>
    <w:p w:rsidR="0021705F" w:rsidRDefault="0021705F" w:rsidP="005079A3">
      <w:pPr>
        <w:rPr>
          <w:lang w:val="en-GB"/>
        </w:rPr>
      </w:pPr>
      <w:r>
        <w:rPr>
          <w:lang w:val="en-GB"/>
        </w:rPr>
        <w:t xml:space="preserve">For each entry in that matrix, an enveloping set of maximum (credible) impact characteristics needs to be defined. </w:t>
      </w:r>
      <w:r w:rsidR="00622ACF">
        <w:rPr>
          <w:lang w:val="en-GB"/>
        </w:rPr>
        <w:t>It then has to be checked</w:t>
      </w:r>
      <w:r w:rsidR="00D03349">
        <w:rPr>
          <w:lang w:val="en-GB"/>
        </w:rPr>
        <w:t xml:space="preserve"> if this enveloping set of impact characteristics would challenge the safety of the plant. </w:t>
      </w:r>
      <w:r w:rsidR="00F83361">
        <w:rPr>
          <w:lang w:val="en-GB"/>
        </w:rPr>
        <w:t>The</w:t>
      </w:r>
      <w:r w:rsidR="00D03349">
        <w:rPr>
          <w:lang w:val="en-GB"/>
        </w:rPr>
        <w:t xml:space="preserve"> results of an investigation following the </w:t>
      </w:r>
      <w:r w:rsidR="00D03349" w:rsidRPr="00E20701">
        <w:rPr>
          <w:lang w:val="en-GB"/>
        </w:rPr>
        <w:t>Fault Sequence Analy</w:t>
      </w:r>
      <w:r w:rsidR="00D03349">
        <w:rPr>
          <w:lang w:val="en-GB"/>
        </w:rPr>
        <w:t>sis</w:t>
      </w:r>
      <w:r w:rsidR="00D03349" w:rsidRPr="00E20701">
        <w:rPr>
          <w:lang w:val="en-GB"/>
        </w:rPr>
        <w:t xml:space="preserve"> (FSA) method </w:t>
      </w:r>
      <w:r w:rsidR="00453A79">
        <w:rPr>
          <w:lang w:val="en-GB"/>
        </w:rPr>
        <w:fldChar w:fldCharType="begin"/>
      </w:r>
      <w:r w:rsidR="00453A79">
        <w:rPr>
          <w:lang w:val="en-GB"/>
        </w:rPr>
        <w:instrText xml:space="preserve"> REF _Ref413682601 \w \h </w:instrText>
      </w:r>
      <w:r w:rsidR="00453A79">
        <w:rPr>
          <w:lang w:val="en-GB"/>
        </w:rPr>
      </w:r>
      <w:r w:rsidR="00453A79">
        <w:rPr>
          <w:lang w:val="en-GB"/>
        </w:rPr>
        <w:fldChar w:fldCharType="separate"/>
      </w:r>
      <w:r w:rsidR="00E62976">
        <w:rPr>
          <w:lang w:val="en-GB"/>
        </w:rPr>
        <w:t>[67]</w:t>
      </w:r>
      <w:r w:rsidR="00453A79">
        <w:rPr>
          <w:lang w:val="en-GB"/>
        </w:rPr>
        <w:fldChar w:fldCharType="end"/>
      </w:r>
      <w:r w:rsidR="00D03349" w:rsidRPr="00E20701">
        <w:rPr>
          <w:lang w:val="en-GB"/>
        </w:rPr>
        <w:t xml:space="preserve">, </w:t>
      </w:r>
      <w:r w:rsidR="00FA31CF">
        <w:rPr>
          <w:lang w:val="en-GB"/>
        </w:rPr>
        <w:fldChar w:fldCharType="begin"/>
      </w:r>
      <w:r w:rsidR="00FA31CF">
        <w:rPr>
          <w:lang w:val="en-GB"/>
        </w:rPr>
        <w:instrText xml:space="preserve"> REF  _Ref413682602 \h \w </w:instrText>
      </w:r>
      <w:r w:rsidR="00FA31CF">
        <w:rPr>
          <w:lang w:val="en-GB"/>
        </w:rPr>
      </w:r>
      <w:r w:rsidR="00FA31CF">
        <w:rPr>
          <w:lang w:val="en-GB"/>
        </w:rPr>
        <w:fldChar w:fldCharType="separate"/>
      </w:r>
      <w:r w:rsidR="00E62976">
        <w:rPr>
          <w:lang w:val="en-GB"/>
        </w:rPr>
        <w:t>[68]</w:t>
      </w:r>
      <w:r w:rsidR="00FA31CF">
        <w:rPr>
          <w:lang w:val="en-GB"/>
        </w:rPr>
        <w:fldChar w:fldCharType="end"/>
      </w:r>
      <w:r w:rsidR="00D03349">
        <w:rPr>
          <w:lang w:val="en-GB"/>
        </w:rPr>
        <w:t xml:space="preserve"> or similar approaches will be invaluable for that purpose.</w:t>
      </w:r>
    </w:p>
    <w:p w:rsidR="006C224C" w:rsidRDefault="006C224C" w:rsidP="005079A3">
      <w:pPr>
        <w:rPr>
          <w:lang w:val="en-GB"/>
        </w:rPr>
      </w:pPr>
      <w:r>
        <w:rPr>
          <w:lang w:val="en-GB"/>
        </w:rPr>
        <w:t xml:space="preserve">If combinations are identified as potentially applicable and relevant for the plant, the further screening will follow the concepts outlined in sections </w:t>
      </w:r>
      <w:r w:rsidR="00125AF4">
        <w:rPr>
          <w:lang w:val="en-GB"/>
        </w:rPr>
        <w:fldChar w:fldCharType="begin"/>
      </w:r>
      <w:r>
        <w:rPr>
          <w:lang w:val="en-GB"/>
        </w:rPr>
        <w:instrText xml:space="preserve"> REF _Ref445216082 \r \h </w:instrText>
      </w:r>
      <w:r w:rsidR="00125AF4">
        <w:rPr>
          <w:lang w:val="en-GB"/>
        </w:rPr>
      </w:r>
      <w:r w:rsidR="00125AF4">
        <w:rPr>
          <w:lang w:val="en-GB"/>
        </w:rPr>
        <w:fldChar w:fldCharType="separate"/>
      </w:r>
      <w:r w:rsidR="00E62976">
        <w:rPr>
          <w:lang w:val="en-GB"/>
        </w:rPr>
        <w:t>6.6</w:t>
      </w:r>
      <w:r w:rsidR="00125AF4">
        <w:rPr>
          <w:lang w:val="en-GB"/>
        </w:rPr>
        <w:fldChar w:fldCharType="end"/>
      </w:r>
      <w:r>
        <w:rPr>
          <w:lang w:val="en-GB"/>
        </w:rPr>
        <w:t xml:space="preserve">, </w:t>
      </w:r>
      <w:r w:rsidR="00125AF4">
        <w:rPr>
          <w:lang w:val="en-GB"/>
        </w:rPr>
        <w:fldChar w:fldCharType="begin"/>
      </w:r>
      <w:r>
        <w:rPr>
          <w:lang w:val="en-GB"/>
        </w:rPr>
        <w:instrText xml:space="preserve"> REF _Ref445216084 \r \h </w:instrText>
      </w:r>
      <w:r w:rsidR="00125AF4">
        <w:rPr>
          <w:lang w:val="en-GB"/>
        </w:rPr>
      </w:r>
      <w:r w:rsidR="00125AF4">
        <w:rPr>
          <w:lang w:val="en-GB"/>
        </w:rPr>
        <w:fldChar w:fldCharType="separate"/>
      </w:r>
      <w:r w:rsidR="00E62976">
        <w:rPr>
          <w:lang w:val="en-GB"/>
        </w:rPr>
        <w:t>6.5</w:t>
      </w:r>
      <w:r w:rsidR="00125AF4">
        <w:rPr>
          <w:lang w:val="en-GB"/>
        </w:rPr>
        <w:fldChar w:fldCharType="end"/>
      </w:r>
      <w:r>
        <w:rPr>
          <w:lang w:val="en-GB"/>
        </w:rPr>
        <w:t xml:space="preserve">, and </w:t>
      </w:r>
      <w:r w:rsidR="00125AF4">
        <w:rPr>
          <w:lang w:val="en-GB"/>
        </w:rPr>
        <w:fldChar w:fldCharType="begin"/>
      </w:r>
      <w:r>
        <w:rPr>
          <w:lang w:val="en-GB"/>
        </w:rPr>
        <w:instrText xml:space="preserve"> REF _Ref445133088 \r \h </w:instrText>
      </w:r>
      <w:r w:rsidR="00125AF4">
        <w:rPr>
          <w:lang w:val="en-GB"/>
        </w:rPr>
      </w:r>
      <w:r w:rsidR="00125AF4">
        <w:rPr>
          <w:lang w:val="en-GB"/>
        </w:rPr>
        <w:fldChar w:fldCharType="separate"/>
      </w:r>
      <w:r w:rsidR="00E62976">
        <w:rPr>
          <w:lang w:val="en-GB"/>
        </w:rPr>
        <w:t>6.4</w:t>
      </w:r>
      <w:r w:rsidR="00125AF4">
        <w:rPr>
          <w:lang w:val="en-GB"/>
        </w:rPr>
        <w:fldChar w:fldCharType="end"/>
      </w:r>
      <w:r>
        <w:rPr>
          <w:lang w:val="en-GB"/>
        </w:rPr>
        <w:t xml:space="preserve">. </w:t>
      </w:r>
    </w:p>
    <w:p w:rsidR="00D03349" w:rsidRDefault="006C224C" w:rsidP="005079A3">
      <w:pPr>
        <w:rPr>
          <w:lang w:val="en-GB"/>
        </w:rPr>
      </w:pPr>
      <w:r>
        <w:rPr>
          <w:lang w:val="en-GB"/>
        </w:rPr>
        <w:t xml:space="preserve">Screening of combinations of external and internal hazards for PSA is a field with need for further research. </w:t>
      </w:r>
      <w:r w:rsidR="00F83361">
        <w:rPr>
          <w:lang w:val="en-GB"/>
        </w:rPr>
        <w:t>This applies in particular</w:t>
      </w:r>
      <w:r>
        <w:rPr>
          <w:lang w:val="en-GB"/>
        </w:rPr>
        <w:t xml:space="preserve"> to the determination or bounding estimation of adequate frequency of occurrence or conditional probability </w:t>
      </w:r>
      <w:r w:rsidR="00FC5432">
        <w:rPr>
          <w:lang w:val="en-GB"/>
        </w:rPr>
        <w:t>values for combined/correlated</w:t>
      </w:r>
      <w:r>
        <w:rPr>
          <w:lang w:val="en-GB"/>
        </w:rPr>
        <w:t xml:space="preserve"> hazard scenarios. The same considera</w:t>
      </w:r>
      <w:r w:rsidR="00FC5432">
        <w:rPr>
          <w:lang w:val="en-GB"/>
        </w:rPr>
        <w:t>tions as for rare external hazard</w:t>
      </w:r>
      <w:r>
        <w:rPr>
          <w:lang w:val="en-GB"/>
        </w:rPr>
        <w:t xml:space="preserve">s apply. </w:t>
      </w:r>
      <w:r w:rsidR="00F83361">
        <w:rPr>
          <w:lang w:val="en-GB"/>
        </w:rPr>
        <w:t>R</w:t>
      </w:r>
      <w:r>
        <w:rPr>
          <w:lang w:val="en-GB"/>
        </w:rPr>
        <w:t>egional frequency approaches as described in ASAMPSA</w:t>
      </w:r>
      <w:r w:rsidR="00DB0004">
        <w:rPr>
          <w:lang w:val="en-GB"/>
        </w:rPr>
        <w:t>_E report on flooding PSA</w:t>
      </w:r>
      <w:r>
        <w:rPr>
          <w:lang w:val="en-GB"/>
        </w:rPr>
        <w:t xml:space="preserve"> </w:t>
      </w:r>
      <w:r w:rsidR="00F83361">
        <w:rPr>
          <w:lang w:val="en-GB"/>
        </w:rPr>
        <w:t>are</w:t>
      </w:r>
      <w:r>
        <w:rPr>
          <w:lang w:val="en-GB"/>
        </w:rPr>
        <w:t xml:space="preserve"> a good way to enlarge the data basis.</w:t>
      </w:r>
    </w:p>
    <w:p w:rsidR="00DB0004" w:rsidRDefault="00DB0004" w:rsidP="005079A3">
      <w:pPr>
        <w:rPr>
          <w:lang w:val="en-GB"/>
        </w:rPr>
      </w:pPr>
    </w:p>
    <w:p w:rsidR="00270FB7" w:rsidRDefault="00061343" w:rsidP="005079A3">
      <w:pPr>
        <w:rPr>
          <w:lang w:val="en-GB"/>
        </w:rPr>
      </w:pPr>
      <w:r>
        <w:rPr>
          <w:lang w:val="en-GB"/>
        </w:rPr>
        <w:t xml:space="preserve">Finally, </w:t>
      </w:r>
      <w:r w:rsidR="00F83361">
        <w:rPr>
          <w:lang w:val="en-GB"/>
        </w:rPr>
        <w:t>t</w:t>
      </w:r>
      <w:r>
        <w:rPr>
          <w:lang w:val="en-GB"/>
        </w:rPr>
        <w:t xml:space="preserve">he screening of combinations of hazards needs to efficiently use strategies for grouping hazard scenarios for specific combinations into enveloping hazard scenario groups. </w:t>
      </w:r>
      <w:r w:rsidR="0026201A">
        <w:rPr>
          <w:lang w:val="en-GB"/>
        </w:rPr>
        <w:t xml:space="preserve">However, grouping hazard scenarios that are very different in terms of levels of uncertainty on frequency of occurrence or hazard impact and accident development should be avoided to the extent possible. </w:t>
      </w:r>
      <w:r>
        <w:rPr>
          <w:lang w:val="en-GB"/>
        </w:rPr>
        <w:t>The use of bounding assessment will be essential for limiting the amount of cases for a more detailed analysis.</w:t>
      </w:r>
    </w:p>
    <w:p w:rsidR="00645759" w:rsidRDefault="00645759" w:rsidP="005079A3">
      <w:pPr>
        <w:rPr>
          <w:lang w:val="en-GB"/>
        </w:rPr>
      </w:pPr>
    </w:p>
    <w:p w:rsidR="006101D2" w:rsidRPr="00D054C1" w:rsidRDefault="00731003" w:rsidP="006101D2">
      <w:pPr>
        <w:pStyle w:val="Titre2"/>
        <w:rPr>
          <w:lang w:val="en-GB"/>
        </w:rPr>
      </w:pPr>
      <w:bookmarkStart w:id="514" w:name="_Ref444980284"/>
      <w:bookmarkStart w:id="515" w:name="_Toc473303594"/>
      <w:r>
        <w:rPr>
          <w:lang w:val="en-GB"/>
        </w:rPr>
        <w:t>SELECTION OF INITIATING EVENTS FOR MULTI-UNIT</w:t>
      </w:r>
      <w:r w:rsidR="00627CF3">
        <w:rPr>
          <w:lang w:val="en-GB"/>
        </w:rPr>
        <w:t xml:space="preserve">, </w:t>
      </w:r>
      <w:r w:rsidR="003066D2">
        <w:rPr>
          <w:caps w:val="0"/>
          <w:lang w:val="en-GB"/>
        </w:rPr>
        <w:t xml:space="preserve">MULTI-SOURCE </w:t>
      </w:r>
      <w:r>
        <w:rPr>
          <w:lang w:val="en-GB"/>
        </w:rPr>
        <w:t>PSA</w:t>
      </w:r>
      <w:bookmarkEnd w:id="514"/>
      <w:bookmarkEnd w:id="515"/>
    </w:p>
    <w:p w:rsidR="00FC5432" w:rsidRDefault="00FC5432" w:rsidP="006B2B4A">
      <w:pPr>
        <w:rPr>
          <w:lang w:val="en-GB"/>
        </w:rPr>
      </w:pPr>
      <w:r>
        <w:rPr>
          <w:lang w:val="en-GB"/>
        </w:rPr>
        <w:t xml:space="preserve">The report ASAMPSA D30.5 </w:t>
      </w:r>
      <w:r w:rsidR="00FA31CF">
        <w:rPr>
          <w:lang w:val="en-GB"/>
        </w:rPr>
        <w:fldChar w:fldCharType="begin"/>
      </w:r>
      <w:r w:rsidR="00FA31CF">
        <w:rPr>
          <w:lang w:val="en-GB"/>
        </w:rPr>
        <w:instrText xml:space="preserve"> REF  _Ref423092269 \h \w </w:instrText>
      </w:r>
      <w:r w:rsidR="00FA31CF">
        <w:rPr>
          <w:lang w:val="en-GB"/>
        </w:rPr>
      </w:r>
      <w:r w:rsidR="00FA31CF">
        <w:rPr>
          <w:lang w:val="en-GB"/>
        </w:rPr>
        <w:fldChar w:fldCharType="separate"/>
      </w:r>
      <w:r w:rsidR="00E62976">
        <w:rPr>
          <w:lang w:val="en-GB"/>
        </w:rPr>
        <w:t>[87]</w:t>
      </w:r>
      <w:r w:rsidR="00FA31CF">
        <w:rPr>
          <w:lang w:val="en-GB"/>
        </w:rPr>
        <w:fldChar w:fldCharType="end"/>
      </w:r>
      <w:r>
        <w:rPr>
          <w:lang w:val="en-GB"/>
        </w:rPr>
        <w:t xml:space="preserve"> includes a discussion of risk measures for multi-unit and multi-source PSA (site-level PSA). Based on this discussion, the following important conclusions can be drawn</w:t>
      </w:r>
      <w:r w:rsidR="00FA31CF">
        <w:rPr>
          <w:lang w:val="en-GB"/>
        </w:rPr>
        <w:t>:</w:t>
      </w:r>
    </w:p>
    <w:p w:rsidR="00491402" w:rsidRDefault="00491402" w:rsidP="00E62976">
      <w:pPr>
        <w:numPr>
          <w:ilvl w:val="0"/>
          <w:numId w:val="71"/>
        </w:numPr>
        <w:rPr>
          <w:lang w:val="en-GB"/>
        </w:rPr>
      </w:pPr>
      <w:r>
        <w:rPr>
          <w:lang w:val="en-GB"/>
        </w:rPr>
        <w:t>Site level risk measures can be defined by extending common unit- or source</w:t>
      </w:r>
      <w:r w:rsidR="00FA31CF">
        <w:rPr>
          <w:lang w:val="en-GB"/>
        </w:rPr>
        <w:t>-</w:t>
      </w:r>
      <w:r>
        <w:rPr>
          <w:lang w:val="en-GB"/>
        </w:rPr>
        <w:t>level risk measures. Specifically, risk measures recommended for screening can be extended to the site level.</w:t>
      </w:r>
    </w:p>
    <w:p w:rsidR="00491402" w:rsidRDefault="00491402" w:rsidP="00E62976">
      <w:pPr>
        <w:numPr>
          <w:ilvl w:val="0"/>
          <w:numId w:val="71"/>
        </w:numPr>
        <w:rPr>
          <w:lang w:val="en-GB"/>
        </w:rPr>
      </w:pPr>
      <w:r>
        <w:rPr>
          <w:lang w:val="en-GB"/>
        </w:rPr>
        <w:t>Site-level risk results can be estimated from unit- or source-level risk measures.</w:t>
      </w:r>
    </w:p>
    <w:p w:rsidR="00B93F21" w:rsidRDefault="00B93F21" w:rsidP="00E62976">
      <w:pPr>
        <w:numPr>
          <w:ilvl w:val="0"/>
          <w:numId w:val="71"/>
        </w:numPr>
        <w:rPr>
          <w:lang w:val="en-GB"/>
        </w:rPr>
      </w:pPr>
      <w:r>
        <w:rPr>
          <w:lang w:val="en-GB"/>
        </w:rPr>
        <w:t>As corollary, initiating events and hazard scenarios that are screened in based on unit- or source-level risk measures are also screened in based on the respective site level risk measures.</w:t>
      </w:r>
    </w:p>
    <w:p w:rsidR="00B93F21" w:rsidRDefault="00B93F21" w:rsidP="00E62976">
      <w:pPr>
        <w:numPr>
          <w:ilvl w:val="0"/>
          <w:numId w:val="71"/>
        </w:numPr>
        <w:rPr>
          <w:lang w:val="en-GB"/>
        </w:rPr>
      </w:pPr>
      <w:r>
        <w:rPr>
          <w:lang w:val="en-GB"/>
        </w:rPr>
        <w:t xml:space="preserve">For the recommended risk measures from section </w:t>
      </w:r>
      <w:r w:rsidR="00125AF4">
        <w:rPr>
          <w:lang w:val="en-GB"/>
        </w:rPr>
        <w:fldChar w:fldCharType="begin"/>
      </w:r>
      <w:r>
        <w:rPr>
          <w:lang w:val="en-GB"/>
        </w:rPr>
        <w:instrText xml:space="preserve"> REF _Ref445029148 \r \h </w:instrText>
      </w:r>
      <w:r w:rsidR="00125AF4">
        <w:rPr>
          <w:lang w:val="en-GB"/>
        </w:rPr>
      </w:r>
      <w:r w:rsidR="00125AF4">
        <w:rPr>
          <w:lang w:val="en-GB"/>
        </w:rPr>
        <w:fldChar w:fldCharType="separate"/>
      </w:r>
      <w:r w:rsidR="00E62976">
        <w:rPr>
          <w:lang w:val="en-GB"/>
        </w:rPr>
        <w:t>6.2</w:t>
      </w:r>
      <w:r w:rsidR="00125AF4">
        <w:rPr>
          <w:lang w:val="en-GB"/>
        </w:rPr>
        <w:fldChar w:fldCharType="end"/>
      </w:r>
      <w:r>
        <w:rPr>
          <w:lang w:val="en-GB"/>
        </w:rPr>
        <w:t xml:space="preserve"> and given the recommended quantitative screening, the following observations can be made</w:t>
      </w:r>
    </w:p>
    <w:p w:rsidR="00491402" w:rsidRDefault="00B93F21" w:rsidP="00E62976">
      <w:pPr>
        <w:numPr>
          <w:ilvl w:val="1"/>
          <w:numId w:val="71"/>
        </w:numPr>
        <w:rPr>
          <w:lang w:val="en-GB"/>
        </w:rPr>
      </w:pPr>
      <w:r>
        <w:rPr>
          <w:lang w:val="en-GB"/>
        </w:rPr>
        <w:t>Events and scenarios not screened in based on FDF for any unit or source will not be screened in on FDF</w:t>
      </w:r>
      <w:r w:rsidRPr="005079A3">
        <w:rPr>
          <w:vertAlign w:val="subscript"/>
          <w:lang w:val="en-GB"/>
        </w:rPr>
        <w:t>site</w:t>
      </w:r>
      <w:r>
        <w:rPr>
          <w:lang w:val="en-GB"/>
        </w:rPr>
        <w:t>.</w:t>
      </w:r>
    </w:p>
    <w:p w:rsidR="00B93F21" w:rsidRDefault="00B93F21" w:rsidP="00E62976">
      <w:pPr>
        <w:numPr>
          <w:ilvl w:val="1"/>
          <w:numId w:val="71"/>
        </w:numPr>
        <w:rPr>
          <w:lang w:val="en-GB"/>
        </w:rPr>
      </w:pPr>
      <w:r>
        <w:rPr>
          <w:lang w:val="en-GB"/>
        </w:rPr>
        <w:t>Events and scenarios not screened in based on LRF or ERF or RMF for any unit or source are for practical purposes also not screened in based on LRF</w:t>
      </w:r>
      <w:r w:rsidRPr="005079A3">
        <w:rPr>
          <w:vertAlign w:val="subscript"/>
          <w:lang w:val="en-GB"/>
        </w:rPr>
        <w:t>site</w:t>
      </w:r>
      <w:r>
        <w:rPr>
          <w:lang w:val="en-GB"/>
        </w:rPr>
        <w:t xml:space="preserve"> or ERF</w:t>
      </w:r>
      <w:r w:rsidRPr="005079A3">
        <w:rPr>
          <w:vertAlign w:val="subscript"/>
          <w:lang w:val="en-GB"/>
        </w:rPr>
        <w:t>site</w:t>
      </w:r>
      <w:r>
        <w:rPr>
          <w:lang w:val="en-GB"/>
        </w:rPr>
        <w:t xml:space="preserve"> or RMF</w:t>
      </w:r>
      <w:r w:rsidRPr="005079A3">
        <w:rPr>
          <w:vertAlign w:val="subscript"/>
          <w:lang w:val="en-GB"/>
        </w:rPr>
        <w:t>site</w:t>
      </w:r>
      <w:r>
        <w:rPr>
          <w:lang w:val="en-GB"/>
        </w:rPr>
        <w:t>. Deviations would result from multi-source release scenarios, for which all single-source releases are below the release threshold for those three risk measures, but the combined releases are above. Since release estimates during screening shall be adequately conservative, this possibility will not be relevant in practice.</w:t>
      </w:r>
    </w:p>
    <w:p w:rsidR="009E2FA9" w:rsidRDefault="009E2FA9" w:rsidP="00E62976">
      <w:pPr>
        <w:numPr>
          <w:ilvl w:val="0"/>
          <w:numId w:val="71"/>
        </w:numPr>
        <w:rPr>
          <w:lang w:val="en-GB"/>
        </w:rPr>
      </w:pPr>
      <w:r>
        <w:rPr>
          <w:lang w:val="en-GB"/>
        </w:rPr>
        <w:t>It follows that all events and scenarios screened in for site-level risk measures will be screened in based on one unit- or source-specific screening risk measure. Consequently, no screening specific to site-level risk measures will be necessary.</w:t>
      </w:r>
    </w:p>
    <w:p w:rsidR="00A85BBF" w:rsidRDefault="00803855" w:rsidP="005079A3">
      <w:pPr>
        <w:rPr>
          <w:lang w:val="en-GB"/>
        </w:rPr>
      </w:pPr>
      <w:r>
        <w:rPr>
          <w:lang w:val="en-GB"/>
        </w:rPr>
        <w:t>Importantly, this discussion rests on the assumption that unit- or source-level PSA results adequately consider all site-level effects. Consequently, if screening for hazard scenarios (external but also internal) for an extended (i.e. in this case site-level) PSA is to be performed, PSA analysts should have access to a comprehensive site-level internal initiating events PSA Level 1 and Level 2 for all operating states and all sources.</w:t>
      </w:r>
    </w:p>
    <w:p w:rsidR="008555D8" w:rsidRDefault="008555D8" w:rsidP="005079A3">
      <w:pPr>
        <w:rPr>
          <w:lang w:val="en-GB"/>
        </w:rPr>
      </w:pPr>
    </w:p>
    <w:p w:rsidR="009E2FA9" w:rsidRDefault="009E2FA9" w:rsidP="005079A3">
      <w:pPr>
        <w:keepNext/>
        <w:rPr>
          <w:lang w:val="en-GB"/>
        </w:rPr>
      </w:pPr>
      <w:r>
        <w:rPr>
          <w:lang w:val="en-GB"/>
        </w:rPr>
        <w:t xml:space="preserve">The following comments </w:t>
      </w:r>
      <w:r w:rsidR="00966CED">
        <w:rPr>
          <w:lang w:val="en-GB"/>
        </w:rPr>
        <w:t xml:space="preserve">are due </w:t>
      </w:r>
      <w:r>
        <w:rPr>
          <w:lang w:val="en-GB"/>
        </w:rPr>
        <w:t>regarding site-level PSA</w:t>
      </w:r>
      <w:r w:rsidR="008C3F7D">
        <w:rPr>
          <w:lang w:val="en-GB"/>
        </w:rPr>
        <w:t>:</w:t>
      </w:r>
    </w:p>
    <w:p w:rsidR="009E2FA9" w:rsidRDefault="009E2FA9" w:rsidP="00E62976">
      <w:pPr>
        <w:numPr>
          <w:ilvl w:val="0"/>
          <w:numId w:val="71"/>
        </w:numPr>
        <w:rPr>
          <w:lang w:val="en-GB"/>
        </w:rPr>
      </w:pPr>
      <w:r>
        <w:rPr>
          <w:lang w:val="en-GB"/>
        </w:rPr>
        <w:t>For each screened in event and scenario, PSA analysts need to check during the development of the probabilistic model if and which multi-unit or multi-source aspects have to be included in the PSA model. Some remarks and recommendation</w:t>
      </w:r>
      <w:r w:rsidR="00FA31CF">
        <w:rPr>
          <w:lang w:val="en-GB"/>
        </w:rPr>
        <w:t>s</w:t>
      </w:r>
      <w:r>
        <w:rPr>
          <w:lang w:val="en-GB"/>
        </w:rPr>
        <w:t xml:space="preserve"> on that task are provided below.</w:t>
      </w:r>
    </w:p>
    <w:p w:rsidR="00803855" w:rsidRDefault="00803855" w:rsidP="00E62976">
      <w:pPr>
        <w:numPr>
          <w:ilvl w:val="0"/>
          <w:numId w:val="71"/>
        </w:numPr>
        <w:rPr>
          <w:lang w:val="en-GB"/>
        </w:rPr>
      </w:pPr>
      <w:r>
        <w:rPr>
          <w:lang w:val="en-GB"/>
        </w:rPr>
        <w:t>The identification process of initiating events and hazard scenarios needs to consider shared systems and connections between units and sources for determining if they can trigger an initiating event for each single unit or source.</w:t>
      </w:r>
    </w:p>
    <w:p w:rsidR="00803855" w:rsidRDefault="0014434A" w:rsidP="00E62976">
      <w:pPr>
        <w:numPr>
          <w:ilvl w:val="0"/>
          <w:numId w:val="71"/>
        </w:numPr>
        <w:rPr>
          <w:lang w:val="en-GB"/>
        </w:rPr>
      </w:pPr>
      <w:r>
        <w:rPr>
          <w:lang w:val="en-GB"/>
        </w:rPr>
        <w:t xml:space="preserve">The issue of how to structure a site-level PSA model is still subject to research since only limited practical experience has been gained so far. </w:t>
      </w:r>
      <w:r w:rsidR="00E11649" w:rsidRPr="006B400D">
        <w:rPr>
          <w:szCs w:val="18"/>
          <w:lang w:val="en-US"/>
        </w:rPr>
        <w:t xml:space="preserve">Site Level </w:t>
      </w:r>
      <w:r w:rsidR="00E11649" w:rsidRPr="00E13C1E">
        <w:rPr>
          <w:szCs w:val="18"/>
          <w:lang w:val="en-US"/>
        </w:rPr>
        <w:t>PSA</w:t>
      </w:r>
      <w:r w:rsidR="00E11649" w:rsidRPr="006B400D">
        <w:rPr>
          <w:szCs w:val="18"/>
          <w:lang w:val="en-US"/>
        </w:rPr>
        <w:t xml:space="preserve"> includes single unit PSAs that consider the impact (positive or negative) of the other site units on the accident sequences, fully integrated PSA models that addresses accident sequences that may involve any combination of reactor units and radiological sources, and hybrids of these models.</w:t>
      </w:r>
      <w:r w:rsidR="00E11649">
        <w:rPr>
          <w:szCs w:val="18"/>
          <w:lang w:val="en-US"/>
        </w:rPr>
        <w:t xml:space="preserve"> </w:t>
      </w:r>
      <w:r>
        <w:rPr>
          <w:lang w:val="en-GB"/>
        </w:rPr>
        <w:t xml:space="preserve">Generally speaking, site-level models can be constructed from existing single unit/single source models, if the separation between the units/sources is highly effective (physical separation, no shared or interconnected systems, including operating systems, dedicated control rooms, dedicated severe accident installations and resources, etc.). </w:t>
      </w:r>
      <w:r w:rsidR="00504F5C">
        <w:rPr>
          <w:lang w:val="en-GB"/>
        </w:rPr>
        <w:t xml:space="preserve">Otherwise, </w:t>
      </w:r>
      <w:r w:rsidR="00144BAC">
        <w:rPr>
          <w:lang w:val="en-GB"/>
        </w:rPr>
        <w:t>feasibility of</w:t>
      </w:r>
      <w:r w:rsidR="00504F5C">
        <w:rPr>
          <w:lang w:val="en-GB"/>
        </w:rPr>
        <w:t xml:space="preserve"> an integrated,</w:t>
      </w:r>
      <w:r w:rsidR="00E11649">
        <w:rPr>
          <w:lang w:val="en-GB"/>
        </w:rPr>
        <w:t xml:space="preserve"> </w:t>
      </w:r>
      <w:r w:rsidR="00504F5C">
        <w:rPr>
          <w:lang w:val="en-GB"/>
        </w:rPr>
        <w:t xml:space="preserve">site-level model will be </w:t>
      </w:r>
      <w:r w:rsidR="00E11649">
        <w:rPr>
          <w:lang w:val="en-GB"/>
        </w:rPr>
        <w:t>investigated</w:t>
      </w:r>
      <w:r w:rsidR="00504F5C">
        <w:rPr>
          <w:lang w:val="en-GB"/>
        </w:rPr>
        <w:t>.</w:t>
      </w:r>
      <w:r>
        <w:rPr>
          <w:lang w:val="en-GB"/>
        </w:rPr>
        <w:tab/>
      </w:r>
      <w:r>
        <w:rPr>
          <w:lang w:val="en-GB"/>
        </w:rPr>
        <w:br/>
      </w:r>
      <w:r w:rsidR="00504F5C">
        <w:rPr>
          <w:lang w:val="en-GB"/>
        </w:rPr>
        <w:t>Since</w:t>
      </w:r>
      <w:r>
        <w:rPr>
          <w:lang w:val="en-GB"/>
        </w:rPr>
        <w:t xml:space="preserve"> external hazard scenarios are often affecting multiple units (and sources), dedicated site-level models are particularly rel</w:t>
      </w:r>
      <w:r w:rsidR="00504F5C">
        <w:rPr>
          <w:lang w:val="en-GB"/>
        </w:rPr>
        <w:t>evant for these scenarios.</w:t>
      </w:r>
    </w:p>
    <w:p w:rsidR="00803855" w:rsidRDefault="00803855" w:rsidP="005079A3">
      <w:pPr>
        <w:rPr>
          <w:lang w:val="en-GB"/>
        </w:rPr>
      </w:pPr>
    </w:p>
    <w:p w:rsidR="00A85BBF" w:rsidRDefault="00A85BBF" w:rsidP="005079A3">
      <w:pPr>
        <w:rPr>
          <w:lang w:val="en-GB"/>
        </w:rPr>
      </w:pPr>
      <w:r>
        <w:rPr>
          <w:lang w:val="en-GB"/>
        </w:rPr>
        <w:t>The screening approach for a multi-unit, multi-source PSA is basically similar to the screening approach for a single unit as discussed in the previous sections. The following comments and recommendations on specific aspects for site-level PSA screening</w:t>
      </w:r>
      <w:r w:rsidR="006E2715">
        <w:rPr>
          <w:lang w:val="en-GB"/>
        </w:rPr>
        <w:t xml:space="preserve"> are given:</w:t>
      </w:r>
    </w:p>
    <w:p w:rsidR="00A85BBF" w:rsidRDefault="00A85BBF" w:rsidP="00E62976">
      <w:pPr>
        <w:numPr>
          <w:ilvl w:val="0"/>
          <w:numId w:val="71"/>
        </w:numPr>
        <w:rPr>
          <w:lang w:val="en-GB"/>
        </w:rPr>
      </w:pPr>
      <w:r>
        <w:rPr>
          <w:lang w:val="en-GB"/>
        </w:rPr>
        <w:t>Obviously, internal initiating events have to be identified for each unit and source. The scope of an internal initiating events site PSA consists of the set of initiating events for each unit/source.</w:t>
      </w:r>
    </w:p>
    <w:p w:rsidR="00A85BBF" w:rsidRDefault="00A85BBF" w:rsidP="00E62976">
      <w:pPr>
        <w:numPr>
          <w:ilvl w:val="0"/>
          <w:numId w:val="71"/>
        </w:numPr>
        <w:rPr>
          <w:lang w:val="en-GB"/>
        </w:rPr>
      </w:pPr>
      <w:r>
        <w:rPr>
          <w:lang w:val="en-GB"/>
        </w:rPr>
        <w:t>Similarly, internal hazard</w:t>
      </w:r>
      <w:r w:rsidR="00FA31CF">
        <w:rPr>
          <w:lang w:val="en-GB"/>
        </w:rPr>
        <w:t>s</w:t>
      </w:r>
      <w:r>
        <w:rPr>
          <w:lang w:val="en-GB"/>
        </w:rPr>
        <w:t xml:space="preserve"> are basically related for each individual unit. Relevant releases from one unit (or source) should be considered </w:t>
      </w:r>
      <w:r w:rsidR="001C0ED3">
        <w:rPr>
          <w:lang w:val="en-GB"/>
        </w:rPr>
        <w:t xml:space="preserve">as a </w:t>
      </w:r>
      <w:r>
        <w:rPr>
          <w:lang w:val="en-GB"/>
        </w:rPr>
        <w:t>potential</w:t>
      </w:r>
      <w:r w:rsidR="001C0ED3">
        <w:rPr>
          <w:lang w:val="en-GB"/>
        </w:rPr>
        <w:t xml:space="preserve"> (external) </w:t>
      </w:r>
      <w:r>
        <w:rPr>
          <w:lang w:val="en-GB"/>
        </w:rPr>
        <w:t>hazards for other units/sources.</w:t>
      </w:r>
      <w:r w:rsidR="00073DED">
        <w:rPr>
          <w:lang w:val="en-GB"/>
        </w:rPr>
        <w:t xml:space="preserve"> </w:t>
      </w:r>
      <w:r>
        <w:rPr>
          <w:lang w:val="en-GB"/>
        </w:rPr>
        <w:t>The set of internal hazard scenarios for a site-level PSA consists of the set of internal hazard scenarios for each unit/source.</w:t>
      </w:r>
    </w:p>
    <w:p w:rsidR="00A85BBF" w:rsidRDefault="00A635C7" w:rsidP="00E62976">
      <w:pPr>
        <w:numPr>
          <w:ilvl w:val="0"/>
          <w:numId w:val="71"/>
        </w:numPr>
        <w:rPr>
          <w:lang w:val="en-GB"/>
        </w:rPr>
      </w:pPr>
      <w:r>
        <w:rPr>
          <w:lang w:val="en-GB"/>
        </w:rPr>
        <w:t>External hazard scenarios are basically events affecting the site. Consequently, external hazard scenarios (or combinations of external hazards with other events) should be screened in for detailed site-level modelling if they are screened in for any one unit or source.</w:t>
      </w:r>
    </w:p>
    <w:p w:rsidR="00245561" w:rsidRDefault="00245561" w:rsidP="005079A3">
      <w:pPr>
        <w:ind w:left="360"/>
        <w:rPr>
          <w:lang w:val="en-GB"/>
        </w:rPr>
      </w:pPr>
    </w:p>
    <w:p w:rsidR="000C4820" w:rsidRDefault="00FA2CDA" w:rsidP="005079A3">
      <w:pPr>
        <w:rPr>
          <w:lang w:val="en-GB"/>
        </w:rPr>
      </w:pPr>
      <w:r>
        <w:rPr>
          <w:lang w:val="en-GB"/>
        </w:rPr>
        <w:t>Bounding assessment needs to consider multi-unit/multi-source aspects</w:t>
      </w:r>
      <w:r w:rsidR="000C4820">
        <w:rPr>
          <w:lang w:val="en-GB"/>
        </w:rPr>
        <w:t xml:space="preserve"> (cf. section </w:t>
      </w:r>
      <w:r w:rsidR="00A72107">
        <w:fldChar w:fldCharType="begin"/>
      </w:r>
      <w:r w:rsidR="00A72107" w:rsidRPr="00E727A7">
        <w:rPr>
          <w:lang w:val="en-US"/>
        </w:rPr>
        <w:instrText xml:space="preserve"> REF _Ref445134178 \r \h  \* MERGEFORMAT </w:instrText>
      </w:r>
      <w:r w:rsidR="00A72107">
        <w:fldChar w:fldCharType="separate"/>
      </w:r>
      <w:r w:rsidR="00E62976" w:rsidRPr="00E62976">
        <w:rPr>
          <w:lang w:val="en-GB"/>
        </w:rPr>
        <w:t>6.3</w:t>
      </w:r>
      <w:r w:rsidR="00A72107">
        <w:fldChar w:fldCharType="end"/>
      </w:r>
      <w:r w:rsidR="000C4820">
        <w:rPr>
          <w:lang w:val="en-GB"/>
        </w:rPr>
        <w:t>)</w:t>
      </w:r>
      <w:r>
        <w:rPr>
          <w:lang w:val="en-GB"/>
        </w:rPr>
        <w:t>.</w:t>
      </w:r>
      <w:r w:rsidR="000C4820">
        <w:rPr>
          <w:lang w:val="en-GB"/>
        </w:rPr>
        <w:t xml:space="preserve"> </w:t>
      </w:r>
    </w:p>
    <w:p w:rsidR="00FA2CDA" w:rsidRDefault="000C4820" w:rsidP="00E62976">
      <w:pPr>
        <w:numPr>
          <w:ilvl w:val="0"/>
          <w:numId w:val="71"/>
        </w:numPr>
        <w:rPr>
          <w:lang w:val="en-GB"/>
        </w:rPr>
      </w:pPr>
      <w:r>
        <w:rPr>
          <w:lang w:val="en-GB"/>
        </w:rPr>
        <w:t>Systems and other provisions or resources providing safety functions to more than one unit or sources should be assumed to be unavailable, if they cannot provide simultaneous demands from all connected units or sources simultaneously.</w:t>
      </w:r>
    </w:p>
    <w:p w:rsidR="000C4820" w:rsidRDefault="004B282C" w:rsidP="00E62976">
      <w:pPr>
        <w:numPr>
          <w:ilvl w:val="0"/>
          <w:numId w:val="71"/>
        </w:numPr>
        <w:rPr>
          <w:lang w:val="en-GB"/>
        </w:rPr>
      </w:pPr>
      <w:r>
        <w:rPr>
          <w:lang w:val="en-GB"/>
        </w:rPr>
        <w:t>If shared or interconnected systems or other provisions providing safety functions to more than one unit can fail due to hazard impact, propagation of hazards from any one unit, or due to consequential effects from internal initiating events or internal hazard at any one unit/source or due to external hazards, these should be assumed to be unavailable for every unit for all relevant cases per default.</w:t>
      </w:r>
    </w:p>
    <w:p w:rsidR="00245561" w:rsidRDefault="00245561" w:rsidP="00E62976">
      <w:pPr>
        <w:numPr>
          <w:ilvl w:val="0"/>
          <w:numId w:val="71"/>
        </w:numPr>
        <w:rPr>
          <w:lang w:val="en-GB"/>
        </w:rPr>
      </w:pPr>
      <w:r>
        <w:rPr>
          <w:lang w:val="en-GB"/>
        </w:rPr>
        <w:t>If the propagation of internal or external hazard impacts or effects of consequential failures from one unit/source to another unit/source cannot be excluded with a high degree of certainty, it should be assumed to occur for bounding assessment by default.</w:t>
      </w:r>
    </w:p>
    <w:p w:rsidR="00245561" w:rsidRDefault="004B282C" w:rsidP="005079A3">
      <w:pPr>
        <w:rPr>
          <w:lang w:val="en-GB"/>
        </w:rPr>
      </w:pPr>
      <w:r>
        <w:rPr>
          <w:lang w:val="en-GB"/>
        </w:rPr>
        <w:t>More realistic bounding assessments should be well justified.</w:t>
      </w:r>
    </w:p>
    <w:p w:rsidR="004B282C" w:rsidRDefault="00245561" w:rsidP="005079A3">
      <w:pPr>
        <w:rPr>
          <w:lang w:val="en-GB"/>
        </w:rPr>
      </w:pPr>
      <w:r>
        <w:rPr>
          <w:lang w:val="en-GB"/>
        </w:rPr>
        <w:t>These recommendations should be applied for bounding assessment of each individual unit/source, irrespective of whether the development of a site-level PSA model is intended or not.</w:t>
      </w:r>
    </w:p>
    <w:p w:rsidR="009E2FA9" w:rsidRPr="001B7918" w:rsidRDefault="009E2FA9" w:rsidP="005079A3">
      <w:pPr>
        <w:rPr>
          <w:lang w:val="en-GB"/>
        </w:rPr>
      </w:pPr>
    </w:p>
    <w:p w:rsidR="009E2FA9" w:rsidRDefault="00245561" w:rsidP="009E2FA9">
      <w:pPr>
        <w:spacing w:line="360" w:lineRule="auto"/>
        <w:rPr>
          <w:lang w:val="en-GB"/>
        </w:rPr>
      </w:pPr>
      <w:r>
        <w:rPr>
          <w:lang w:val="en-GB"/>
        </w:rPr>
        <w:t xml:space="preserve">For the development of a multi-unit and multi-source (site-level) PSA model, PSA analysts have to </w:t>
      </w:r>
      <w:r w:rsidR="009E2FA9">
        <w:rPr>
          <w:lang w:val="en-GB"/>
        </w:rPr>
        <w:t xml:space="preserve">identify the relevant events </w:t>
      </w:r>
      <w:r>
        <w:rPr>
          <w:lang w:val="en-GB"/>
        </w:rPr>
        <w:t xml:space="preserve">and scenarios </w:t>
      </w:r>
      <w:r w:rsidR="009E2FA9">
        <w:rPr>
          <w:lang w:val="en-GB"/>
        </w:rPr>
        <w:t xml:space="preserve">affecting multiple units </w:t>
      </w:r>
      <w:r>
        <w:rPr>
          <w:lang w:val="en-GB"/>
        </w:rPr>
        <w:t xml:space="preserve">or sources </w:t>
      </w:r>
      <w:r w:rsidR="009E2FA9">
        <w:rPr>
          <w:lang w:val="en-GB"/>
        </w:rPr>
        <w:t>at the same time.</w:t>
      </w:r>
    </w:p>
    <w:p w:rsidR="009E2FA9" w:rsidRPr="00E2449B" w:rsidRDefault="009E2FA9" w:rsidP="009E2FA9">
      <w:pPr>
        <w:autoSpaceDE w:val="0"/>
        <w:autoSpaceDN w:val="0"/>
        <w:adjustRightInd w:val="0"/>
        <w:spacing w:line="360" w:lineRule="auto"/>
        <w:rPr>
          <w:bCs/>
          <w:lang w:val="en-GB" w:eastAsia="ja-JP"/>
        </w:rPr>
      </w:pPr>
      <w:r w:rsidRPr="00E2449B">
        <w:rPr>
          <w:bCs/>
          <w:lang w:val="en-GB" w:eastAsia="ja-JP"/>
        </w:rPr>
        <w:t>Multi</w:t>
      </w:r>
      <w:r>
        <w:rPr>
          <w:bCs/>
          <w:lang w:val="en-GB" w:eastAsia="ja-JP"/>
        </w:rPr>
        <w:t>-</w:t>
      </w:r>
      <w:r w:rsidRPr="00E2449B">
        <w:rPr>
          <w:bCs/>
          <w:lang w:val="en-GB" w:eastAsia="ja-JP"/>
        </w:rPr>
        <w:t>unit accident sequences may be caused by two classes of initiating events:</w:t>
      </w:r>
    </w:p>
    <w:p w:rsidR="009E2FA9" w:rsidRPr="001B7918" w:rsidRDefault="009E2FA9" w:rsidP="00E62976">
      <w:pPr>
        <w:numPr>
          <w:ilvl w:val="0"/>
          <w:numId w:val="71"/>
        </w:numPr>
        <w:rPr>
          <w:lang w:val="en-GB"/>
        </w:rPr>
      </w:pPr>
      <w:r w:rsidRPr="001B7918">
        <w:rPr>
          <w:lang w:val="en-GB"/>
        </w:rPr>
        <w:t>Common-Cause Initiators (CCIs): Initiators that simultaneously challenge all of the units at the site. CCIs include initiators that are caused by external hazards (e.g. earthquakes, severe weather).</w:t>
      </w:r>
    </w:p>
    <w:p w:rsidR="009E2FA9" w:rsidRPr="001B7918" w:rsidRDefault="009E2FA9" w:rsidP="00E62976">
      <w:pPr>
        <w:numPr>
          <w:ilvl w:val="0"/>
          <w:numId w:val="71"/>
        </w:numPr>
        <w:rPr>
          <w:lang w:val="en-GB"/>
        </w:rPr>
      </w:pPr>
      <w:r w:rsidRPr="001B7918">
        <w:rPr>
          <w:lang w:val="en-GB"/>
        </w:rPr>
        <w:t>Single-Unit Initiators (SUIs): Initiators that occur at one unit. SUIs generally include initiators caused by internal hazards such as internal events (e.g. loss of main feedwater, loss of coolant accidents), internal floods, and internal fires. SUIs may cause multi</w:t>
      </w:r>
      <w:r>
        <w:rPr>
          <w:lang w:val="en-GB"/>
        </w:rPr>
        <w:t>-</w:t>
      </w:r>
      <w:r w:rsidRPr="001B7918">
        <w:rPr>
          <w:lang w:val="en-GB"/>
        </w:rPr>
        <w:t>unit accidents due to cross-unit dependencies such as shared support systems, spatial interactions (e.g., internal flood and internal fire propagation pathways), common cause failures or operator actions.</w:t>
      </w:r>
    </w:p>
    <w:p w:rsidR="00F96A3E" w:rsidRDefault="00F96A3E" w:rsidP="009E2FA9">
      <w:pPr>
        <w:rPr>
          <w:lang w:val="en-GB"/>
        </w:rPr>
      </w:pPr>
      <w:r>
        <w:rPr>
          <w:lang w:val="en-GB"/>
        </w:rPr>
        <w:t>In addition, PSA analysts need to identify further dependencies between the units/sources in order to decide on the need for a (dedicated) site-level modelling.</w:t>
      </w:r>
    </w:p>
    <w:p w:rsidR="009E2FA9" w:rsidRDefault="009E2FA9" w:rsidP="009E2FA9">
      <w:pPr>
        <w:rPr>
          <w:lang w:val="en-GB"/>
        </w:rPr>
      </w:pPr>
      <w:r w:rsidRPr="00F968FA">
        <w:rPr>
          <w:lang w:val="en-GB"/>
        </w:rPr>
        <w:t>Six main dependence classifications are identified</w:t>
      </w:r>
      <w:r>
        <w:rPr>
          <w:lang w:val="en-GB"/>
        </w:rPr>
        <w:t xml:space="preserve"> </w:t>
      </w:r>
      <w:r w:rsidR="00313E54">
        <w:rPr>
          <w:lang w:val="en-GB"/>
        </w:rPr>
        <w:fldChar w:fldCharType="begin"/>
      </w:r>
      <w:r w:rsidR="00313E54">
        <w:rPr>
          <w:lang w:val="en-GB"/>
        </w:rPr>
        <w:instrText xml:space="preserve"> REF  _Ref430594829 \h \w </w:instrText>
      </w:r>
      <w:r w:rsidR="00313E54">
        <w:rPr>
          <w:lang w:val="en-GB"/>
        </w:rPr>
      </w:r>
      <w:r w:rsidR="00313E54">
        <w:rPr>
          <w:lang w:val="en-GB"/>
        </w:rPr>
        <w:fldChar w:fldCharType="separate"/>
      </w:r>
      <w:r w:rsidR="00E62976">
        <w:rPr>
          <w:lang w:val="en-GB"/>
        </w:rPr>
        <w:t>[92]</w:t>
      </w:r>
      <w:r w:rsidR="00313E54">
        <w:rPr>
          <w:lang w:val="en-GB"/>
        </w:rPr>
        <w:fldChar w:fldCharType="end"/>
      </w:r>
      <w:r w:rsidRPr="00F968FA">
        <w:rPr>
          <w:lang w:val="en-GB"/>
        </w:rPr>
        <w:t xml:space="preserve">: </w:t>
      </w:r>
    </w:p>
    <w:p w:rsidR="009E2FA9" w:rsidRPr="005B0542" w:rsidRDefault="009E2FA9" w:rsidP="00E62976">
      <w:pPr>
        <w:numPr>
          <w:ilvl w:val="0"/>
          <w:numId w:val="71"/>
        </w:numPr>
      </w:pPr>
      <w:r w:rsidRPr="005079A3">
        <w:rPr>
          <w:lang w:val="en-GB"/>
        </w:rPr>
        <w:t>initiating events,</w:t>
      </w:r>
    </w:p>
    <w:p w:rsidR="009E2FA9" w:rsidRPr="005B0542" w:rsidRDefault="009E2FA9" w:rsidP="00E62976">
      <w:pPr>
        <w:numPr>
          <w:ilvl w:val="0"/>
          <w:numId w:val="71"/>
        </w:numPr>
      </w:pPr>
      <w:r w:rsidRPr="005079A3">
        <w:rPr>
          <w:lang w:val="en-GB"/>
        </w:rPr>
        <w:t>shared connections,</w:t>
      </w:r>
    </w:p>
    <w:p w:rsidR="009E2FA9" w:rsidRPr="005B0542" w:rsidRDefault="009E2FA9" w:rsidP="00E62976">
      <w:pPr>
        <w:numPr>
          <w:ilvl w:val="0"/>
          <w:numId w:val="71"/>
        </w:numPr>
      </w:pPr>
      <w:r w:rsidRPr="005079A3">
        <w:rPr>
          <w:lang w:val="en-GB"/>
        </w:rPr>
        <w:t>identical components,</w:t>
      </w:r>
    </w:p>
    <w:p w:rsidR="009E2FA9" w:rsidRPr="005B0542" w:rsidRDefault="009E2FA9" w:rsidP="00E62976">
      <w:pPr>
        <w:numPr>
          <w:ilvl w:val="0"/>
          <w:numId w:val="71"/>
        </w:numPr>
      </w:pPr>
      <w:r w:rsidRPr="005079A3">
        <w:rPr>
          <w:lang w:val="en-GB"/>
        </w:rPr>
        <w:t>proximity dependencies,</w:t>
      </w:r>
    </w:p>
    <w:p w:rsidR="009E2FA9" w:rsidRPr="005B0542" w:rsidRDefault="009E2FA9" w:rsidP="00E62976">
      <w:pPr>
        <w:numPr>
          <w:ilvl w:val="0"/>
          <w:numId w:val="71"/>
        </w:numPr>
      </w:pPr>
      <w:r w:rsidRPr="005079A3">
        <w:rPr>
          <w:lang w:val="en-GB"/>
        </w:rPr>
        <w:t>human dependencies, and</w:t>
      </w:r>
    </w:p>
    <w:p w:rsidR="009E2FA9" w:rsidRPr="005B0542" w:rsidRDefault="009E2FA9" w:rsidP="00E62976">
      <w:pPr>
        <w:numPr>
          <w:ilvl w:val="0"/>
          <w:numId w:val="71"/>
        </w:numPr>
      </w:pPr>
      <w:r w:rsidRPr="005079A3">
        <w:rPr>
          <w:lang w:val="en-GB"/>
        </w:rPr>
        <w:t>organizational dependencies.</w:t>
      </w:r>
    </w:p>
    <w:p w:rsidR="009E2FA9" w:rsidRDefault="00342B82" w:rsidP="009E2FA9">
      <w:pPr>
        <w:rPr>
          <w:lang w:val="en-GB"/>
        </w:rPr>
      </w:pPr>
      <w:r w:rsidRPr="009803F6">
        <w:rPr>
          <w:lang w:val="en-GB"/>
        </w:rPr>
        <w:t>Table 6-1</w:t>
      </w:r>
      <w:r w:rsidR="00073DED">
        <w:rPr>
          <w:lang w:val="en-GB"/>
        </w:rPr>
        <w:t xml:space="preserve"> </w:t>
      </w:r>
      <w:r w:rsidR="009E2FA9" w:rsidRPr="006F484F">
        <w:rPr>
          <w:lang w:val="en-GB"/>
        </w:rPr>
        <w:t>represents</w:t>
      </w:r>
      <w:r w:rsidR="009E2FA9">
        <w:rPr>
          <w:lang w:val="en-GB"/>
        </w:rPr>
        <w:t xml:space="preserve"> the matrix showing the classification scheme and systems with respect to PSA Level 1 considerations potentially affected </w:t>
      </w:r>
      <w:r w:rsidR="00313E54">
        <w:rPr>
          <w:lang w:val="en-GB"/>
        </w:rPr>
        <w:fldChar w:fldCharType="begin"/>
      </w:r>
      <w:r w:rsidR="00313E54">
        <w:rPr>
          <w:lang w:val="en-GB"/>
        </w:rPr>
        <w:instrText xml:space="preserve"> REF  _Ref430594829 \h \w </w:instrText>
      </w:r>
      <w:r w:rsidR="00313E54">
        <w:rPr>
          <w:lang w:val="en-GB"/>
        </w:rPr>
      </w:r>
      <w:r w:rsidR="00313E54">
        <w:rPr>
          <w:lang w:val="en-GB"/>
        </w:rPr>
        <w:fldChar w:fldCharType="separate"/>
      </w:r>
      <w:r w:rsidR="00E62976">
        <w:rPr>
          <w:lang w:val="en-GB"/>
        </w:rPr>
        <w:t>[92]</w:t>
      </w:r>
      <w:r w:rsidR="00313E54">
        <w:rPr>
          <w:lang w:val="en-GB"/>
        </w:rPr>
        <w:fldChar w:fldCharType="end"/>
      </w:r>
      <w:r w:rsidR="009E2FA9">
        <w:rPr>
          <w:lang w:val="en-GB"/>
        </w:rPr>
        <w:t>.</w:t>
      </w:r>
    </w:p>
    <w:p w:rsidR="009E2FA9" w:rsidRPr="00B855BA" w:rsidRDefault="009E2FA9" w:rsidP="005079A3">
      <w:pPr>
        <w:pStyle w:val="Lgende"/>
        <w:keepNext/>
        <w:rPr>
          <w:lang w:val="en-GB"/>
        </w:rPr>
      </w:pPr>
      <w:r>
        <w:t xml:space="preserve">Table </w:t>
      </w:r>
      <w:r w:rsidR="00125AF4">
        <w:fldChar w:fldCharType="begin"/>
      </w:r>
      <w:r>
        <w:instrText xml:space="preserve"> STYLEREF 1 \s </w:instrText>
      </w:r>
      <w:r w:rsidR="00125AF4">
        <w:fldChar w:fldCharType="separate"/>
      </w:r>
      <w:r w:rsidR="00E62976">
        <w:rPr>
          <w:noProof/>
        </w:rPr>
        <w:t>6</w:t>
      </w:r>
      <w:r w:rsidR="00125AF4">
        <w:fldChar w:fldCharType="end"/>
      </w:r>
      <w:r>
        <w:noBreakHyphen/>
      </w:r>
      <w:r w:rsidR="00125AF4">
        <w:fldChar w:fldCharType="begin"/>
      </w:r>
      <w:r>
        <w:instrText xml:space="preserve"> SEQ Table \* ARABIC \s 1 </w:instrText>
      </w:r>
      <w:r w:rsidR="00125AF4">
        <w:fldChar w:fldCharType="separate"/>
      </w:r>
      <w:r w:rsidR="00E62976">
        <w:rPr>
          <w:noProof/>
        </w:rPr>
        <w:t>1</w:t>
      </w:r>
      <w:r w:rsidR="00125AF4">
        <w:fldChar w:fldCharType="end"/>
      </w:r>
      <w:r>
        <w:tab/>
      </w:r>
      <w:r>
        <w:rPr>
          <w:lang w:val="en-GB"/>
        </w:rPr>
        <w:t xml:space="preserve">Classification matrix for multi-unit dependencies </w:t>
      </w:r>
      <w:r w:rsidR="00313E54">
        <w:rPr>
          <w:lang w:val="en-GB"/>
        </w:rPr>
        <w:fldChar w:fldCharType="begin"/>
      </w:r>
      <w:r w:rsidR="00313E54">
        <w:rPr>
          <w:lang w:val="en-GB"/>
        </w:rPr>
        <w:instrText xml:space="preserve"> REF  _Ref430594829 \h \w </w:instrText>
      </w:r>
      <w:r w:rsidR="00313E54">
        <w:rPr>
          <w:lang w:val="en-GB"/>
        </w:rPr>
      </w:r>
      <w:r w:rsidR="00313E54">
        <w:rPr>
          <w:lang w:val="en-GB"/>
        </w:rPr>
        <w:fldChar w:fldCharType="separate"/>
      </w:r>
      <w:r w:rsidR="00E62976">
        <w:rPr>
          <w:lang w:val="en-GB"/>
        </w:rPr>
        <w:t>[92]</w:t>
      </w:r>
      <w:r w:rsidR="00313E54">
        <w:rPr>
          <w:lang w:val="en-GB"/>
        </w:rPr>
        <w:fldChar w:fldCharType="end"/>
      </w:r>
      <w:r w:rsidR="00E91658" w:rsidDel="00E91658">
        <w:rPr>
          <w:lang w:val="en-GB"/>
        </w:rPr>
        <w:t xml:space="preserve"> </w:t>
      </w:r>
    </w:p>
    <w:p w:rsidR="00125AF4" w:rsidRDefault="009E2FA9" w:rsidP="009803F6">
      <w:pPr>
        <w:pStyle w:val="Lgende"/>
        <w:keepNext/>
        <w:rPr>
          <w:lang w:val="en-GB"/>
        </w:rPr>
      </w:pPr>
      <w:r>
        <w:rPr>
          <w:rFonts w:ascii="Times New Roman" w:hAnsi="Times New Roman"/>
          <w:b w:val="0"/>
          <w:noProof/>
          <w:color w:val="008000"/>
        </w:rPr>
        <w:drawing>
          <wp:inline distT="0" distB="0" distL="0" distR="0" wp14:anchorId="63BFD0BC" wp14:editId="50B7B53B">
            <wp:extent cx="6071870" cy="3401695"/>
            <wp:effectExtent l="0" t="0" r="5080" b="825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71870" cy="3401695"/>
                    </a:xfrm>
                    <a:prstGeom prst="rect">
                      <a:avLst/>
                    </a:prstGeom>
                    <a:noFill/>
                    <a:ln>
                      <a:noFill/>
                    </a:ln>
                  </pic:spPr>
                </pic:pic>
              </a:graphicData>
            </a:graphic>
          </wp:inline>
        </w:drawing>
      </w:r>
    </w:p>
    <w:p w:rsidR="009E2FA9" w:rsidRDefault="009E2FA9" w:rsidP="009E2FA9">
      <w:pPr>
        <w:rPr>
          <w:lang w:val="en-GB"/>
        </w:rPr>
      </w:pPr>
      <w:r>
        <w:rPr>
          <w:lang w:val="en-GB"/>
        </w:rPr>
        <w:t xml:space="preserve">It should be noted that the examples given </w:t>
      </w:r>
      <w:r w:rsidR="00313E54">
        <w:rPr>
          <w:lang w:val="en-GB"/>
        </w:rPr>
        <w:fldChar w:fldCharType="begin"/>
      </w:r>
      <w:r w:rsidR="00313E54">
        <w:rPr>
          <w:lang w:val="en-GB"/>
        </w:rPr>
        <w:instrText xml:space="preserve"> REF  _Ref430594829 \h \w </w:instrText>
      </w:r>
      <w:r w:rsidR="00313E54">
        <w:rPr>
          <w:lang w:val="en-GB"/>
        </w:rPr>
      </w:r>
      <w:r w:rsidR="00313E54">
        <w:rPr>
          <w:lang w:val="en-GB"/>
        </w:rPr>
        <w:fldChar w:fldCharType="separate"/>
      </w:r>
      <w:r w:rsidR="00E62976">
        <w:rPr>
          <w:lang w:val="en-GB"/>
        </w:rPr>
        <w:t>[92]</w:t>
      </w:r>
      <w:r w:rsidR="00313E54">
        <w:rPr>
          <w:lang w:val="en-GB"/>
        </w:rPr>
        <w:fldChar w:fldCharType="end"/>
      </w:r>
      <w:r w:rsidR="00313E54">
        <w:rPr>
          <w:lang w:val="en-GB"/>
        </w:rPr>
        <w:t xml:space="preserve"> </w:t>
      </w:r>
      <w:r>
        <w:rPr>
          <w:lang w:val="en-GB"/>
        </w:rPr>
        <w:t>need to be extended to PSA Level 2 considerations, i.e. dedicated severe accident management equipment, effects of radioactive releases of one unit on others, hydrogen hazard, etc.</w:t>
      </w:r>
    </w:p>
    <w:p w:rsidR="009E2FA9" w:rsidRDefault="009E2FA9" w:rsidP="009E2FA9">
      <w:pPr>
        <w:spacing w:line="360" w:lineRule="auto"/>
        <w:rPr>
          <w:lang w:val="en-GB"/>
        </w:rPr>
      </w:pPr>
    </w:p>
    <w:p w:rsidR="009E2FA9" w:rsidRDefault="009E2FA9" w:rsidP="009E2FA9">
      <w:pPr>
        <w:rPr>
          <w:lang w:val="en-GB"/>
        </w:rPr>
      </w:pPr>
      <w:r>
        <w:rPr>
          <w:lang w:val="en-GB"/>
        </w:rPr>
        <w:t>Therefore, any comprehensive screening for a</w:t>
      </w:r>
      <w:r w:rsidR="00F96A3E">
        <w:rPr>
          <w:lang w:val="en-GB"/>
        </w:rPr>
        <w:t>n extended</w:t>
      </w:r>
      <w:r>
        <w:rPr>
          <w:lang w:val="en-GB"/>
        </w:rPr>
        <w:t xml:space="preserve"> PSA depends on the understanding of all interdependencies between the different units</w:t>
      </w:r>
      <w:r w:rsidR="00F96A3E">
        <w:rPr>
          <w:lang w:val="en-GB"/>
        </w:rPr>
        <w:t>/sources</w:t>
      </w:r>
      <w:r>
        <w:rPr>
          <w:lang w:val="en-GB"/>
        </w:rPr>
        <w:t xml:space="preserve">. </w:t>
      </w:r>
      <w:r w:rsidR="00F96A3E">
        <w:rPr>
          <w:lang w:val="en-GB"/>
        </w:rPr>
        <w:t>Therefore, the</w:t>
      </w:r>
      <w:r>
        <w:rPr>
          <w:lang w:val="en-GB"/>
        </w:rPr>
        <w:t xml:space="preserve"> identification of SSC and other provisions that might be relevant for multiple units</w:t>
      </w:r>
      <w:r w:rsidR="00F96A3E">
        <w:rPr>
          <w:lang w:val="en-GB"/>
        </w:rPr>
        <w:t>/sources is an essential step</w:t>
      </w:r>
      <w:r>
        <w:rPr>
          <w:lang w:val="en-GB"/>
        </w:rPr>
        <w:t>. To this end, a combination of the following approaches</w:t>
      </w:r>
      <w:r w:rsidR="001C0ED3">
        <w:rPr>
          <w:lang w:val="en-GB"/>
        </w:rPr>
        <w:t xml:space="preserve"> can be recommended:</w:t>
      </w:r>
    </w:p>
    <w:p w:rsidR="009E2FA9" w:rsidRPr="00C70893" w:rsidRDefault="009E2FA9" w:rsidP="00E62976">
      <w:pPr>
        <w:numPr>
          <w:ilvl w:val="0"/>
          <w:numId w:val="71"/>
        </w:numPr>
        <w:rPr>
          <w:lang w:val="en-GB"/>
        </w:rPr>
      </w:pPr>
      <w:r w:rsidRPr="00C70893">
        <w:rPr>
          <w:lang w:val="en-GB"/>
        </w:rPr>
        <w:t>Evaluation of deterministic safety demonstrations related to multi-unit effects,</w:t>
      </w:r>
    </w:p>
    <w:p w:rsidR="009E2FA9" w:rsidRPr="00C70893" w:rsidRDefault="009E2FA9" w:rsidP="00E62976">
      <w:pPr>
        <w:numPr>
          <w:ilvl w:val="0"/>
          <w:numId w:val="71"/>
        </w:numPr>
        <w:rPr>
          <w:lang w:val="en-GB"/>
        </w:rPr>
      </w:pPr>
      <w:r w:rsidRPr="00C70893">
        <w:rPr>
          <w:lang w:val="en-GB"/>
        </w:rPr>
        <w:t>Evaluation of deterministic hazard impact analyses,</w:t>
      </w:r>
    </w:p>
    <w:p w:rsidR="009E2FA9" w:rsidRPr="00C70893" w:rsidRDefault="009E2FA9" w:rsidP="00E62976">
      <w:pPr>
        <w:numPr>
          <w:ilvl w:val="0"/>
          <w:numId w:val="71"/>
        </w:numPr>
        <w:rPr>
          <w:lang w:val="en-GB"/>
        </w:rPr>
      </w:pPr>
      <w:r w:rsidRPr="00C70893">
        <w:rPr>
          <w:lang w:val="en-GB"/>
        </w:rPr>
        <w:t>Dedicated failure mode and effects analysis of SSC</w:t>
      </w:r>
      <w:r w:rsidR="00143F9D">
        <w:rPr>
          <w:lang w:val="en-GB"/>
        </w:rPr>
        <w:t>s</w:t>
      </w:r>
      <w:r w:rsidRPr="00C70893">
        <w:rPr>
          <w:lang w:val="en-GB"/>
        </w:rPr>
        <w:t xml:space="preserve"> and other provisions on the site looking for effects on multiple units,</w:t>
      </w:r>
    </w:p>
    <w:p w:rsidR="009E2FA9" w:rsidRPr="00C70893" w:rsidRDefault="009E2FA9" w:rsidP="00E62976">
      <w:pPr>
        <w:numPr>
          <w:ilvl w:val="0"/>
          <w:numId w:val="71"/>
        </w:numPr>
        <w:rPr>
          <w:lang w:val="en-GB"/>
        </w:rPr>
      </w:pPr>
      <w:r w:rsidRPr="00C70893">
        <w:rPr>
          <w:lang w:val="en-GB"/>
        </w:rPr>
        <w:t xml:space="preserve">Evaluation of </w:t>
      </w:r>
      <w:r w:rsidR="00F96A3E">
        <w:rPr>
          <w:lang w:val="en-GB"/>
        </w:rPr>
        <w:t xml:space="preserve">(existing) </w:t>
      </w:r>
      <w:r w:rsidRPr="00C70893">
        <w:rPr>
          <w:lang w:val="en-GB"/>
        </w:rPr>
        <w:t>single-unit PSA models for minimum cuts sets that are (largely) the same for more than one unit</w:t>
      </w:r>
      <w:r>
        <w:rPr>
          <w:lang w:val="en-GB"/>
        </w:rPr>
        <w:t xml:space="preserve"> or of existing PSA modelling on multi-unit issues.</w:t>
      </w:r>
    </w:p>
    <w:p w:rsidR="00FC5432" w:rsidRDefault="009E2FA9" w:rsidP="009E2FA9">
      <w:pPr>
        <w:rPr>
          <w:lang w:val="en-GB"/>
        </w:rPr>
      </w:pPr>
      <w:r w:rsidRPr="00C70893">
        <w:rPr>
          <w:lang w:val="en-GB"/>
        </w:rPr>
        <w:t>This information needs to be gathered</w:t>
      </w:r>
      <w:r>
        <w:rPr>
          <w:lang w:val="en-GB"/>
        </w:rPr>
        <w:t xml:space="preserve"> into a comprehensive list of SSC and other provisions potentially affecting multiple units</w:t>
      </w:r>
      <w:r w:rsidR="00F96A3E">
        <w:rPr>
          <w:lang w:val="en-GB"/>
        </w:rPr>
        <w:t>/sources</w:t>
      </w:r>
      <w:r>
        <w:rPr>
          <w:lang w:val="en-GB"/>
        </w:rPr>
        <w:t xml:space="preserve"> with regard to the six dependency classifications defined above. Based on such information, the list of events, hazards and combinations thereof can be checked for those events which potentially affect multiple units.</w:t>
      </w:r>
    </w:p>
    <w:p w:rsidR="00FC5432" w:rsidRDefault="00FC5432" w:rsidP="005A747B">
      <w:pPr>
        <w:rPr>
          <w:lang w:val="en-GB"/>
        </w:rPr>
      </w:pPr>
    </w:p>
    <w:p w:rsidR="00F10D27" w:rsidRDefault="007763A9" w:rsidP="005A747B">
      <w:pPr>
        <w:rPr>
          <w:lang w:val="en-GB"/>
        </w:rPr>
      </w:pPr>
      <w:r>
        <w:rPr>
          <w:lang w:val="en-GB"/>
        </w:rPr>
        <w:t>E</w:t>
      </w:r>
      <w:r w:rsidR="00F10D27">
        <w:rPr>
          <w:lang w:val="en-GB"/>
        </w:rPr>
        <w:t>very multi-unit PSA is also a multi-source PSA. A quite common multi-source PSA is a PSA for the reactor core and the spent fuel pool.</w:t>
      </w:r>
      <w:r w:rsidR="00AB40AE">
        <w:rPr>
          <w:lang w:val="en-GB"/>
        </w:rPr>
        <w:t xml:space="preserve"> </w:t>
      </w:r>
      <w:r w:rsidR="00F10D27">
        <w:rPr>
          <w:lang w:val="en-GB"/>
        </w:rPr>
        <w:t xml:space="preserve">The screening approach for a multi-source PSA is basically identical to the multi-unit approach described above. </w:t>
      </w:r>
      <w:r w:rsidR="00AB40AE">
        <w:rPr>
          <w:lang w:val="en-GB"/>
        </w:rPr>
        <w:t>T</w:t>
      </w:r>
      <w:r w:rsidR="00F10D27">
        <w:rPr>
          <w:lang w:val="en-GB"/>
        </w:rPr>
        <w:t>herefore multi-source aspects</w:t>
      </w:r>
      <w:r w:rsidR="00AB40AE">
        <w:rPr>
          <w:lang w:val="en-GB"/>
        </w:rPr>
        <w:t xml:space="preserve"> are included</w:t>
      </w:r>
      <w:r w:rsidR="00F10D27">
        <w:rPr>
          <w:lang w:val="en-GB"/>
        </w:rPr>
        <w:t xml:space="preserve"> in the text above as applicable. </w:t>
      </w:r>
      <w:r w:rsidR="00C77430">
        <w:rPr>
          <w:lang w:val="en-GB"/>
        </w:rPr>
        <w:t>I</w:t>
      </w:r>
      <w:r w:rsidR="00F10D27">
        <w:rPr>
          <w:lang w:val="en-GB"/>
        </w:rPr>
        <w:t xml:space="preserve">ssues connected to multi-source PSA are still a field of research and there is </w:t>
      </w:r>
      <w:r w:rsidR="00143F9D">
        <w:rPr>
          <w:lang w:val="en-GB"/>
        </w:rPr>
        <w:t>little</w:t>
      </w:r>
      <w:r w:rsidR="00F10D27">
        <w:rPr>
          <w:lang w:val="en-GB"/>
        </w:rPr>
        <w:t xml:space="preserve"> good practice available to the ASAMPSA_</w:t>
      </w:r>
      <w:r w:rsidR="00A05D07">
        <w:rPr>
          <w:lang w:val="en-GB"/>
        </w:rPr>
        <w:t>E</w:t>
      </w:r>
      <w:r w:rsidR="00F10D27">
        <w:rPr>
          <w:lang w:val="en-GB"/>
        </w:rPr>
        <w:t xml:space="preserve"> project (apart from extension of the PSA to include the SFP)</w:t>
      </w:r>
      <w:r w:rsidR="00C77430">
        <w:rPr>
          <w:lang w:val="en-GB"/>
        </w:rPr>
        <w:t>.</w:t>
      </w:r>
      <w:r w:rsidR="00F10D27">
        <w:rPr>
          <w:lang w:val="en-GB"/>
        </w:rPr>
        <w:t xml:space="preserve"> However, some remarks specific to multi-source PSA can be made with respect to the proposed screening approach</w:t>
      </w:r>
      <w:r w:rsidR="001C0ED3">
        <w:rPr>
          <w:lang w:val="en-GB"/>
        </w:rPr>
        <w:t>:</w:t>
      </w:r>
    </w:p>
    <w:p w:rsidR="00EB6B64" w:rsidRPr="00EB6B64" w:rsidRDefault="00EB6B64" w:rsidP="00E62976">
      <w:pPr>
        <w:numPr>
          <w:ilvl w:val="0"/>
          <w:numId w:val="86"/>
        </w:numPr>
        <w:rPr>
          <w:lang w:val="en-GB"/>
        </w:rPr>
      </w:pPr>
      <w:r>
        <w:rPr>
          <w:lang w:val="en-GB"/>
        </w:rPr>
        <w:t xml:space="preserve">The identification of initiating events and hazard scenarios for non-fuel type sources has to be performed along the lines described in sections </w:t>
      </w:r>
      <w:r w:rsidR="00125AF4">
        <w:rPr>
          <w:lang w:val="en-GB"/>
        </w:rPr>
        <w:fldChar w:fldCharType="begin"/>
      </w:r>
      <w:r>
        <w:rPr>
          <w:lang w:val="en-GB"/>
        </w:rPr>
        <w:instrText xml:space="preserve"> REF _Ref445133088 \r \h </w:instrText>
      </w:r>
      <w:r w:rsidR="00125AF4">
        <w:rPr>
          <w:lang w:val="en-GB"/>
        </w:rPr>
      </w:r>
      <w:r w:rsidR="00125AF4">
        <w:rPr>
          <w:lang w:val="en-GB"/>
        </w:rPr>
        <w:fldChar w:fldCharType="separate"/>
      </w:r>
      <w:r w:rsidR="00E62976">
        <w:rPr>
          <w:lang w:val="en-GB"/>
        </w:rPr>
        <w:t>6.4</w:t>
      </w:r>
      <w:r w:rsidR="00125AF4">
        <w:rPr>
          <w:lang w:val="en-GB"/>
        </w:rPr>
        <w:fldChar w:fldCharType="end"/>
      </w:r>
      <w:r>
        <w:rPr>
          <w:lang w:val="en-GB"/>
        </w:rPr>
        <w:t xml:space="preserve">, </w:t>
      </w:r>
      <w:r w:rsidR="00125AF4">
        <w:rPr>
          <w:lang w:val="en-GB"/>
        </w:rPr>
        <w:fldChar w:fldCharType="begin"/>
      </w:r>
      <w:r>
        <w:rPr>
          <w:lang w:val="en-GB"/>
        </w:rPr>
        <w:instrText xml:space="preserve"> REF _Ref445297243 \r \h </w:instrText>
      </w:r>
      <w:r w:rsidR="00125AF4">
        <w:rPr>
          <w:lang w:val="en-GB"/>
        </w:rPr>
      </w:r>
      <w:r w:rsidR="00125AF4">
        <w:rPr>
          <w:lang w:val="en-GB"/>
        </w:rPr>
        <w:fldChar w:fldCharType="separate"/>
      </w:r>
      <w:r w:rsidR="00E62976">
        <w:rPr>
          <w:lang w:val="en-GB"/>
        </w:rPr>
        <w:t>6.5</w:t>
      </w:r>
      <w:r w:rsidR="00125AF4">
        <w:rPr>
          <w:lang w:val="en-GB"/>
        </w:rPr>
        <w:fldChar w:fldCharType="end"/>
      </w:r>
      <w:r>
        <w:rPr>
          <w:lang w:val="en-GB"/>
        </w:rPr>
        <w:t xml:space="preserve">, </w:t>
      </w:r>
      <w:r w:rsidR="00125AF4">
        <w:rPr>
          <w:lang w:val="en-GB"/>
        </w:rPr>
        <w:fldChar w:fldCharType="begin"/>
      </w:r>
      <w:r>
        <w:rPr>
          <w:lang w:val="en-GB"/>
        </w:rPr>
        <w:instrText xml:space="preserve"> REF _Ref445297246 \r \h </w:instrText>
      </w:r>
      <w:r w:rsidR="00125AF4">
        <w:rPr>
          <w:lang w:val="en-GB"/>
        </w:rPr>
      </w:r>
      <w:r w:rsidR="00125AF4">
        <w:rPr>
          <w:lang w:val="en-GB"/>
        </w:rPr>
        <w:fldChar w:fldCharType="separate"/>
      </w:r>
      <w:r w:rsidR="00E62976">
        <w:rPr>
          <w:lang w:val="en-GB"/>
        </w:rPr>
        <w:t>6.6</w:t>
      </w:r>
      <w:r w:rsidR="00125AF4">
        <w:rPr>
          <w:lang w:val="en-GB"/>
        </w:rPr>
        <w:fldChar w:fldCharType="end"/>
      </w:r>
      <w:r>
        <w:rPr>
          <w:lang w:val="en-GB"/>
        </w:rPr>
        <w:t xml:space="preserve">, and </w:t>
      </w:r>
      <w:r w:rsidR="00125AF4">
        <w:rPr>
          <w:lang w:val="en-GB"/>
        </w:rPr>
        <w:fldChar w:fldCharType="begin"/>
      </w:r>
      <w:r>
        <w:rPr>
          <w:lang w:val="en-GB"/>
        </w:rPr>
        <w:instrText xml:space="preserve"> REF _Ref445062137 \r \h </w:instrText>
      </w:r>
      <w:r w:rsidR="00125AF4">
        <w:rPr>
          <w:lang w:val="en-GB"/>
        </w:rPr>
      </w:r>
      <w:r w:rsidR="00125AF4">
        <w:rPr>
          <w:lang w:val="en-GB"/>
        </w:rPr>
        <w:fldChar w:fldCharType="separate"/>
      </w:r>
      <w:r w:rsidR="00E62976">
        <w:rPr>
          <w:lang w:val="en-GB"/>
        </w:rPr>
        <w:t>6.7</w:t>
      </w:r>
      <w:r w:rsidR="00125AF4">
        <w:rPr>
          <w:lang w:val="en-GB"/>
        </w:rPr>
        <w:fldChar w:fldCharType="end"/>
      </w:r>
      <w:r>
        <w:rPr>
          <w:lang w:val="en-GB"/>
        </w:rPr>
        <w:t>. The identification process should use as failure criterion for determining a potential challenge to plant safety the definition of the RMF metric: If an event or scenario and its further development in plant response analysis might challenge the first boundary design</w:t>
      </w:r>
      <w:r w:rsidR="00143F9D">
        <w:rPr>
          <w:lang w:val="en-GB"/>
        </w:rPr>
        <w:t>ed</w:t>
      </w:r>
      <w:r>
        <w:rPr>
          <w:lang w:val="en-GB"/>
        </w:rPr>
        <w:t xml:space="preserve"> to contain the source, the event or scenario should be considered during screening.</w:t>
      </w:r>
    </w:p>
    <w:p w:rsidR="00A05D07" w:rsidRPr="00C70893" w:rsidRDefault="00C77430" w:rsidP="00E62976">
      <w:pPr>
        <w:numPr>
          <w:ilvl w:val="0"/>
          <w:numId w:val="86"/>
        </w:numPr>
        <w:rPr>
          <w:lang w:val="en-GB"/>
        </w:rPr>
      </w:pPr>
      <w:r>
        <w:rPr>
          <w:lang w:val="en-GB"/>
        </w:rPr>
        <w:t>Qualitative</w:t>
      </w:r>
      <w:r w:rsidR="00A05D07">
        <w:rPr>
          <w:lang w:val="en-GB"/>
        </w:rPr>
        <w:t xml:space="preserve"> screening criteria defined in section </w:t>
      </w:r>
      <w:r w:rsidR="00125AF4">
        <w:rPr>
          <w:lang w:val="en-GB"/>
        </w:rPr>
        <w:fldChar w:fldCharType="begin"/>
      </w:r>
      <w:r w:rsidR="00A05D07">
        <w:rPr>
          <w:lang w:val="en-GB"/>
        </w:rPr>
        <w:instrText xml:space="preserve"> REF _Ref445029148 \r \h </w:instrText>
      </w:r>
      <w:r w:rsidR="00125AF4">
        <w:rPr>
          <w:lang w:val="en-GB"/>
        </w:rPr>
      </w:r>
      <w:r w:rsidR="00125AF4">
        <w:rPr>
          <w:lang w:val="en-GB"/>
        </w:rPr>
        <w:fldChar w:fldCharType="separate"/>
      </w:r>
      <w:r w:rsidR="00E62976">
        <w:rPr>
          <w:lang w:val="en-GB"/>
        </w:rPr>
        <w:t>6.2</w:t>
      </w:r>
      <w:r w:rsidR="00125AF4">
        <w:rPr>
          <w:lang w:val="en-GB"/>
        </w:rPr>
        <w:fldChar w:fldCharType="end"/>
      </w:r>
      <w:r w:rsidR="00A05D07">
        <w:rPr>
          <w:lang w:val="en-GB"/>
        </w:rPr>
        <w:t xml:space="preserve"> are fully applicable to screening for a multi-source PSA</w:t>
      </w:r>
      <w:r w:rsidR="003B17B4">
        <w:rPr>
          <w:lang w:val="en-GB"/>
        </w:rPr>
        <w:t>.</w:t>
      </w:r>
    </w:p>
    <w:p w:rsidR="00073DED" w:rsidRDefault="00A05D07" w:rsidP="00E62976">
      <w:pPr>
        <w:numPr>
          <w:ilvl w:val="0"/>
          <w:numId w:val="86"/>
        </w:numPr>
        <w:rPr>
          <w:lang w:val="en-GB"/>
        </w:rPr>
      </w:pPr>
      <w:r>
        <w:rPr>
          <w:lang w:val="en-GB"/>
        </w:rPr>
        <w:t xml:space="preserve">For non-fuel sources, the RMF risk measure (cf. also D30.5 </w:t>
      </w:r>
      <w:r w:rsidR="003B17B4">
        <w:rPr>
          <w:lang w:val="en-GB"/>
        </w:rPr>
        <w:fldChar w:fldCharType="begin"/>
      </w:r>
      <w:r w:rsidR="003B17B4">
        <w:rPr>
          <w:lang w:val="en-GB"/>
        </w:rPr>
        <w:instrText xml:space="preserve"> REF  _Ref423092269 \h \w </w:instrText>
      </w:r>
      <w:r w:rsidR="003B17B4">
        <w:rPr>
          <w:lang w:val="en-GB"/>
        </w:rPr>
      </w:r>
      <w:r w:rsidR="003B17B4">
        <w:rPr>
          <w:lang w:val="en-GB"/>
        </w:rPr>
        <w:fldChar w:fldCharType="separate"/>
      </w:r>
      <w:r w:rsidR="00E62976">
        <w:rPr>
          <w:lang w:val="en-GB"/>
        </w:rPr>
        <w:t>[87]</w:t>
      </w:r>
      <w:r w:rsidR="003B17B4">
        <w:rPr>
          <w:lang w:val="en-GB"/>
        </w:rPr>
        <w:fldChar w:fldCharType="end"/>
      </w:r>
      <w:r>
        <w:rPr>
          <w:lang w:val="en-GB"/>
        </w:rPr>
        <w:t>) is recommended for PSA Level 1.</w:t>
      </w:r>
      <w:r>
        <w:rPr>
          <w:lang w:val="en-GB"/>
        </w:rPr>
        <w:tab/>
      </w:r>
      <w:r>
        <w:rPr>
          <w:lang w:val="en-GB"/>
        </w:rPr>
        <w:br/>
        <w:t>Typical sources in a NPP include radioactive waste treatment facilities, waste conditioning facilities, and on-site interim storage facilities.</w:t>
      </w:r>
    </w:p>
    <w:p w:rsidR="00A05D07" w:rsidRDefault="00A05D07" w:rsidP="001B08F4">
      <w:pPr>
        <w:ind w:left="709"/>
        <w:rPr>
          <w:lang w:val="en-GB"/>
        </w:rPr>
      </w:pPr>
      <w:r>
        <w:rPr>
          <w:lang w:val="en-GB"/>
        </w:rPr>
        <w:t>Analysts should be aware that RMF is intended to generalize the CDF/FDF metric. Therefore, CDF/FDF is a subset of RMF; respective CDF/FDF contributions from bounding assessment and more detailed PSA models should be treated as contributions to overall RMF results.</w:t>
      </w:r>
    </w:p>
    <w:p w:rsidR="00A05D07" w:rsidRPr="00C70893" w:rsidRDefault="00A05D07" w:rsidP="00E62976">
      <w:pPr>
        <w:numPr>
          <w:ilvl w:val="0"/>
          <w:numId w:val="86"/>
        </w:numPr>
        <w:rPr>
          <w:lang w:val="en-GB"/>
        </w:rPr>
      </w:pPr>
      <w:r>
        <w:rPr>
          <w:lang w:val="en-GB"/>
        </w:rPr>
        <w:t xml:space="preserve">RMF is also recommended as a </w:t>
      </w:r>
      <w:r w:rsidR="00EB6B64">
        <w:rPr>
          <w:lang w:val="en-GB"/>
        </w:rPr>
        <w:t xml:space="preserve">PSA Level 1 </w:t>
      </w:r>
      <w:r>
        <w:rPr>
          <w:lang w:val="en-GB"/>
        </w:rPr>
        <w:t>risk measure for capturing scenarios with (significant) mechanical damage to fuel rods without excessive fuel heat-up</w:t>
      </w:r>
      <w:r w:rsidR="0069604C">
        <w:rPr>
          <w:lang w:val="en-GB"/>
        </w:rPr>
        <w:t xml:space="preserve"> not captured by the FDF metric</w:t>
      </w:r>
      <w:r>
        <w:rPr>
          <w:lang w:val="en-GB"/>
        </w:rPr>
        <w:t xml:space="preserve">. Such scenarios are particularly relevant for </w:t>
      </w:r>
      <w:r w:rsidR="00767D73">
        <w:rPr>
          <w:lang w:val="en-GB"/>
        </w:rPr>
        <w:t>some internal hazard impact scenarios like e.g. heavy load drop or accidents during on-site transport of spent fuel.</w:t>
      </w:r>
    </w:p>
    <w:p w:rsidR="00A05D07" w:rsidRPr="00C70893" w:rsidRDefault="00EB6B64" w:rsidP="00E62976">
      <w:pPr>
        <w:numPr>
          <w:ilvl w:val="0"/>
          <w:numId w:val="86"/>
        </w:numPr>
        <w:rPr>
          <w:lang w:val="en-GB"/>
        </w:rPr>
      </w:pPr>
      <w:r>
        <w:rPr>
          <w:lang w:val="en-GB"/>
        </w:rPr>
        <w:t>No specific and additional PSA Level 2 risk measures are defined for multi-source PSA screening. Releases from sources other than fuel should be converted to equivalent releases of the representative isotopes for LRF and ERF.</w:t>
      </w:r>
    </w:p>
    <w:p w:rsidR="00F10D27" w:rsidRDefault="00F10D27" w:rsidP="006B2B4A">
      <w:pPr>
        <w:rPr>
          <w:rFonts w:eastAsia="Batang"/>
          <w:lang w:val="en-GB" w:eastAsia="ja-JP"/>
        </w:rPr>
      </w:pPr>
    </w:p>
    <w:p w:rsidR="006479BB" w:rsidRDefault="00EB6B64" w:rsidP="006479BB">
      <w:pPr>
        <w:rPr>
          <w:rFonts w:eastAsia="Batang"/>
          <w:lang w:val="en-GB" w:eastAsia="ja-JP"/>
        </w:rPr>
      </w:pPr>
      <w:r>
        <w:rPr>
          <w:rFonts w:eastAsia="Batang"/>
          <w:lang w:val="en-GB" w:eastAsia="ja-JP"/>
        </w:rPr>
        <w:t>For sites with multiple units, scenarios with potential accidental releases representative of severe accidents in more than one unit might be of specific interest. As explained above, such release scenarios would be captured by the proposed screening approach. Nonetheless, very large</w:t>
      </w:r>
      <w:r w:rsidR="004D492A">
        <w:rPr>
          <w:rFonts w:eastAsia="Batang"/>
          <w:lang w:val="en-GB" w:eastAsia="ja-JP"/>
        </w:rPr>
        <w:t xml:space="preserve"> (e.g. from a spent fuel pool)</w:t>
      </w:r>
      <w:r w:rsidR="00B21074">
        <w:rPr>
          <w:rFonts w:eastAsia="Batang"/>
          <w:lang w:val="en-GB" w:eastAsia="ja-JP"/>
        </w:rPr>
        <w:t xml:space="preserve"> </w:t>
      </w:r>
      <w:r>
        <w:rPr>
          <w:rFonts w:eastAsia="Batang"/>
          <w:lang w:val="en-GB" w:eastAsia="ja-JP"/>
        </w:rPr>
        <w:t>releases might be of specific interest in order to screen in specific scenarios for more detailed analysis, even though they have been screened out based on LRF. For this purpose</w:t>
      </w:r>
      <w:r w:rsidR="001C0ED3">
        <w:rPr>
          <w:rFonts w:eastAsia="Batang"/>
          <w:lang w:val="en-GB" w:eastAsia="ja-JP"/>
        </w:rPr>
        <w:t>,</w:t>
      </w:r>
      <w:r>
        <w:rPr>
          <w:rFonts w:eastAsia="Batang"/>
          <w:lang w:val="en-GB" w:eastAsia="ja-JP"/>
        </w:rPr>
        <w:t xml:space="preserve"> </w:t>
      </w:r>
      <w:r w:rsidR="001C0ED3">
        <w:rPr>
          <w:rFonts w:eastAsia="Batang"/>
          <w:lang w:val="en-GB" w:eastAsia="ja-JP"/>
        </w:rPr>
        <w:t xml:space="preserve">using </w:t>
      </w:r>
      <w:r>
        <w:rPr>
          <w:rFonts w:eastAsia="Batang"/>
          <w:lang w:val="en-GB" w:eastAsia="ja-JP"/>
        </w:rPr>
        <w:t>a variant of the L</w:t>
      </w:r>
      <w:r w:rsidR="00B21074">
        <w:rPr>
          <w:rFonts w:eastAsia="Batang"/>
          <w:lang w:val="en-GB" w:eastAsia="ja-JP"/>
        </w:rPr>
        <w:t>E</w:t>
      </w:r>
      <w:r>
        <w:rPr>
          <w:rFonts w:eastAsia="Batang"/>
          <w:lang w:val="en-GB" w:eastAsia="ja-JP"/>
        </w:rPr>
        <w:t>RF metric, the very large release frequency (VLRF), by defining a very large release threshold</w:t>
      </w:r>
      <w:r w:rsidR="001C0ED3">
        <w:rPr>
          <w:rFonts w:eastAsia="Batang"/>
          <w:lang w:val="en-GB" w:eastAsia="ja-JP"/>
        </w:rPr>
        <w:t>, can be recommended.</w:t>
      </w:r>
    </w:p>
    <w:p w:rsidR="00494D47" w:rsidRDefault="006479BB" w:rsidP="006B2B4A">
      <w:pPr>
        <w:rPr>
          <w:lang w:val="en-GB"/>
        </w:rPr>
      </w:pPr>
      <w:r>
        <w:rPr>
          <w:lang w:val="en-GB"/>
        </w:rPr>
        <w:t xml:space="preserve">For the VLRF </w:t>
      </w:r>
      <w:r w:rsidR="00EB6B64">
        <w:rPr>
          <w:lang w:val="en-GB"/>
        </w:rPr>
        <w:t>metric</w:t>
      </w:r>
      <w:r>
        <w:rPr>
          <w:lang w:val="en-GB"/>
        </w:rPr>
        <w:t xml:space="preserve">, the threshold set to </w:t>
      </w:r>
      <w:r w:rsidR="00C70B49">
        <w:rPr>
          <w:lang w:val="en-GB"/>
        </w:rPr>
        <w:t>50</w:t>
      </w:r>
      <w:r>
        <w:rPr>
          <w:lang w:val="en-GB"/>
        </w:rPr>
        <w:t xml:space="preserve">0 PBq I-131 (or equivalent) </w:t>
      </w:r>
      <w:r w:rsidR="00C70B49">
        <w:rPr>
          <w:lang w:val="en-GB"/>
        </w:rPr>
        <w:t>based on</w:t>
      </w:r>
      <w:r>
        <w:rPr>
          <w:lang w:val="en-GB"/>
        </w:rPr>
        <w:t xml:space="preserve"> </w:t>
      </w:r>
      <w:r w:rsidR="00703A8B">
        <w:rPr>
          <w:lang w:val="en-GB"/>
        </w:rPr>
        <w:fldChar w:fldCharType="begin"/>
      </w:r>
      <w:r w:rsidR="00703A8B">
        <w:rPr>
          <w:lang w:val="en-GB"/>
        </w:rPr>
        <w:instrText xml:space="preserve"> REF  _Ref423961229 \h \w </w:instrText>
      </w:r>
      <w:r w:rsidR="00703A8B">
        <w:rPr>
          <w:lang w:val="en-GB"/>
        </w:rPr>
      </w:r>
      <w:r w:rsidR="00703A8B">
        <w:rPr>
          <w:lang w:val="en-GB"/>
        </w:rPr>
        <w:fldChar w:fldCharType="separate"/>
      </w:r>
      <w:r w:rsidR="00E62976">
        <w:rPr>
          <w:lang w:val="en-GB"/>
        </w:rPr>
        <w:t>[88]</w:t>
      </w:r>
      <w:r w:rsidR="00703A8B">
        <w:rPr>
          <w:lang w:val="en-GB"/>
        </w:rPr>
        <w:fldChar w:fldCharType="end"/>
      </w:r>
      <w:r>
        <w:rPr>
          <w:lang w:val="en-GB"/>
        </w:rPr>
        <w:t xml:space="preserve"> p. 17</w:t>
      </w:r>
      <w:r w:rsidR="00B21074">
        <w:rPr>
          <w:lang w:val="en-GB"/>
        </w:rPr>
        <w:t xml:space="preserve"> and </w:t>
      </w:r>
      <w:r w:rsidR="004D492A">
        <w:rPr>
          <w:lang w:val="en-GB"/>
        </w:rPr>
        <w:t>the</w:t>
      </w:r>
      <w:r w:rsidR="00B21074">
        <w:rPr>
          <w:lang w:val="en-GB"/>
        </w:rPr>
        <w:t xml:space="preserve"> recommendations on LERF in D30.5 </w:t>
      </w:r>
      <w:r w:rsidR="00703A8B">
        <w:rPr>
          <w:lang w:val="en-GB"/>
        </w:rPr>
        <w:fldChar w:fldCharType="begin"/>
      </w:r>
      <w:r w:rsidR="00703A8B">
        <w:rPr>
          <w:lang w:val="en-GB"/>
        </w:rPr>
        <w:instrText xml:space="preserve"> REF  _Ref423092269 \h \w </w:instrText>
      </w:r>
      <w:r w:rsidR="00703A8B">
        <w:rPr>
          <w:lang w:val="en-GB"/>
        </w:rPr>
      </w:r>
      <w:r w:rsidR="00703A8B">
        <w:rPr>
          <w:lang w:val="en-GB"/>
        </w:rPr>
        <w:fldChar w:fldCharType="separate"/>
      </w:r>
      <w:r w:rsidR="00E62976">
        <w:rPr>
          <w:lang w:val="en-GB"/>
        </w:rPr>
        <w:t>[87]</w:t>
      </w:r>
      <w:r w:rsidR="00703A8B">
        <w:rPr>
          <w:lang w:val="en-GB"/>
        </w:rPr>
        <w:fldChar w:fldCharType="end"/>
      </w:r>
      <w:r w:rsidR="004D492A">
        <w:rPr>
          <w:lang w:val="en-GB"/>
        </w:rPr>
        <w:t xml:space="preserve"> should be considered</w:t>
      </w:r>
      <w:r>
        <w:rPr>
          <w:lang w:val="en-GB"/>
        </w:rPr>
        <w:t xml:space="preserve">. </w:t>
      </w:r>
      <w:r w:rsidR="00C70B49">
        <w:rPr>
          <w:lang w:val="en-GB"/>
        </w:rPr>
        <w:t xml:space="preserve">It should be noted that the radiological </w:t>
      </w:r>
      <w:r w:rsidR="00B21074">
        <w:rPr>
          <w:lang w:val="en-GB"/>
        </w:rPr>
        <w:t xml:space="preserve">equivalence factor of </w:t>
      </w:r>
      <w:r w:rsidR="004D492A">
        <w:rPr>
          <w:lang w:val="en-GB"/>
        </w:rPr>
        <w:t xml:space="preserve">a unit activity of </w:t>
      </w:r>
      <w:r w:rsidR="00B21074">
        <w:rPr>
          <w:lang w:val="en-GB"/>
        </w:rPr>
        <w:t xml:space="preserve">Cs-137 to I-131 is 40 </w:t>
      </w:r>
      <w:r w:rsidR="00703A8B">
        <w:rPr>
          <w:lang w:val="en-GB"/>
        </w:rPr>
        <w:fldChar w:fldCharType="begin"/>
      </w:r>
      <w:r w:rsidR="00703A8B">
        <w:rPr>
          <w:lang w:val="en-GB"/>
        </w:rPr>
        <w:instrText xml:space="preserve"> REF  _Ref423961229 \h \w </w:instrText>
      </w:r>
      <w:r w:rsidR="00703A8B">
        <w:rPr>
          <w:lang w:val="en-GB"/>
        </w:rPr>
      </w:r>
      <w:r w:rsidR="00703A8B">
        <w:rPr>
          <w:lang w:val="en-GB"/>
        </w:rPr>
        <w:fldChar w:fldCharType="separate"/>
      </w:r>
      <w:r w:rsidR="00E62976">
        <w:rPr>
          <w:lang w:val="en-GB"/>
        </w:rPr>
        <w:t>[88]</w:t>
      </w:r>
      <w:r w:rsidR="00703A8B">
        <w:rPr>
          <w:lang w:val="en-GB"/>
        </w:rPr>
        <w:fldChar w:fldCharType="end"/>
      </w:r>
      <w:r w:rsidR="00B21074">
        <w:rPr>
          <w:lang w:val="en-GB"/>
        </w:rPr>
        <w:t xml:space="preserve">, p. 16. </w:t>
      </w:r>
    </w:p>
    <w:p w:rsidR="00494D47" w:rsidRDefault="00494D47">
      <w:pPr>
        <w:spacing w:line="240" w:lineRule="auto"/>
        <w:jc w:val="left"/>
        <w:rPr>
          <w:lang w:val="en-GB"/>
        </w:rPr>
      </w:pPr>
      <w:r>
        <w:rPr>
          <w:lang w:val="en-GB"/>
        </w:rPr>
        <w:br w:type="page"/>
      </w:r>
    </w:p>
    <w:p w:rsidR="006479BB" w:rsidRDefault="006479BB" w:rsidP="006B2B4A">
      <w:pPr>
        <w:rPr>
          <w:lang w:val="en-GB"/>
        </w:rPr>
      </w:pPr>
    </w:p>
    <w:p w:rsidR="005D314C" w:rsidRDefault="005D314C" w:rsidP="005D314C">
      <w:pPr>
        <w:pStyle w:val="Titre1"/>
        <w:rPr>
          <w:lang w:val="en-GB"/>
        </w:rPr>
      </w:pPr>
      <w:bookmarkStart w:id="516" w:name="_Toc469070943"/>
      <w:bookmarkStart w:id="517" w:name="_Toc473303595"/>
      <w:bookmarkEnd w:id="516"/>
      <w:r>
        <w:rPr>
          <w:lang w:val="en-GB"/>
        </w:rPr>
        <w:t>CONCLUSION</w:t>
      </w:r>
      <w:r w:rsidR="00C315EB">
        <w:rPr>
          <w:lang w:val="en-GB"/>
        </w:rPr>
        <w:t>S</w:t>
      </w:r>
      <w:bookmarkEnd w:id="517"/>
    </w:p>
    <w:p w:rsidR="00E4580D" w:rsidRDefault="00E4580D" w:rsidP="00484EEB">
      <w:pPr>
        <w:rPr>
          <w:lang w:val="en-GB"/>
        </w:rPr>
      </w:pPr>
    </w:p>
    <w:p w:rsidR="00484EEB" w:rsidRPr="00E4580D" w:rsidRDefault="00484EEB" w:rsidP="00484EEB">
      <w:pPr>
        <w:rPr>
          <w:lang w:val="en-GB"/>
        </w:rPr>
      </w:pPr>
      <w:r w:rsidRPr="00FA6AA7">
        <w:rPr>
          <w:lang w:val="en-GB"/>
        </w:rPr>
        <w:t xml:space="preserve">From </w:t>
      </w:r>
      <w:r>
        <w:rPr>
          <w:lang w:val="en-GB"/>
        </w:rPr>
        <w:t>an</w:t>
      </w:r>
      <w:r w:rsidRPr="00FA6AA7">
        <w:rPr>
          <w:lang w:val="en-GB"/>
        </w:rPr>
        <w:t xml:space="preserve"> industrial end-user perspective, the screening process</w:t>
      </w:r>
      <w:r>
        <w:rPr>
          <w:lang w:val="en-GB"/>
        </w:rPr>
        <w:t xml:space="preserve"> must be effective enough to be able to</w:t>
      </w:r>
      <w:r w:rsidRPr="00FA6AA7">
        <w:rPr>
          <w:lang w:val="en-GB"/>
        </w:rPr>
        <w:t xml:space="preserve"> identify rapidly </w:t>
      </w:r>
      <w:r w:rsidR="00E4580D">
        <w:rPr>
          <w:lang w:val="en-GB"/>
        </w:rPr>
        <w:t xml:space="preserve">key </w:t>
      </w:r>
      <w:r w:rsidRPr="00FA6AA7">
        <w:rPr>
          <w:lang w:val="en-GB"/>
        </w:rPr>
        <w:t>predominant</w:t>
      </w:r>
      <w:r>
        <w:rPr>
          <w:lang w:val="en-GB"/>
        </w:rPr>
        <w:t xml:space="preserve"> </w:t>
      </w:r>
      <w:r w:rsidRPr="00FA6AA7">
        <w:rPr>
          <w:lang w:val="en-GB"/>
        </w:rPr>
        <w:t xml:space="preserve">hazards eligible to </w:t>
      </w:r>
      <w:r>
        <w:rPr>
          <w:lang w:val="en-GB"/>
        </w:rPr>
        <w:t xml:space="preserve">extended </w:t>
      </w:r>
      <w:r w:rsidRPr="00FA6AA7">
        <w:rPr>
          <w:lang w:val="en-GB"/>
        </w:rPr>
        <w:t>PSA</w:t>
      </w:r>
      <w:r>
        <w:rPr>
          <w:lang w:val="en-GB"/>
        </w:rPr>
        <w:t xml:space="preserve"> analysis. This is paramount to enable industrial end-user to</w:t>
      </w:r>
      <w:r w:rsidRPr="00EC5EF9">
        <w:rPr>
          <w:lang w:val="en-GB"/>
        </w:rPr>
        <w:t xml:space="preserve"> better focus resources and direct them to address issues that present the highest significance to NPP Risks and Safety.</w:t>
      </w:r>
      <w:r w:rsidR="00E4580D">
        <w:rPr>
          <w:lang w:val="en-GB"/>
        </w:rPr>
        <w:t xml:space="preserve"> </w:t>
      </w:r>
      <w:r>
        <w:rPr>
          <w:lang w:val="en-GB"/>
        </w:rPr>
        <w:t xml:space="preserve">The </w:t>
      </w:r>
      <w:r w:rsidR="00E4580D">
        <w:rPr>
          <w:lang w:val="en-GB"/>
        </w:rPr>
        <w:t>following provide</w:t>
      </w:r>
      <w:r>
        <w:rPr>
          <w:lang w:val="en-GB"/>
        </w:rPr>
        <w:t xml:space="preserve"> some envelope good practices for each step of the selection of extended PSA initiating events. From an industrial end-user perspective</w:t>
      </w:r>
      <w:r w:rsidRPr="00663230">
        <w:rPr>
          <w:lang w:val="en-GB"/>
        </w:rPr>
        <w:t xml:space="preserve">, each step must be adapted and simplified </w:t>
      </w:r>
      <w:r>
        <w:rPr>
          <w:lang w:val="en-GB"/>
        </w:rPr>
        <w:t xml:space="preserve">where necessary </w:t>
      </w:r>
      <w:r w:rsidR="007E7DCA">
        <w:rPr>
          <w:lang w:val="en-GB"/>
        </w:rPr>
        <w:t>and justified.</w:t>
      </w:r>
    </w:p>
    <w:p w:rsidR="00484EEB" w:rsidRDefault="00484EEB" w:rsidP="00CC3DD5">
      <w:pPr>
        <w:rPr>
          <w:b/>
          <w:u w:val="single"/>
          <w:lang w:val="en-GB"/>
        </w:rPr>
      </w:pPr>
    </w:p>
    <w:p w:rsidR="005D314C" w:rsidRPr="005079A3" w:rsidRDefault="003250AB" w:rsidP="00CC3DD5">
      <w:pPr>
        <w:rPr>
          <w:b/>
          <w:u w:val="single"/>
          <w:lang w:val="en-GB"/>
        </w:rPr>
      </w:pPr>
      <w:r w:rsidRPr="005079A3">
        <w:rPr>
          <w:b/>
          <w:u w:val="single"/>
          <w:lang w:val="en-GB"/>
        </w:rPr>
        <w:t>The major steps for initiating events identification</w:t>
      </w:r>
    </w:p>
    <w:p w:rsidR="00C86E02" w:rsidRPr="00E20701" w:rsidRDefault="00C86E02" w:rsidP="00C86E02">
      <w:pPr>
        <w:rPr>
          <w:lang w:val="en-GB"/>
        </w:rPr>
      </w:pPr>
      <w:r w:rsidRPr="00E20701">
        <w:rPr>
          <w:lang w:val="en-GB"/>
        </w:rPr>
        <w:t xml:space="preserve">Based on the </w:t>
      </w:r>
      <w:r w:rsidR="007D5E7B">
        <w:rPr>
          <w:lang w:val="en-GB"/>
        </w:rPr>
        <w:t>discussion in the previous section</w:t>
      </w:r>
      <w:r w:rsidRPr="00E20701">
        <w:rPr>
          <w:lang w:val="en-GB"/>
        </w:rPr>
        <w:t>, the following refined methodology for initiating events identification, screening and analysis for an extended PSA consists of four major steps</w:t>
      </w:r>
      <w:r w:rsidR="00D17C9E">
        <w:rPr>
          <w:lang w:val="en-GB"/>
        </w:rPr>
        <w:t>:</w:t>
      </w:r>
    </w:p>
    <w:p w:rsidR="00C86E02" w:rsidRPr="00C70893" w:rsidRDefault="00C86E02" w:rsidP="00E62976">
      <w:pPr>
        <w:numPr>
          <w:ilvl w:val="0"/>
          <w:numId w:val="91"/>
        </w:numPr>
        <w:rPr>
          <w:lang w:val="en-GB"/>
        </w:rPr>
      </w:pPr>
      <w:r w:rsidRPr="00C70893">
        <w:rPr>
          <w:lang w:val="en-GB"/>
        </w:rPr>
        <w:t>Comprehensive identification of events and hazards and their respective combinations applicable to the plant and site</w:t>
      </w:r>
      <w:r>
        <w:rPr>
          <w:lang w:val="en-GB"/>
        </w:rPr>
        <w:t>.</w:t>
      </w:r>
      <w:r w:rsidR="00C23BA5">
        <w:rPr>
          <w:lang w:val="en-GB"/>
        </w:rPr>
        <w:t xml:space="preserve"> Qualitative screening criteria will be applied.</w:t>
      </w:r>
    </w:p>
    <w:p w:rsidR="00C86E02" w:rsidRPr="00C70893" w:rsidRDefault="00C86E02" w:rsidP="00E62976">
      <w:pPr>
        <w:numPr>
          <w:ilvl w:val="0"/>
          <w:numId w:val="91"/>
        </w:numPr>
        <w:rPr>
          <w:lang w:val="en-GB"/>
        </w:rPr>
      </w:pPr>
      <w:r w:rsidRPr="00C70893">
        <w:rPr>
          <w:lang w:val="en-GB"/>
        </w:rPr>
        <w:t xml:space="preserve">Initial </w:t>
      </w:r>
      <w:r w:rsidR="00167660">
        <w:rPr>
          <w:lang w:val="en-GB"/>
        </w:rPr>
        <w:t xml:space="preserve">(possibly conservative) </w:t>
      </w:r>
      <w:r w:rsidRPr="00C70893">
        <w:rPr>
          <w:lang w:val="en-GB"/>
        </w:rPr>
        <w:t>frequency claims for events and hazards and their respective combinations applicable to the plant and the site</w:t>
      </w:r>
      <w:r>
        <w:rPr>
          <w:lang w:val="en-GB"/>
        </w:rPr>
        <w:t>.</w:t>
      </w:r>
      <w:r w:rsidR="00C23BA5">
        <w:rPr>
          <w:lang w:val="en-GB"/>
        </w:rPr>
        <w:t xml:space="preserve"> Quantitative screening criteria will be applied.</w:t>
      </w:r>
    </w:p>
    <w:p w:rsidR="00C86E02" w:rsidRPr="00C70893" w:rsidRDefault="00C86E02" w:rsidP="00E62976">
      <w:pPr>
        <w:numPr>
          <w:ilvl w:val="0"/>
          <w:numId w:val="91"/>
        </w:numPr>
        <w:rPr>
          <w:lang w:val="en-GB"/>
        </w:rPr>
      </w:pPr>
      <w:r w:rsidRPr="00C70893">
        <w:rPr>
          <w:lang w:val="en-GB"/>
        </w:rPr>
        <w:t>Impact analysis and bounding assessment for all applicable events and scenarios. Events are either screened out from further more detailed analysis, or are assigned to a bounding event (group), or are retained for detailed analysis.</w:t>
      </w:r>
    </w:p>
    <w:p w:rsidR="00C86E02" w:rsidRPr="00C70893" w:rsidRDefault="00C86E02" w:rsidP="00E62976">
      <w:pPr>
        <w:numPr>
          <w:ilvl w:val="0"/>
          <w:numId w:val="91"/>
        </w:numPr>
        <w:rPr>
          <w:lang w:val="en-GB"/>
        </w:rPr>
      </w:pPr>
      <w:r w:rsidRPr="00C70893">
        <w:rPr>
          <w:lang w:val="en-GB"/>
        </w:rPr>
        <w:t>Probabilistic analysis of all retained (bounding) events at the appropriate level of detail.</w:t>
      </w:r>
    </w:p>
    <w:p w:rsidR="00CC3DD5" w:rsidRDefault="00CC3DD5" w:rsidP="005079A3">
      <w:pPr>
        <w:rPr>
          <w:u w:val="single"/>
          <w:lang w:val="en-GB"/>
        </w:rPr>
      </w:pPr>
    </w:p>
    <w:p w:rsidR="003250AB" w:rsidRPr="005079A3" w:rsidRDefault="003250AB" w:rsidP="005079A3">
      <w:pPr>
        <w:rPr>
          <w:u w:val="single"/>
          <w:lang w:val="en-GB"/>
        </w:rPr>
      </w:pPr>
      <w:r w:rsidRPr="005079A3">
        <w:rPr>
          <w:b/>
          <w:u w:val="single"/>
          <w:lang w:val="en-GB"/>
        </w:rPr>
        <w:t>The main qualitative and quantitative screening criteria</w:t>
      </w:r>
    </w:p>
    <w:p w:rsidR="00C86E02" w:rsidRDefault="0026201A" w:rsidP="00C86E02">
      <w:pPr>
        <w:rPr>
          <w:lang w:val="en-GB"/>
        </w:rPr>
      </w:pPr>
      <w:r>
        <w:rPr>
          <w:lang w:val="en-GB"/>
        </w:rPr>
        <w:t>The proposed screening approach for an extended PSA recommends using the following qualitative screening criteria.</w:t>
      </w:r>
    </w:p>
    <w:p w:rsidR="0026201A" w:rsidRDefault="0026201A" w:rsidP="00E62976">
      <w:pPr>
        <w:numPr>
          <w:ilvl w:val="0"/>
          <w:numId w:val="84"/>
        </w:numPr>
        <w:rPr>
          <w:lang w:val="en-GB"/>
        </w:rPr>
      </w:pPr>
      <w:r w:rsidRPr="00C70893">
        <w:rPr>
          <w:lang w:val="en-GB"/>
        </w:rPr>
        <w:t>The event poses no challenge to safety systems.</w:t>
      </w:r>
    </w:p>
    <w:p w:rsidR="0026201A" w:rsidRDefault="0026201A" w:rsidP="00E62976">
      <w:pPr>
        <w:numPr>
          <w:ilvl w:val="0"/>
          <w:numId w:val="84"/>
        </w:numPr>
        <w:rPr>
          <w:lang w:val="en-GB"/>
        </w:rPr>
      </w:pPr>
      <w:r w:rsidRPr="00C70893">
        <w:rPr>
          <w:lang w:val="en-GB"/>
        </w:rPr>
        <w:t>The event is bounded by another initiating event</w:t>
      </w:r>
      <w:r w:rsidR="004102AA">
        <w:rPr>
          <w:lang w:val="en-GB"/>
        </w:rPr>
        <w:t xml:space="preserve"> or the induced accident scenario is already included in the PSA</w:t>
      </w:r>
      <w:r w:rsidR="00D17C9E">
        <w:rPr>
          <w:lang w:val="en-GB"/>
        </w:rPr>
        <w:t>.</w:t>
      </w:r>
    </w:p>
    <w:p w:rsidR="001F2D9E" w:rsidRDefault="00813C5B" w:rsidP="00E62976">
      <w:pPr>
        <w:numPr>
          <w:ilvl w:val="0"/>
          <w:numId w:val="84"/>
        </w:numPr>
        <w:rPr>
          <w:lang w:val="en-GB"/>
        </w:rPr>
      </w:pPr>
      <w:r>
        <w:rPr>
          <w:lang w:val="en-GB"/>
        </w:rPr>
        <w:t>T</w:t>
      </w:r>
      <w:r w:rsidR="001F2D9E">
        <w:rPr>
          <w:lang w:val="en-GB"/>
        </w:rPr>
        <w:t>he event (external hazard) has the potential to induce catastrophic levels of destruction on the plant and regional scale offsite consequences.</w:t>
      </w:r>
    </w:p>
    <w:p w:rsidR="0026201A" w:rsidRDefault="0026201A" w:rsidP="005079A3">
      <w:pPr>
        <w:ind w:left="720"/>
        <w:rPr>
          <w:lang w:val="en-GB"/>
        </w:rPr>
      </w:pPr>
    </w:p>
    <w:p w:rsidR="0026201A" w:rsidRDefault="006B556F" w:rsidP="00C86E02">
      <w:pPr>
        <w:rPr>
          <w:lang w:val="en-GB"/>
        </w:rPr>
      </w:pPr>
      <w:r>
        <w:rPr>
          <w:lang w:val="en-GB"/>
        </w:rPr>
        <w:t>The following quantitative screening criteria, relative to overall PSA results for the respective risk measures are proposed.</w:t>
      </w:r>
    </w:p>
    <w:p w:rsidR="00D040AA" w:rsidRDefault="00D040AA" w:rsidP="00E62976">
      <w:pPr>
        <w:numPr>
          <w:ilvl w:val="0"/>
          <w:numId w:val="87"/>
        </w:numPr>
        <w:rPr>
          <w:lang w:val="en-GB"/>
        </w:rPr>
      </w:pPr>
      <w:r>
        <w:rPr>
          <w:lang w:val="en-GB"/>
        </w:rPr>
        <w:t>Based on current overall PSA results of the unit or source (i.e. including bounding assessment estimates) for FDF, LRF, and ERF, apply limits of 1 % of the overall PSA results for the following risk measures</w:t>
      </w:r>
      <w:r w:rsidR="00D17C9E">
        <w:rPr>
          <w:lang w:val="en-GB"/>
        </w:rPr>
        <w:t>:</w:t>
      </w:r>
    </w:p>
    <w:p w:rsidR="0082154F" w:rsidRDefault="001F2D9E" w:rsidP="00E62976">
      <w:pPr>
        <w:numPr>
          <w:ilvl w:val="1"/>
          <w:numId w:val="87"/>
        </w:numPr>
        <w:rPr>
          <w:lang w:val="en-GB"/>
        </w:rPr>
      </w:pPr>
      <w:r>
        <w:rPr>
          <w:lang w:val="en-GB"/>
        </w:rPr>
        <w:t>FDF</w:t>
      </w:r>
      <w:r w:rsidRPr="007A48DD">
        <w:rPr>
          <w:vertAlign w:val="subscript"/>
          <w:lang w:val="en-GB"/>
        </w:rPr>
        <w:t>event</w:t>
      </w:r>
      <w:r>
        <w:rPr>
          <w:lang w:val="en-GB"/>
        </w:rPr>
        <w:t xml:space="preserve"> &lt; 1% FDF</w:t>
      </w:r>
      <w:r w:rsidRPr="00D95240">
        <w:rPr>
          <w:vertAlign w:val="subscript"/>
          <w:lang w:val="en-GB"/>
        </w:rPr>
        <w:t>overall</w:t>
      </w:r>
      <w:r>
        <w:rPr>
          <w:vertAlign w:val="subscript"/>
          <w:lang w:val="en-GB"/>
        </w:rPr>
        <w:t xml:space="preserve">  </w:t>
      </w:r>
      <w:r w:rsidRPr="00D95240">
        <w:rPr>
          <w:lang w:val="en-GB"/>
        </w:rPr>
        <w:t xml:space="preserve">if </w:t>
      </w:r>
      <w:r>
        <w:rPr>
          <w:lang w:val="en-GB"/>
        </w:rPr>
        <w:t>&lt; 10</w:t>
      </w:r>
      <w:r w:rsidRPr="007A48DD">
        <w:rPr>
          <w:vertAlign w:val="superscript"/>
          <w:lang w:val="en-GB"/>
        </w:rPr>
        <w:t>-7</w:t>
      </w:r>
      <w:r w:rsidR="005262CB">
        <w:rPr>
          <w:lang w:val="en-GB"/>
        </w:rPr>
        <w:t>/a</w:t>
      </w:r>
    </w:p>
    <w:p w:rsidR="001F2D9E" w:rsidRDefault="001F2D9E" w:rsidP="005262CB">
      <w:pPr>
        <w:ind w:left="1440"/>
        <w:rPr>
          <w:lang w:val="en-GB"/>
        </w:rPr>
      </w:pPr>
      <w:r>
        <w:rPr>
          <w:lang w:val="en-GB"/>
        </w:rPr>
        <w:t>(RMF</w:t>
      </w:r>
      <w:r w:rsidRPr="007A48DD">
        <w:rPr>
          <w:vertAlign w:val="subscript"/>
          <w:lang w:val="en-GB"/>
        </w:rPr>
        <w:t>event</w:t>
      </w:r>
      <w:r>
        <w:rPr>
          <w:lang w:val="en-GB"/>
        </w:rPr>
        <w:t xml:space="preserve"> &lt; 1% RMF</w:t>
      </w:r>
      <w:r w:rsidRPr="007A48DD">
        <w:rPr>
          <w:vertAlign w:val="subscript"/>
          <w:lang w:val="en-GB"/>
        </w:rPr>
        <w:t>overall</w:t>
      </w:r>
      <w:r w:rsidRPr="00D95240">
        <w:rPr>
          <w:lang w:val="en-GB"/>
        </w:rPr>
        <w:t xml:space="preserve"> </w:t>
      </w:r>
      <w:r w:rsidRPr="00E86A20">
        <w:rPr>
          <w:lang w:val="en-GB"/>
        </w:rPr>
        <w:t xml:space="preserve">if </w:t>
      </w:r>
      <w:r>
        <w:rPr>
          <w:lang w:val="en-GB"/>
        </w:rPr>
        <w:t>&lt; 10</w:t>
      </w:r>
      <w:r w:rsidRPr="007A48DD">
        <w:rPr>
          <w:vertAlign w:val="superscript"/>
          <w:lang w:val="en-GB"/>
        </w:rPr>
        <w:t>-7</w:t>
      </w:r>
      <w:r w:rsidR="005262CB">
        <w:rPr>
          <w:lang w:val="en-GB"/>
        </w:rPr>
        <w:t>/a</w:t>
      </w:r>
      <w:r>
        <w:rPr>
          <w:lang w:val="en-GB"/>
        </w:rPr>
        <w:t>)</w:t>
      </w:r>
    </w:p>
    <w:p w:rsidR="001F2D9E" w:rsidRDefault="001F2D9E" w:rsidP="00E62976">
      <w:pPr>
        <w:numPr>
          <w:ilvl w:val="1"/>
          <w:numId w:val="87"/>
        </w:numPr>
        <w:rPr>
          <w:lang w:val="en-GB"/>
        </w:rPr>
      </w:pPr>
      <w:r>
        <w:rPr>
          <w:lang w:val="en-GB"/>
        </w:rPr>
        <w:t>LRF</w:t>
      </w:r>
      <w:r w:rsidRPr="007A48DD">
        <w:rPr>
          <w:vertAlign w:val="subscript"/>
          <w:lang w:val="en-GB"/>
        </w:rPr>
        <w:t>event</w:t>
      </w:r>
      <w:r>
        <w:rPr>
          <w:lang w:val="en-GB"/>
        </w:rPr>
        <w:t xml:space="preserve"> &lt; 1% LRF</w:t>
      </w:r>
      <w:r w:rsidRPr="007A48DD">
        <w:rPr>
          <w:vertAlign w:val="subscript"/>
          <w:lang w:val="en-GB"/>
        </w:rPr>
        <w:t>overall</w:t>
      </w:r>
      <w:r>
        <w:rPr>
          <w:lang w:val="en-GB"/>
        </w:rPr>
        <w:t xml:space="preserve"> </w:t>
      </w:r>
      <w:r w:rsidRPr="00E86A20">
        <w:rPr>
          <w:lang w:val="en-GB"/>
        </w:rPr>
        <w:t xml:space="preserve">if </w:t>
      </w:r>
      <w:r>
        <w:rPr>
          <w:lang w:val="en-GB"/>
        </w:rPr>
        <w:t>&lt; 10</w:t>
      </w:r>
      <w:r w:rsidRPr="007A48DD">
        <w:rPr>
          <w:vertAlign w:val="superscript"/>
          <w:lang w:val="en-GB"/>
        </w:rPr>
        <w:t>-8</w:t>
      </w:r>
      <w:r w:rsidR="005262CB">
        <w:rPr>
          <w:lang w:val="en-GB"/>
        </w:rPr>
        <w:t>/a</w:t>
      </w:r>
    </w:p>
    <w:p w:rsidR="0082154F" w:rsidRDefault="001F2D9E" w:rsidP="00E62976">
      <w:pPr>
        <w:numPr>
          <w:ilvl w:val="1"/>
          <w:numId w:val="87"/>
        </w:numPr>
        <w:rPr>
          <w:lang w:val="en-GB"/>
        </w:rPr>
      </w:pPr>
      <w:r>
        <w:rPr>
          <w:lang w:val="en-GB"/>
        </w:rPr>
        <w:t>ERF</w:t>
      </w:r>
      <w:r w:rsidRPr="007A48DD">
        <w:rPr>
          <w:vertAlign w:val="subscript"/>
          <w:lang w:val="en-GB"/>
        </w:rPr>
        <w:t>event</w:t>
      </w:r>
      <w:r>
        <w:rPr>
          <w:lang w:val="en-GB"/>
        </w:rPr>
        <w:t xml:space="preserve"> &lt; 1% ERF</w:t>
      </w:r>
      <w:r w:rsidRPr="007A48DD">
        <w:rPr>
          <w:vertAlign w:val="subscript"/>
          <w:lang w:val="en-GB"/>
        </w:rPr>
        <w:t>overall</w:t>
      </w:r>
      <w:r>
        <w:rPr>
          <w:lang w:val="en-GB"/>
        </w:rPr>
        <w:t xml:space="preserve"> </w:t>
      </w:r>
      <w:r w:rsidRPr="00E86A20">
        <w:rPr>
          <w:lang w:val="en-GB"/>
        </w:rPr>
        <w:t xml:space="preserve">if </w:t>
      </w:r>
      <w:r>
        <w:rPr>
          <w:lang w:val="en-GB"/>
        </w:rPr>
        <w:t>&lt; 10</w:t>
      </w:r>
      <w:r w:rsidRPr="007A48DD">
        <w:rPr>
          <w:vertAlign w:val="superscript"/>
          <w:lang w:val="en-GB"/>
        </w:rPr>
        <w:t>-8</w:t>
      </w:r>
      <w:r w:rsidR="005262CB">
        <w:rPr>
          <w:lang w:val="en-GB"/>
        </w:rPr>
        <w:t>/a</w:t>
      </w:r>
    </w:p>
    <w:p w:rsidR="001F2D9E" w:rsidRDefault="001F2D9E" w:rsidP="005262CB">
      <w:pPr>
        <w:ind w:left="1440"/>
        <w:rPr>
          <w:lang w:val="en-GB"/>
        </w:rPr>
      </w:pPr>
      <w:r>
        <w:rPr>
          <w:lang w:val="en-GB"/>
        </w:rPr>
        <w:t>(LERF</w:t>
      </w:r>
      <w:r w:rsidRPr="007A48DD">
        <w:rPr>
          <w:vertAlign w:val="subscript"/>
          <w:lang w:val="en-GB"/>
        </w:rPr>
        <w:t>event</w:t>
      </w:r>
      <w:r>
        <w:rPr>
          <w:lang w:val="en-GB"/>
        </w:rPr>
        <w:t xml:space="preserve"> &lt; 1% LERF</w:t>
      </w:r>
      <w:r w:rsidRPr="007A48DD">
        <w:rPr>
          <w:vertAlign w:val="subscript"/>
          <w:lang w:val="en-GB"/>
        </w:rPr>
        <w:t>overall</w:t>
      </w:r>
      <w:r>
        <w:rPr>
          <w:lang w:val="en-GB"/>
        </w:rPr>
        <w:t xml:space="preserve"> </w:t>
      </w:r>
      <w:r w:rsidRPr="00E86A20">
        <w:rPr>
          <w:lang w:val="en-GB"/>
        </w:rPr>
        <w:t xml:space="preserve">if </w:t>
      </w:r>
      <w:r>
        <w:rPr>
          <w:lang w:val="en-GB"/>
        </w:rPr>
        <w:t>&lt; 10</w:t>
      </w:r>
      <w:r w:rsidRPr="007A48DD">
        <w:rPr>
          <w:vertAlign w:val="superscript"/>
          <w:lang w:val="en-GB"/>
        </w:rPr>
        <w:t>-8</w:t>
      </w:r>
      <w:r w:rsidR="005262CB">
        <w:rPr>
          <w:lang w:val="en-GB"/>
        </w:rPr>
        <w:t>/a</w:t>
      </w:r>
      <w:r>
        <w:rPr>
          <w:lang w:val="en-GB"/>
        </w:rPr>
        <w:t>)</w:t>
      </w:r>
    </w:p>
    <w:p w:rsidR="00CC3DD5" w:rsidRDefault="00CC3DD5" w:rsidP="00CC3DD5">
      <w:pPr>
        <w:rPr>
          <w:b/>
          <w:u w:val="single"/>
          <w:lang w:val="en-GB"/>
        </w:rPr>
      </w:pPr>
    </w:p>
    <w:p w:rsidR="003250AB" w:rsidRPr="005079A3" w:rsidRDefault="003250AB" w:rsidP="00CC3DD5">
      <w:pPr>
        <w:rPr>
          <w:b/>
          <w:u w:val="single"/>
          <w:lang w:val="en-GB"/>
        </w:rPr>
      </w:pPr>
      <w:r w:rsidRPr="005079A3">
        <w:rPr>
          <w:b/>
          <w:u w:val="single"/>
          <w:lang w:val="en-GB"/>
        </w:rPr>
        <w:t>The whole process</w:t>
      </w:r>
    </w:p>
    <w:p w:rsidR="00D040AA" w:rsidRDefault="00D040AA" w:rsidP="00C86E02">
      <w:pPr>
        <w:rPr>
          <w:lang w:val="en-GB"/>
        </w:rPr>
      </w:pPr>
      <w:r>
        <w:rPr>
          <w:lang w:val="en-GB"/>
        </w:rPr>
        <w:t>The identification of internal initiating events as well as internal and external hazard scenarios needs to be as compre</w:t>
      </w:r>
      <w:r w:rsidR="00813C5B">
        <w:rPr>
          <w:lang w:val="en-GB"/>
        </w:rPr>
        <w:t>h</w:t>
      </w:r>
      <w:r>
        <w:rPr>
          <w:lang w:val="en-GB"/>
        </w:rPr>
        <w:t>ensive as possible.</w:t>
      </w:r>
      <w:r w:rsidR="005930B5">
        <w:rPr>
          <w:lang w:val="en-GB"/>
        </w:rPr>
        <w:t xml:space="preserve"> The identification process should follow a systematic approach, use all relevant and available information on the plant and its environment</w:t>
      </w:r>
      <w:r w:rsidR="005C795D">
        <w:rPr>
          <w:lang w:val="en-GB"/>
        </w:rPr>
        <w:t xml:space="preserve">, and be documented in a traceable manner. Guides like IAEA SSG-3 </w:t>
      </w:r>
      <w:r w:rsidR="00125AF4">
        <w:rPr>
          <w:lang w:val="en-GB"/>
        </w:rPr>
        <w:fldChar w:fldCharType="begin"/>
      </w:r>
      <w:r w:rsidR="005C795D">
        <w:rPr>
          <w:lang w:val="en-GB"/>
        </w:rPr>
        <w:instrText xml:space="preserve"> REF _Ref384386913 \r \h </w:instrText>
      </w:r>
      <w:r w:rsidR="00125AF4">
        <w:rPr>
          <w:lang w:val="en-GB"/>
        </w:rPr>
      </w:r>
      <w:r w:rsidR="00125AF4">
        <w:rPr>
          <w:lang w:val="en-GB"/>
        </w:rPr>
        <w:fldChar w:fldCharType="separate"/>
      </w:r>
      <w:r w:rsidR="00E62976">
        <w:rPr>
          <w:lang w:val="en-GB"/>
        </w:rPr>
        <w:t>[4]</w:t>
      </w:r>
      <w:r w:rsidR="00125AF4">
        <w:rPr>
          <w:lang w:val="en-GB"/>
        </w:rPr>
        <w:fldChar w:fldCharType="end"/>
      </w:r>
      <w:r w:rsidR="005C795D">
        <w:rPr>
          <w:lang w:val="en-GB"/>
        </w:rPr>
        <w:t xml:space="preserve"> provide solid high-level guidance on this issue.</w:t>
      </w:r>
    </w:p>
    <w:p w:rsidR="00D040AA" w:rsidRDefault="005C795D" w:rsidP="00C86E02">
      <w:pPr>
        <w:rPr>
          <w:lang w:val="en-GB"/>
        </w:rPr>
      </w:pPr>
      <w:r>
        <w:rPr>
          <w:lang w:val="en-GB"/>
        </w:rPr>
        <w:t>Important recommendations for the screening of internal initiating events and hazard scenarios for an extended PSA are the following</w:t>
      </w:r>
      <w:r w:rsidR="00D14F02">
        <w:rPr>
          <w:lang w:val="en-GB"/>
        </w:rPr>
        <w:t>:</w:t>
      </w:r>
    </w:p>
    <w:p w:rsidR="0082154F" w:rsidRDefault="005C795D" w:rsidP="00E62976">
      <w:pPr>
        <w:numPr>
          <w:ilvl w:val="0"/>
          <w:numId w:val="88"/>
        </w:numPr>
        <w:rPr>
          <w:lang w:val="en-GB"/>
        </w:rPr>
      </w:pPr>
      <w:r w:rsidRPr="005C795D">
        <w:rPr>
          <w:lang w:val="en-GB"/>
        </w:rPr>
        <w:t>Grouping of internal initiating events and hazard scenarios into representative groups plays an important role during screening.</w:t>
      </w:r>
    </w:p>
    <w:p w:rsidR="0082154F" w:rsidRDefault="005C795D" w:rsidP="005262CB">
      <w:pPr>
        <w:ind w:left="720"/>
        <w:rPr>
          <w:lang w:val="en-GB"/>
        </w:rPr>
      </w:pPr>
      <w:r w:rsidRPr="008D1E36">
        <w:rPr>
          <w:lang w:val="en-GB"/>
        </w:rPr>
        <w:t>Events and scenarios should be group</w:t>
      </w:r>
      <w:r w:rsidRPr="000F550F">
        <w:rPr>
          <w:lang w:val="en-GB"/>
        </w:rPr>
        <w:t>ed into one bounding group only if they</w:t>
      </w:r>
      <w:r w:rsidRPr="001E26AA">
        <w:rPr>
          <w:lang w:val="en-GB"/>
        </w:rPr>
        <w:t xml:space="preserve"> </w:t>
      </w:r>
      <w:r w:rsidRPr="00E211F0">
        <w:rPr>
          <w:lang w:val="en-GB"/>
        </w:rPr>
        <w:t>have similar properties in terms of accident</w:t>
      </w:r>
      <w:r w:rsidRPr="005C795D">
        <w:rPr>
          <w:lang w:val="en-GB"/>
        </w:rPr>
        <w:t xml:space="preserve"> development up to fuel damage, accident progression after fuel damage up to release categories, and relevant accident mitigation measures.</w:t>
      </w:r>
    </w:p>
    <w:p w:rsidR="0082154F" w:rsidRDefault="005C795D" w:rsidP="005262CB">
      <w:pPr>
        <w:ind w:left="720"/>
        <w:rPr>
          <w:lang w:val="en-GB"/>
        </w:rPr>
      </w:pPr>
      <w:r w:rsidRPr="005C795D">
        <w:rPr>
          <w:lang w:val="en-GB"/>
        </w:rPr>
        <w:t>The grouping of events should consider uncertainties and levels of conservatism associated with frequenc</w:t>
      </w:r>
      <w:r w:rsidR="009B35B6">
        <w:rPr>
          <w:lang w:val="en-GB"/>
        </w:rPr>
        <w:t xml:space="preserve">y </w:t>
      </w:r>
      <w:r w:rsidRPr="005C795D">
        <w:rPr>
          <w:lang w:val="en-GB"/>
        </w:rPr>
        <w:t>determination and bounding assessments. As far as practicable, grouped events</w:t>
      </w:r>
      <w:r>
        <w:rPr>
          <w:lang w:val="en-GB"/>
        </w:rPr>
        <w:t xml:space="preserve"> and scenarios </w:t>
      </w:r>
      <w:r w:rsidRPr="005C795D">
        <w:rPr>
          <w:lang w:val="en-GB"/>
        </w:rPr>
        <w:t>should be comparable in this regard. Importantly, the results for initiating frequency and the bounding scenario should not be distorted by combining e.g. a moderately frequent event with small uncertainty bounds with a rare event with excessive uncertainty bounds.</w:t>
      </w:r>
    </w:p>
    <w:p w:rsidR="0082154F" w:rsidRDefault="005C795D" w:rsidP="005262CB">
      <w:pPr>
        <w:ind w:left="720"/>
        <w:rPr>
          <w:lang w:val="en-GB"/>
        </w:rPr>
      </w:pPr>
      <w:r>
        <w:rPr>
          <w:lang w:val="en-GB"/>
        </w:rPr>
        <w:t>To the extent practicable, t</w:t>
      </w:r>
      <w:r w:rsidRPr="005C795D">
        <w:rPr>
          <w:lang w:val="en-GB"/>
        </w:rPr>
        <w:t xml:space="preserve">he implications of each </w:t>
      </w:r>
      <w:r>
        <w:rPr>
          <w:lang w:val="en-GB"/>
        </w:rPr>
        <w:t xml:space="preserve">event or </w:t>
      </w:r>
      <w:r w:rsidRPr="005C795D">
        <w:rPr>
          <w:lang w:val="en-GB"/>
        </w:rPr>
        <w:t>scenario with regard to several sources in one unit (e.g. reactor core and spent fuel pool) or for the site in case of a multi-unit site</w:t>
      </w:r>
      <w:r>
        <w:rPr>
          <w:lang w:val="en-GB"/>
        </w:rPr>
        <w:t xml:space="preserve"> should be considered</w:t>
      </w:r>
      <w:r w:rsidRPr="005C795D">
        <w:rPr>
          <w:lang w:val="en-GB"/>
        </w:rPr>
        <w:t>.</w:t>
      </w:r>
    </w:p>
    <w:p w:rsidR="005C795D" w:rsidRDefault="005C795D" w:rsidP="005262CB">
      <w:pPr>
        <w:ind w:left="720"/>
        <w:rPr>
          <w:lang w:val="en-GB"/>
        </w:rPr>
      </w:pPr>
      <w:r>
        <w:rPr>
          <w:lang w:val="en-GB"/>
        </w:rPr>
        <w:t>Grouping of similar events and scenarios should be preferred to screening them out individually based on bounding assessment from a more detailed probabilistic assessment</w:t>
      </w:r>
      <w:r w:rsidR="00813C5B">
        <w:rPr>
          <w:lang w:val="en-GB"/>
        </w:rPr>
        <w:t>.</w:t>
      </w:r>
    </w:p>
    <w:p w:rsidR="0082154F" w:rsidRDefault="005C795D" w:rsidP="00E62976">
      <w:pPr>
        <w:numPr>
          <w:ilvl w:val="0"/>
          <w:numId w:val="88"/>
        </w:numPr>
        <w:rPr>
          <w:lang w:val="en-GB"/>
        </w:rPr>
      </w:pPr>
      <w:r>
        <w:rPr>
          <w:lang w:val="en-GB"/>
        </w:rPr>
        <w:t>Bounding assessment is an essential step in the screening process for limiting the number of cases for more detailed probabilistic modelling. Bounding assessment is based on plant response analysis and hazard impact analysis. Bounding assessment used all relevant information sources on the plant and its behaviour in response to the analysed event or scenario.</w:t>
      </w:r>
    </w:p>
    <w:p w:rsidR="0082154F" w:rsidRDefault="001C6EA2" w:rsidP="005262CB">
      <w:pPr>
        <w:ind w:left="720"/>
        <w:rPr>
          <w:lang w:val="en-GB"/>
        </w:rPr>
      </w:pPr>
      <w:r>
        <w:rPr>
          <w:lang w:val="en-GB"/>
        </w:rPr>
        <w:t>Claims made based on expert judgement during bounding assessment shall be demonstrably conservative. Estimations should be made consecutively on initiating event or hazard scenario frequency, conditional probabilities to FDF or RMF, and conditional probabilities to LRF and ERF.</w:t>
      </w:r>
      <w:r w:rsidR="00143F9D">
        <w:rPr>
          <w:lang w:val="en-GB"/>
        </w:rPr>
        <w:tab/>
      </w:r>
      <w:r>
        <w:rPr>
          <w:lang w:val="en-GB"/>
        </w:rPr>
        <w:br/>
        <w:t>Bounding assessments for internal and external hazard scenarios should make use of internal initiating event PSA models.</w:t>
      </w:r>
    </w:p>
    <w:p w:rsidR="005C795D" w:rsidRPr="005C795D" w:rsidRDefault="001C6EA2" w:rsidP="005262CB">
      <w:pPr>
        <w:ind w:left="720"/>
        <w:rPr>
          <w:lang w:val="en-GB"/>
        </w:rPr>
      </w:pPr>
      <w:r>
        <w:rPr>
          <w:lang w:val="en-GB"/>
        </w:rPr>
        <w:t>Bounding assessment for multi-unit and multi-source PSA should make conservative failure assumptions on shared systems and the propagation of hazard effects through shared systems and other connections.</w:t>
      </w:r>
    </w:p>
    <w:p w:rsidR="0082154F" w:rsidRDefault="001C6EA2" w:rsidP="00E62976">
      <w:pPr>
        <w:numPr>
          <w:ilvl w:val="0"/>
          <w:numId w:val="88"/>
        </w:numPr>
        <w:rPr>
          <w:lang w:val="en-GB"/>
        </w:rPr>
      </w:pPr>
      <w:r>
        <w:rPr>
          <w:lang w:val="en-GB"/>
        </w:rPr>
        <w:t>Screening of internal initiating events and internal hazard scenarios should be made specific for the respective unit or source. A site-model should then be developed from those events screened in for each unit or source.</w:t>
      </w:r>
    </w:p>
    <w:p w:rsidR="005C795D" w:rsidRDefault="001C6EA2" w:rsidP="005262CB">
      <w:pPr>
        <w:ind w:left="720"/>
        <w:rPr>
          <w:lang w:val="en-GB"/>
        </w:rPr>
      </w:pPr>
      <w:r>
        <w:rPr>
          <w:lang w:val="en-GB"/>
        </w:rPr>
        <w:t xml:space="preserve">Screening for external hazard scenarios should be done based on the specific units or sources. If an external hazard scenario is screened in for any unit or source, it should be treated for all units or sources in the site-level PSA model by more detailed probabilistic modelling. </w:t>
      </w:r>
      <w:r>
        <w:rPr>
          <w:lang w:val="en-GB"/>
        </w:rPr>
        <w:tab/>
      </w:r>
    </w:p>
    <w:p w:rsidR="001C6EA2" w:rsidRDefault="001C6EA2" w:rsidP="00E62976">
      <w:pPr>
        <w:numPr>
          <w:ilvl w:val="0"/>
          <w:numId w:val="88"/>
        </w:numPr>
        <w:rPr>
          <w:lang w:val="en-GB"/>
        </w:rPr>
      </w:pPr>
      <w:r>
        <w:rPr>
          <w:lang w:val="en-GB"/>
        </w:rPr>
        <w:t xml:space="preserve">Plausible combinations of </w:t>
      </w:r>
      <w:r w:rsidR="00854D43">
        <w:rPr>
          <w:lang w:val="en-GB"/>
        </w:rPr>
        <w:t xml:space="preserve">applicable </w:t>
      </w:r>
      <w:r>
        <w:rPr>
          <w:lang w:val="en-GB"/>
        </w:rPr>
        <w:t xml:space="preserve">hazard scenarios with other independent or correlated external or internal hazards or internal initiating events need to </w:t>
      </w:r>
      <w:r w:rsidR="00854D43">
        <w:rPr>
          <w:lang w:val="en-GB"/>
        </w:rPr>
        <w:t>be screened separately, even if the individual event or hazard has already been screened out</w:t>
      </w:r>
      <w:r w:rsidR="00D13A3A">
        <w:rPr>
          <w:lang w:val="en-GB"/>
        </w:rPr>
        <w:t xml:space="preserve"> (except if it is not applicable to the site)</w:t>
      </w:r>
      <w:r w:rsidR="00257148">
        <w:rPr>
          <w:lang w:val="en-GB"/>
        </w:rPr>
        <w:t xml:space="preserve">. </w:t>
      </w:r>
    </w:p>
    <w:p w:rsidR="001C6EA2" w:rsidRDefault="001C6EA2" w:rsidP="00E62976">
      <w:pPr>
        <w:numPr>
          <w:ilvl w:val="0"/>
          <w:numId w:val="88"/>
        </w:numPr>
        <w:rPr>
          <w:lang w:val="en-GB"/>
        </w:rPr>
      </w:pPr>
      <w:r>
        <w:rPr>
          <w:lang w:val="en-GB"/>
        </w:rPr>
        <w:t>Applicability screening for</w:t>
      </w:r>
      <w:r w:rsidRPr="00E20701">
        <w:rPr>
          <w:lang w:val="en-GB"/>
        </w:rPr>
        <w:t xml:space="preserve"> hazard scenario (as well as each combination of hazards), PSA analysts should make claims on the maximum credible impact. The ASAMPSA_E project recommends that maximum credible impact is determined based on reasonable physical, geophysical, and chemical assumptions on the source of the hazard, without explicit consideration on the likelihood of such a scenario</w:t>
      </w:r>
      <w:r w:rsidR="00257148">
        <w:rPr>
          <w:lang w:val="en-GB"/>
        </w:rPr>
        <w:t>.</w:t>
      </w:r>
    </w:p>
    <w:p w:rsidR="00257148" w:rsidRDefault="00257148" w:rsidP="00E62976">
      <w:pPr>
        <w:numPr>
          <w:ilvl w:val="0"/>
          <w:numId w:val="88"/>
        </w:numPr>
        <w:rPr>
          <w:lang w:val="en-GB"/>
        </w:rPr>
      </w:pPr>
      <w:r>
        <w:rPr>
          <w:lang w:val="en-GB"/>
        </w:rPr>
        <w:t xml:space="preserve">Particularly for external hazards, a partitioning of the hazard frequency curve in a small number of subgroups based on one representative hazard impact parameter of a set of such parameters will </w:t>
      </w:r>
      <w:r w:rsidR="00D13A3A">
        <w:rPr>
          <w:lang w:val="en-GB"/>
        </w:rPr>
        <w:t xml:space="preserve">be </w:t>
      </w:r>
      <w:r>
        <w:rPr>
          <w:lang w:val="en-GB"/>
        </w:rPr>
        <w:t xml:space="preserve">necessary. The partitioning should consider </w:t>
      </w:r>
      <w:r w:rsidR="00BE66A0">
        <w:rPr>
          <w:lang w:val="en-GB"/>
        </w:rPr>
        <w:t>design basis thresholds for hazard impact, design extension condition analysis assumptions on beyond design basis impacts, and impact parameter values for a potential cliff-edge to catastrophic failures.</w:t>
      </w:r>
    </w:p>
    <w:p w:rsidR="001A680F" w:rsidRDefault="001A680F" w:rsidP="00E62976">
      <w:pPr>
        <w:numPr>
          <w:ilvl w:val="0"/>
          <w:numId w:val="88"/>
        </w:numPr>
        <w:rPr>
          <w:lang w:val="en-GB"/>
        </w:rPr>
      </w:pPr>
      <w:r>
        <w:rPr>
          <w:lang w:val="en-GB"/>
        </w:rPr>
        <w:t xml:space="preserve">Results from an analysis following the </w:t>
      </w:r>
      <w:r w:rsidRPr="00E20701">
        <w:rPr>
          <w:lang w:val="en-GB"/>
        </w:rPr>
        <w:t>F</w:t>
      </w:r>
      <w:r>
        <w:rPr>
          <w:lang w:val="en-GB"/>
        </w:rPr>
        <w:t xml:space="preserve">ault </w:t>
      </w:r>
      <w:r w:rsidRPr="00E20701">
        <w:rPr>
          <w:lang w:val="en-GB"/>
        </w:rPr>
        <w:t>S</w:t>
      </w:r>
      <w:r>
        <w:rPr>
          <w:lang w:val="en-GB"/>
        </w:rPr>
        <w:t xml:space="preserve">equence </w:t>
      </w:r>
      <w:r w:rsidRPr="00E20701">
        <w:rPr>
          <w:lang w:val="en-GB"/>
        </w:rPr>
        <w:t>A</w:t>
      </w:r>
      <w:r>
        <w:rPr>
          <w:lang w:val="en-GB"/>
        </w:rPr>
        <w:t>nalysis</w:t>
      </w:r>
      <w:r w:rsidRPr="00E20701">
        <w:rPr>
          <w:lang w:val="en-GB"/>
        </w:rPr>
        <w:t xml:space="preserve"> method </w:t>
      </w:r>
      <w:r w:rsidR="00101792">
        <w:rPr>
          <w:lang w:val="en-GB"/>
        </w:rPr>
        <w:fldChar w:fldCharType="begin"/>
      </w:r>
      <w:r w:rsidR="00101792">
        <w:rPr>
          <w:lang w:val="en-GB"/>
        </w:rPr>
        <w:instrText xml:space="preserve"> REF _Ref413682601 \w \h </w:instrText>
      </w:r>
      <w:r w:rsidR="00101792">
        <w:rPr>
          <w:lang w:val="en-GB"/>
        </w:rPr>
      </w:r>
      <w:r w:rsidR="00101792">
        <w:rPr>
          <w:lang w:val="en-GB"/>
        </w:rPr>
        <w:fldChar w:fldCharType="separate"/>
      </w:r>
      <w:r w:rsidR="00E62976">
        <w:rPr>
          <w:lang w:val="en-GB"/>
        </w:rPr>
        <w:t>[67]</w:t>
      </w:r>
      <w:r w:rsidR="00101792">
        <w:rPr>
          <w:lang w:val="en-GB"/>
        </w:rPr>
        <w:fldChar w:fldCharType="end"/>
      </w:r>
      <w:r w:rsidRPr="00E20701">
        <w:rPr>
          <w:lang w:val="en-GB"/>
        </w:rPr>
        <w:t>,</w:t>
      </w:r>
      <w:r>
        <w:rPr>
          <w:lang w:val="en-GB"/>
        </w:rPr>
        <w:t xml:space="preserve"> </w:t>
      </w:r>
      <w:r w:rsidR="00101792">
        <w:rPr>
          <w:lang w:val="en-GB"/>
        </w:rPr>
        <w:fldChar w:fldCharType="begin"/>
      </w:r>
      <w:r w:rsidR="00101792">
        <w:rPr>
          <w:lang w:val="en-GB"/>
        </w:rPr>
        <w:instrText xml:space="preserve"> REF _Ref413682602 \w \h </w:instrText>
      </w:r>
      <w:r w:rsidR="00101792">
        <w:rPr>
          <w:lang w:val="en-GB"/>
        </w:rPr>
      </w:r>
      <w:r w:rsidR="00101792">
        <w:rPr>
          <w:lang w:val="en-GB"/>
        </w:rPr>
        <w:fldChar w:fldCharType="separate"/>
      </w:r>
      <w:r w:rsidR="00E62976">
        <w:rPr>
          <w:lang w:val="en-GB"/>
        </w:rPr>
        <w:t>[68]</w:t>
      </w:r>
      <w:r w:rsidR="00101792">
        <w:rPr>
          <w:lang w:val="en-GB"/>
        </w:rPr>
        <w:fldChar w:fldCharType="end"/>
      </w:r>
      <w:r>
        <w:rPr>
          <w:lang w:val="en-GB"/>
        </w:rPr>
        <w:t xml:space="preserve"> or similar approaches can provide valuable input for the screening of internal and external hazards and their combinations.</w:t>
      </w:r>
    </w:p>
    <w:p w:rsidR="00BE66A0" w:rsidRDefault="00BE66A0" w:rsidP="00E62976">
      <w:pPr>
        <w:numPr>
          <w:ilvl w:val="0"/>
          <w:numId w:val="88"/>
        </w:numPr>
        <w:rPr>
          <w:lang w:val="en-GB"/>
        </w:rPr>
      </w:pPr>
      <w:r>
        <w:rPr>
          <w:lang w:val="en-GB"/>
        </w:rPr>
        <w:t>Screening for non-fuel sources should use the RMF as PSA Level 1 risk measure. The identification process of events and scenarios challenging non-fuel type sources can be based on the RMF metric definition as a potential challenge to the first barrier designed to contain the respective source.</w:t>
      </w:r>
    </w:p>
    <w:p w:rsidR="00043E7F" w:rsidRDefault="00043E7F" w:rsidP="00E62976">
      <w:pPr>
        <w:numPr>
          <w:ilvl w:val="0"/>
          <w:numId w:val="88"/>
        </w:numPr>
        <w:rPr>
          <w:lang w:val="en-GB"/>
        </w:rPr>
      </w:pPr>
      <w:r>
        <w:rPr>
          <w:lang w:val="en-GB"/>
        </w:rPr>
        <w:t>Screening on the recommended release metrics LRF and ERF should be focus on aerial release. Analysts need to confirm if aqueous release or release into the ground are relevant release paths.</w:t>
      </w:r>
    </w:p>
    <w:p w:rsidR="00BE66A0" w:rsidRDefault="00BE66A0" w:rsidP="00E62976">
      <w:pPr>
        <w:numPr>
          <w:ilvl w:val="0"/>
          <w:numId w:val="88"/>
        </w:numPr>
        <w:rPr>
          <w:lang w:val="en-GB"/>
        </w:rPr>
      </w:pPr>
      <w:r>
        <w:rPr>
          <w:lang w:val="en-GB"/>
        </w:rPr>
        <w:t xml:space="preserve">For the construction of site-level PSA models, further screening </w:t>
      </w:r>
      <w:r w:rsidR="001A680F">
        <w:rPr>
          <w:lang w:val="en-GB"/>
        </w:rPr>
        <w:t xml:space="preserve">needs to be performed </w:t>
      </w:r>
      <w:r>
        <w:rPr>
          <w:lang w:val="en-GB"/>
        </w:rPr>
        <w:t xml:space="preserve">on those events and scenarios for which a dedicated site-level PSA will be necessary. </w:t>
      </w:r>
      <w:r w:rsidR="001A680F">
        <w:rPr>
          <w:lang w:val="en-GB"/>
        </w:rPr>
        <w:t xml:space="preserve">Although this is not formally part of the screening for an extended PSA but rather an issue of how to construct a multi-unit, multi-source PSA model, we have provided selected recommendations in section </w:t>
      </w:r>
      <w:r w:rsidR="00125AF4">
        <w:rPr>
          <w:lang w:val="en-GB"/>
        </w:rPr>
        <w:fldChar w:fldCharType="begin"/>
      </w:r>
      <w:r w:rsidR="001A680F">
        <w:rPr>
          <w:lang w:val="en-GB"/>
        </w:rPr>
        <w:instrText xml:space="preserve"> REF _Ref444980284 \r \h </w:instrText>
      </w:r>
      <w:r w:rsidR="00125AF4">
        <w:rPr>
          <w:lang w:val="en-GB"/>
        </w:rPr>
      </w:r>
      <w:r w:rsidR="00125AF4">
        <w:rPr>
          <w:lang w:val="en-GB"/>
        </w:rPr>
        <w:fldChar w:fldCharType="separate"/>
      </w:r>
      <w:r w:rsidR="00E62976">
        <w:rPr>
          <w:lang w:val="en-GB"/>
        </w:rPr>
        <w:t>6.8</w:t>
      </w:r>
      <w:r w:rsidR="00125AF4">
        <w:rPr>
          <w:lang w:val="en-GB"/>
        </w:rPr>
        <w:fldChar w:fldCharType="end"/>
      </w:r>
      <w:r w:rsidR="001A680F">
        <w:rPr>
          <w:lang w:val="en-GB"/>
        </w:rPr>
        <w:t>.</w:t>
      </w:r>
      <w:r>
        <w:rPr>
          <w:lang w:val="en-GB"/>
        </w:rPr>
        <w:t xml:space="preserve"> </w:t>
      </w:r>
    </w:p>
    <w:p w:rsidR="001A680F" w:rsidRDefault="001A680F" w:rsidP="001A680F">
      <w:pPr>
        <w:rPr>
          <w:lang w:val="en-GB"/>
        </w:rPr>
      </w:pPr>
    </w:p>
    <w:p w:rsidR="00043E7F" w:rsidRDefault="00043E7F" w:rsidP="001A680F">
      <w:pPr>
        <w:rPr>
          <w:lang w:val="en-GB"/>
        </w:rPr>
      </w:pPr>
      <w:r>
        <w:rPr>
          <w:lang w:val="en-GB"/>
        </w:rPr>
        <w:t>Bounding estimates on the screening risk measures (i.e. FDF, RMF, LRF, and ERF) for each event and scenario should be understood to be part of overall PSA results. Insights from bounding analysis and potential vulnerabilities of the plant discovered during the screening process should be documented and treated in the further PSA process.</w:t>
      </w:r>
    </w:p>
    <w:p w:rsidR="00043E7F" w:rsidRDefault="00043E7F" w:rsidP="001A680F">
      <w:pPr>
        <w:rPr>
          <w:lang w:val="en-GB"/>
        </w:rPr>
      </w:pPr>
    </w:p>
    <w:p w:rsidR="00D90236" w:rsidRDefault="00EB0034" w:rsidP="00AE4519">
      <w:pPr>
        <w:rPr>
          <w:lang w:val="en-GB"/>
        </w:rPr>
      </w:pPr>
      <w:r>
        <w:rPr>
          <w:lang w:val="en-GB"/>
        </w:rPr>
        <w:t>T</w:t>
      </w:r>
      <w:r w:rsidR="00BE66A0">
        <w:rPr>
          <w:lang w:val="en-GB"/>
        </w:rPr>
        <w:t>he</w:t>
      </w:r>
      <w:r w:rsidR="00D040AA">
        <w:rPr>
          <w:lang w:val="en-GB"/>
        </w:rPr>
        <w:t xml:space="preserve"> screening process is inherently iterative in order to limit the number of cases for more detailed PSA models. </w:t>
      </w:r>
      <w:r w:rsidR="00C061EE">
        <w:rPr>
          <w:lang w:val="en-GB"/>
        </w:rPr>
        <w:t>If the number of screened in scenarios is large it could be necessary to set priorities for the detailed PSA models and bounding could be useful for that purpose</w:t>
      </w:r>
      <w:r w:rsidR="00BD5C1C">
        <w:rPr>
          <w:lang w:val="en-GB"/>
        </w:rPr>
        <w:t xml:space="preserve">. </w:t>
      </w:r>
      <w:r w:rsidR="00AE4519">
        <w:rPr>
          <w:lang w:val="en-GB"/>
        </w:rPr>
        <w:t xml:space="preserve">The overall approach to the determination of initiating events for an extended PSA can be summarized for internal events PSA in </w:t>
      </w:r>
      <w:r w:rsidR="00125AF4">
        <w:rPr>
          <w:lang w:val="en-GB"/>
        </w:rPr>
        <w:fldChar w:fldCharType="begin"/>
      </w:r>
      <w:r w:rsidR="006B3EAD">
        <w:rPr>
          <w:lang w:val="en-GB"/>
        </w:rPr>
        <w:instrText xml:space="preserve"> REF _Ref445310786 \h </w:instrText>
      </w:r>
      <w:r w:rsidR="00125AF4">
        <w:rPr>
          <w:lang w:val="en-GB"/>
        </w:rPr>
      </w:r>
      <w:r w:rsidR="00125AF4">
        <w:rPr>
          <w:lang w:val="en-GB"/>
        </w:rPr>
        <w:fldChar w:fldCharType="separate"/>
      </w:r>
      <w:r w:rsidR="00E62976" w:rsidRPr="001B7918">
        <w:rPr>
          <w:lang w:val="en-US"/>
        </w:rPr>
        <w:t xml:space="preserve">Figure </w:t>
      </w:r>
      <w:r w:rsidR="00E62976">
        <w:rPr>
          <w:noProof/>
          <w:lang w:val="en-US"/>
        </w:rPr>
        <w:t>7</w:t>
      </w:r>
      <w:r w:rsidR="00E62976">
        <w:rPr>
          <w:lang w:val="en-US"/>
        </w:rPr>
        <w:noBreakHyphen/>
      </w:r>
      <w:r w:rsidR="00E62976">
        <w:rPr>
          <w:noProof/>
          <w:lang w:val="en-US"/>
        </w:rPr>
        <w:t>1</w:t>
      </w:r>
      <w:r w:rsidR="00125AF4">
        <w:rPr>
          <w:lang w:val="en-GB"/>
        </w:rPr>
        <w:fldChar w:fldCharType="end"/>
      </w:r>
      <w:r w:rsidR="00AE4519">
        <w:rPr>
          <w:lang w:val="en-GB"/>
        </w:rPr>
        <w:t xml:space="preserve">. The extension of the approach to hazard scenarios is depicted in </w:t>
      </w:r>
      <w:r w:rsidR="00125AF4">
        <w:rPr>
          <w:lang w:val="en-GB"/>
        </w:rPr>
        <w:fldChar w:fldCharType="begin"/>
      </w:r>
      <w:r w:rsidR="006B3EAD">
        <w:rPr>
          <w:lang w:val="en-GB"/>
        </w:rPr>
        <w:instrText xml:space="preserve"> REF _Ref445310800 \h </w:instrText>
      </w:r>
      <w:r w:rsidR="00125AF4">
        <w:rPr>
          <w:lang w:val="en-GB"/>
        </w:rPr>
      </w:r>
      <w:r w:rsidR="00125AF4">
        <w:rPr>
          <w:lang w:val="en-GB"/>
        </w:rPr>
        <w:fldChar w:fldCharType="separate"/>
      </w:r>
      <w:r w:rsidR="00E62976" w:rsidRPr="001B7918">
        <w:rPr>
          <w:lang w:val="en-US"/>
        </w:rPr>
        <w:t xml:space="preserve">Figure </w:t>
      </w:r>
      <w:r w:rsidR="00E62976">
        <w:rPr>
          <w:noProof/>
          <w:lang w:val="en-US"/>
        </w:rPr>
        <w:t>7</w:t>
      </w:r>
      <w:r w:rsidR="00E62976">
        <w:rPr>
          <w:lang w:val="en-US"/>
        </w:rPr>
        <w:noBreakHyphen/>
      </w:r>
      <w:r w:rsidR="00E62976">
        <w:rPr>
          <w:noProof/>
          <w:lang w:val="en-US"/>
        </w:rPr>
        <w:t>2</w:t>
      </w:r>
      <w:r w:rsidR="00125AF4">
        <w:rPr>
          <w:lang w:val="en-GB"/>
        </w:rPr>
        <w:fldChar w:fldCharType="end"/>
      </w:r>
      <w:r w:rsidR="00AE4519">
        <w:rPr>
          <w:lang w:val="en-GB"/>
        </w:rPr>
        <w:t xml:space="preserve">. </w:t>
      </w:r>
    </w:p>
    <w:p w:rsidR="00AE4519" w:rsidRDefault="00AE4519" w:rsidP="00AE4519">
      <w:pPr>
        <w:rPr>
          <w:lang w:val="en-GB"/>
        </w:rPr>
      </w:pPr>
    </w:p>
    <w:p w:rsidR="00AE4519" w:rsidRDefault="006B3EAD" w:rsidP="005079A3">
      <w:pPr>
        <w:keepNext/>
        <w:jc w:val="center"/>
        <w:rPr>
          <w:lang w:val="en-GB"/>
        </w:rPr>
      </w:pPr>
      <w:r>
        <w:rPr>
          <w:noProof/>
        </w:rPr>
        <w:drawing>
          <wp:inline distT="0" distB="0" distL="0" distR="0" wp14:anchorId="32B078B8" wp14:editId="3713EDFB">
            <wp:extent cx="5121393" cy="3840909"/>
            <wp:effectExtent l="19050" t="19050" r="22225" b="2667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ing_rev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118655" cy="3838856"/>
                    </a:xfrm>
                    <a:prstGeom prst="rect">
                      <a:avLst/>
                    </a:prstGeom>
                    <a:ln>
                      <a:solidFill>
                        <a:schemeClr val="accent1"/>
                      </a:solidFill>
                    </a:ln>
                  </pic:spPr>
                </pic:pic>
              </a:graphicData>
            </a:graphic>
          </wp:inline>
        </w:drawing>
      </w:r>
    </w:p>
    <w:p w:rsidR="00AE4519" w:rsidRPr="001B7918" w:rsidRDefault="00AE4519" w:rsidP="005079A3">
      <w:pPr>
        <w:pStyle w:val="Lgende"/>
        <w:keepNext/>
        <w:jc w:val="center"/>
        <w:rPr>
          <w:lang w:val="en-US"/>
        </w:rPr>
      </w:pPr>
      <w:bookmarkStart w:id="518" w:name="_Ref445310786"/>
      <w:r w:rsidRPr="001B7918">
        <w:rPr>
          <w:lang w:val="en-US"/>
        </w:rPr>
        <w:t xml:space="preserve">Figure </w:t>
      </w:r>
      <w:r w:rsidR="00125AF4">
        <w:rPr>
          <w:lang w:val="en-US"/>
        </w:rPr>
        <w:fldChar w:fldCharType="begin"/>
      </w:r>
      <w:r w:rsidR="00772D91">
        <w:rPr>
          <w:lang w:val="en-US"/>
        </w:rPr>
        <w:instrText xml:space="preserve"> STYLEREF 1 \s </w:instrText>
      </w:r>
      <w:r w:rsidR="00125AF4">
        <w:rPr>
          <w:lang w:val="en-US"/>
        </w:rPr>
        <w:fldChar w:fldCharType="separate"/>
      </w:r>
      <w:r w:rsidR="00E62976">
        <w:rPr>
          <w:noProof/>
          <w:lang w:val="en-US"/>
        </w:rPr>
        <w:t>7</w:t>
      </w:r>
      <w:r w:rsidR="00125AF4">
        <w:rPr>
          <w:lang w:val="en-US"/>
        </w:rPr>
        <w:fldChar w:fldCharType="end"/>
      </w:r>
      <w:r w:rsidR="00772D91">
        <w:rPr>
          <w:lang w:val="en-US"/>
        </w:rPr>
        <w:noBreakHyphen/>
      </w:r>
      <w:r w:rsidR="00125AF4">
        <w:rPr>
          <w:lang w:val="en-US"/>
        </w:rPr>
        <w:fldChar w:fldCharType="begin"/>
      </w:r>
      <w:r w:rsidR="00772D91">
        <w:rPr>
          <w:lang w:val="en-US"/>
        </w:rPr>
        <w:instrText xml:space="preserve"> SEQ Figure \* ARABIC \s 1 </w:instrText>
      </w:r>
      <w:r w:rsidR="00125AF4">
        <w:rPr>
          <w:lang w:val="en-US"/>
        </w:rPr>
        <w:fldChar w:fldCharType="separate"/>
      </w:r>
      <w:r w:rsidR="00E62976">
        <w:rPr>
          <w:noProof/>
          <w:lang w:val="en-US"/>
        </w:rPr>
        <w:t>1</w:t>
      </w:r>
      <w:r w:rsidR="00125AF4">
        <w:rPr>
          <w:lang w:val="en-US"/>
        </w:rPr>
        <w:fldChar w:fldCharType="end"/>
      </w:r>
      <w:bookmarkEnd w:id="518"/>
      <w:r w:rsidRPr="001B7918">
        <w:rPr>
          <w:lang w:val="en-US"/>
        </w:rPr>
        <w:tab/>
        <w:t>Screening approach to internal events</w:t>
      </w:r>
    </w:p>
    <w:p w:rsidR="00AE4519" w:rsidRPr="001B7918" w:rsidRDefault="00AE4519" w:rsidP="00AE4519">
      <w:pPr>
        <w:rPr>
          <w:lang w:val="en-US"/>
        </w:rPr>
      </w:pPr>
    </w:p>
    <w:p w:rsidR="00AE4519" w:rsidRDefault="009412C8" w:rsidP="005079A3">
      <w:pPr>
        <w:keepNext/>
        <w:jc w:val="center"/>
      </w:pPr>
      <w:r>
        <w:rPr>
          <w:noProof/>
        </w:rPr>
        <w:drawing>
          <wp:inline distT="0" distB="0" distL="0" distR="0" wp14:anchorId="129D866F" wp14:editId="403B1868">
            <wp:extent cx="5060830" cy="3795623"/>
            <wp:effectExtent l="19050" t="19050" r="26035" b="1460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ing_hazards_rev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57947" cy="3793460"/>
                    </a:xfrm>
                    <a:prstGeom prst="rect">
                      <a:avLst/>
                    </a:prstGeom>
                    <a:ln>
                      <a:solidFill>
                        <a:schemeClr val="accent1"/>
                      </a:solidFill>
                    </a:ln>
                  </pic:spPr>
                </pic:pic>
              </a:graphicData>
            </a:graphic>
          </wp:inline>
        </w:drawing>
      </w:r>
    </w:p>
    <w:p w:rsidR="00AE4519" w:rsidRPr="001B7918" w:rsidRDefault="00AE4519" w:rsidP="005079A3">
      <w:pPr>
        <w:pStyle w:val="Lgende"/>
        <w:jc w:val="center"/>
        <w:rPr>
          <w:lang w:val="en-US"/>
        </w:rPr>
      </w:pPr>
      <w:bookmarkStart w:id="519" w:name="_Ref445310800"/>
      <w:r w:rsidRPr="001B7918">
        <w:rPr>
          <w:lang w:val="en-US"/>
        </w:rPr>
        <w:t xml:space="preserve">Figure </w:t>
      </w:r>
      <w:r w:rsidR="00125AF4">
        <w:rPr>
          <w:lang w:val="en-US"/>
        </w:rPr>
        <w:fldChar w:fldCharType="begin"/>
      </w:r>
      <w:r w:rsidR="00772D91">
        <w:rPr>
          <w:lang w:val="en-US"/>
        </w:rPr>
        <w:instrText xml:space="preserve"> STYLEREF 1 \s </w:instrText>
      </w:r>
      <w:r w:rsidR="00125AF4">
        <w:rPr>
          <w:lang w:val="en-US"/>
        </w:rPr>
        <w:fldChar w:fldCharType="separate"/>
      </w:r>
      <w:r w:rsidR="00E62976">
        <w:rPr>
          <w:noProof/>
          <w:lang w:val="en-US"/>
        </w:rPr>
        <w:t>7</w:t>
      </w:r>
      <w:r w:rsidR="00125AF4">
        <w:rPr>
          <w:lang w:val="en-US"/>
        </w:rPr>
        <w:fldChar w:fldCharType="end"/>
      </w:r>
      <w:r w:rsidR="00772D91">
        <w:rPr>
          <w:lang w:val="en-US"/>
        </w:rPr>
        <w:noBreakHyphen/>
      </w:r>
      <w:r w:rsidR="00125AF4">
        <w:rPr>
          <w:lang w:val="en-US"/>
        </w:rPr>
        <w:fldChar w:fldCharType="begin"/>
      </w:r>
      <w:r w:rsidR="00772D91">
        <w:rPr>
          <w:lang w:val="en-US"/>
        </w:rPr>
        <w:instrText xml:space="preserve"> SEQ Figure \* ARABIC \s 1 </w:instrText>
      </w:r>
      <w:r w:rsidR="00125AF4">
        <w:rPr>
          <w:lang w:val="en-US"/>
        </w:rPr>
        <w:fldChar w:fldCharType="separate"/>
      </w:r>
      <w:r w:rsidR="00E62976">
        <w:rPr>
          <w:noProof/>
          <w:lang w:val="en-US"/>
        </w:rPr>
        <w:t>2</w:t>
      </w:r>
      <w:r w:rsidR="00125AF4">
        <w:rPr>
          <w:lang w:val="en-US"/>
        </w:rPr>
        <w:fldChar w:fldCharType="end"/>
      </w:r>
      <w:bookmarkEnd w:id="519"/>
      <w:r w:rsidRPr="001B7918">
        <w:rPr>
          <w:lang w:val="en-US"/>
        </w:rPr>
        <w:tab/>
        <w:t>Extension of screening approach to hazard scenarios</w:t>
      </w:r>
    </w:p>
    <w:p w:rsidR="00005486" w:rsidRPr="005079A3" w:rsidRDefault="00005486" w:rsidP="00005486">
      <w:pPr>
        <w:rPr>
          <w:lang w:val="en-US"/>
        </w:rPr>
      </w:pPr>
    </w:p>
    <w:p w:rsidR="00043E7F" w:rsidRPr="005079A3" w:rsidRDefault="00CC3DD5" w:rsidP="00CC3DD5">
      <w:pPr>
        <w:rPr>
          <w:b/>
          <w:u w:val="single"/>
          <w:lang w:val="en-GB"/>
        </w:rPr>
      </w:pPr>
      <w:bookmarkStart w:id="520" w:name="_Toc446686456"/>
      <w:bookmarkEnd w:id="520"/>
      <w:r w:rsidRPr="005079A3">
        <w:rPr>
          <w:b/>
          <w:u w:val="single"/>
          <w:lang w:val="en-GB"/>
        </w:rPr>
        <w:t xml:space="preserve">Remarks </w:t>
      </w:r>
      <w:r w:rsidR="00143F9D">
        <w:rPr>
          <w:b/>
          <w:u w:val="single"/>
          <w:lang w:val="en-GB"/>
        </w:rPr>
        <w:t>regarding</w:t>
      </w:r>
      <w:r w:rsidRPr="005079A3">
        <w:rPr>
          <w:b/>
          <w:u w:val="single"/>
          <w:lang w:val="en-GB"/>
        </w:rPr>
        <w:t xml:space="preserve"> PSA quality</w:t>
      </w:r>
    </w:p>
    <w:p w:rsidR="00AE4519" w:rsidRDefault="00AE4519" w:rsidP="00005486">
      <w:pPr>
        <w:rPr>
          <w:lang w:val="en-GB"/>
        </w:rPr>
      </w:pPr>
    </w:p>
    <w:p w:rsidR="008D1E36" w:rsidRDefault="008D1E36" w:rsidP="00005486">
      <w:pPr>
        <w:rPr>
          <w:lang w:val="en-GB"/>
        </w:rPr>
      </w:pPr>
      <w:r>
        <w:rPr>
          <w:lang w:val="en-GB"/>
        </w:rPr>
        <w:t>Systematic use of quantitative bounding assessment in the screening for an extended PSA is seen as good practice.</w:t>
      </w:r>
    </w:p>
    <w:p w:rsidR="008D1E36" w:rsidRDefault="003250AB" w:rsidP="00E62976">
      <w:pPr>
        <w:numPr>
          <w:ilvl w:val="0"/>
          <w:numId w:val="71"/>
        </w:numPr>
        <w:rPr>
          <w:lang w:val="en-GB"/>
        </w:rPr>
      </w:pPr>
      <w:r>
        <w:rPr>
          <w:lang w:val="en-GB"/>
        </w:rPr>
        <w:t>Explicit</w:t>
      </w:r>
      <w:r w:rsidR="008D1E36">
        <w:rPr>
          <w:lang w:val="en-GB"/>
        </w:rPr>
        <w:t xml:space="preserve"> bounding assessment rules necessarily </w:t>
      </w:r>
      <w:r>
        <w:rPr>
          <w:lang w:val="en-GB"/>
        </w:rPr>
        <w:t>limit</w:t>
      </w:r>
      <w:r w:rsidR="008D1E36">
        <w:rPr>
          <w:lang w:val="en-GB"/>
        </w:rPr>
        <w:t xml:space="preserve"> the risk of neglecting specific aspects of the event and its impact on the plant, especially regarding severe accident scenarios. PSA analysts </w:t>
      </w:r>
      <w:r>
        <w:rPr>
          <w:lang w:val="en-GB"/>
        </w:rPr>
        <w:t>should be encouraged to propose</w:t>
      </w:r>
      <w:r w:rsidR="008D1E36">
        <w:rPr>
          <w:lang w:val="en-GB"/>
        </w:rPr>
        <w:t xml:space="preserve"> specific claims (at the appropriate level of conservatism and detail) and provide </w:t>
      </w:r>
      <w:r>
        <w:rPr>
          <w:lang w:val="en-GB"/>
        </w:rPr>
        <w:t xml:space="preserve">supporting </w:t>
      </w:r>
      <w:r w:rsidR="008D1E36">
        <w:rPr>
          <w:lang w:val="en-GB"/>
        </w:rPr>
        <w:t>arguments</w:t>
      </w:r>
      <w:r w:rsidR="00101792">
        <w:rPr>
          <w:lang w:val="en-GB"/>
        </w:rPr>
        <w:t>.</w:t>
      </w:r>
    </w:p>
    <w:p w:rsidR="008D1E36" w:rsidRDefault="008D1E36" w:rsidP="00E62976">
      <w:pPr>
        <w:numPr>
          <w:ilvl w:val="0"/>
          <w:numId w:val="71"/>
        </w:numPr>
        <w:rPr>
          <w:lang w:val="en-GB"/>
        </w:rPr>
      </w:pPr>
      <w:r w:rsidRPr="00F02C22">
        <w:rPr>
          <w:lang w:val="en-GB"/>
        </w:rPr>
        <w:t xml:space="preserve">The </w:t>
      </w:r>
      <w:r>
        <w:rPr>
          <w:lang w:val="en-GB"/>
        </w:rPr>
        <w:t xml:space="preserve">quantitative </w:t>
      </w:r>
      <w:r w:rsidRPr="00F02C22">
        <w:rPr>
          <w:lang w:val="en-GB"/>
        </w:rPr>
        <w:t xml:space="preserve">bounding </w:t>
      </w:r>
      <w:r>
        <w:rPr>
          <w:lang w:val="en-GB"/>
        </w:rPr>
        <w:t>assessment</w:t>
      </w:r>
      <w:r w:rsidRPr="00F02C22">
        <w:rPr>
          <w:lang w:val="en-GB"/>
        </w:rPr>
        <w:t>, irrespective whether by expert judgement or by using simplified conservative assessment models,</w:t>
      </w:r>
      <w:r w:rsidR="00143F9D">
        <w:rPr>
          <w:lang w:val="en-GB"/>
        </w:rPr>
        <w:t xml:space="preserve"> is seen</w:t>
      </w:r>
      <w:r w:rsidRPr="00F02C22">
        <w:rPr>
          <w:lang w:val="en-GB"/>
        </w:rPr>
        <w:t xml:space="preserve"> as a valid probabilistic assessment approach. </w:t>
      </w:r>
      <w:r>
        <w:rPr>
          <w:lang w:val="en-GB"/>
        </w:rPr>
        <w:t>To that end, bounding assessments have to be traceable.</w:t>
      </w:r>
    </w:p>
    <w:p w:rsidR="008D1E36" w:rsidRPr="00F02C22" w:rsidRDefault="008D1E36" w:rsidP="00E62976">
      <w:pPr>
        <w:numPr>
          <w:ilvl w:val="0"/>
          <w:numId w:val="71"/>
        </w:numPr>
        <w:rPr>
          <w:lang w:val="en-GB"/>
        </w:rPr>
      </w:pPr>
      <w:r w:rsidRPr="00F02C22">
        <w:rPr>
          <w:lang w:val="en-GB"/>
        </w:rPr>
        <w:t>Having claims and supporting arguments significantly improves the traceability of the screening process and thus contributes to the review of the PSA, both internally as well as by regulatory bodies.</w:t>
      </w:r>
    </w:p>
    <w:p w:rsidR="00C66E31" w:rsidRDefault="00C66E31" w:rsidP="00005486">
      <w:pPr>
        <w:rPr>
          <w:lang w:val="en-GB"/>
        </w:rPr>
      </w:pPr>
    </w:p>
    <w:p w:rsidR="00C66E31" w:rsidRDefault="00C66E31" w:rsidP="005079A3">
      <w:pPr>
        <w:rPr>
          <w:u w:val="single"/>
          <w:lang w:val="en-GB"/>
        </w:rPr>
      </w:pPr>
      <w:r w:rsidRPr="005079A3">
        <w:rPr>
          <w:b/>
          <w:u w:val="single"/>
          <w:lang w:val="en-GB"/>
        </w:rPr>
        <w:t>Towards detailed PSA model</w:t>
      </w:r>
      <w:r w:rsidR="009A3A5D">
        <w:rPr>
          <w:b/>
          <w:u w:val="single"/>
          <w:lang w:val="en-GB"/>
        </w:rPr>
        <w:t>s</w:t>
      </w:r>
      <w:r w:rsidRPr="005079A3">
        <w:rPr>
          <w:b/>
          <w:u w:val="single"/>
          <w:lang w:val="en-GB"/>
        </w:rPr>
        <w:t>?</w:t>
      </w:r>
    </w:p>
    <w:p w:rsidR="00CC3DD5" w:rsidRPr="005079A3" w:rsidRDefault="00CC3DD5" w:rsidP="005079A3">
      <w:pPr>
        <w:rPr>
          <w:u w:val="single"/>
          <w:lang w:val="en-GB"/>
        </w:rPr>
      </w:pPr>
    </w:p>
    <w:p w:rsidR="00185445" w:rsidRDefault="00185445" w:rsidP="00005486">
      <w:pPr>
        <w:rPr>
          <w:lang w:val="en-GB"/>
        </w:rPr>
      </w:pPr>
      <w:r>
        <w:rPr>
          <w:lang w:val="en-GB"/>
        </w:rPr>
        <w:t xml:space="preserve">There is no sharp dividing line between progressively more refined bounding assessment and the development of a more detailed PSA model. </w:t>
      </w:r>
      <w:r w:rsidR="00001533">
        <w:rPr>
          <w:lang w:val="en-GB"/>
        </w:rPr>
        <w:t>The transition is gradual and depends, amongst others, on the availability of assessment methods, available data, and the scope and level of detail of existing PSA modelling for this and similar events or scenarios. As a general guidance, probabilistic assessment leaves the area of bounding assessment, if results should be reported with uncertainty bounds.</w:t>
      </w:r>
    </w:p>
    <w:p w:rsidR="008D1E36" w:rsidRDefault="008D1E36" w:rsidP="00005486">
      <w:pPr>
        <w:rPr>
          <w:lang w:val="en-GB"/>
        </w:rPr>
      </w:pPr>
    </w:p>
    <w:p w:rsidR="00185445" w:rsidRDefault="00185445" w:rsidP="00005486">
      <w:pPr>
        <w:rPr>
          <w:lang w:val="en-GB"/>
        </w:rPr>
      </w:pPr>
      <w:r>
        <w:rPr>
          <w:lang w:val="en-GB"/>
        </w:rPr>
        <w:t>The development of detailed PSA models may require further iteration steps for screened</w:t>
      </w:r>
      <w:r w:rsidR="00143F9D">
        <w:rPr>
          <w:lang w:val="en-GB"/>
        </w:rPr>
        <w:t>-</w:t>
      </w:r>
      <w:r>
        <w:rPr>
          <w:lang w:val="en-GB"/>
        </w:rPr>
        <w:t>in initiating event</w:t>
      </w:r>
      <w:r w:rsidR="008D1E36">
        <w:rPr>
          <w:lang w:val="en-GB"/>
        </w:rPr>
        <w:t>s</w:t>
      </w:r>
      <w:r>
        <w:rPr>
          <w:lang w:val="en-GB"/>
        </w:rPr>
        <w:t xml:space="preserve"> or hazard scenario groups. Depending on the risk measures specified for PSA Level 1, PSA Level 2, and possible PSA Level 2+ results, there can be additional constraints on the grouping of events and scenarios, because initially grouped scenarios have dissimilar properties with respect to these additional (aspects of) risk measures. Then, PSA analysts need to de-aggregate the respective groups. </w:t>
      </w:r>
    </w:p>
    <w:p w:rsidR="00596B05" w:rsidRDefault="00596B05" w:rsidP="00005486">
      <w:pPr>
        <w:rPr>
          <w:lang w:val="en-GB"/>
        </w:rPr>
      </w:pPr>
      <w:r>
        <w:rPr>
          <w:lang w:val="en-GB"/>
        </w:rPr>
        <w:t>Moreover, bounding assessment results from screening have to be forwarded to overall PSA results and need to be compared with the more detailed results, based on the risk measures defined for detailed PSA investigations. The risk measure for detailed PSA investigations may address additional characteristics and aspects of accident sequences, not covered by the screening risk measures. For the comparison of detailed PSA results and bounding assessment results, the latter should be assigned to the worst applicable category. For example, if the FDF measure is differentiated by the aspect of time to fuel damage, all bounding assessments should be assigned to the subcategory representing the earliest fuel damage by default. Assigning results to a less severe subgroup should be justified by targeted or refined bounding assessment.</w:t>
      </w:r>
    </w:p>
    <w:p w:rsidR="00185445" w:rsidRDefault="00185445" w:rsidP="00005486">
      <w:pPr>
        <w:rPr>
          <w:lang w:val="en-GB"/>
        </w:rPr>
      </w:pPr>
    </w:p>
    <w:p w:rsidR="001A680F" w:rsidRDefault="00C66E31" w:rsidP="001A680F">
      <w:pPr>
        <w:rPr>
          <w:lang w:val="en-GB"/>
        </w:rPr>
      </w:pPr>
      <w:r>
        <w:rPr>
          <w:lang w:val="en-GB"/>
        </w:rPr>
        <w:t>D</w:t>
      </w:r>
      <w:r w:rsidR="001A680F" w:rsidRPr="00E20701">
        <w:rPr>
          <w:lang w:val="en-GB"/>
        </w:rPr>
        <w:t>etailed analysis of hazards scenario</w:t>
      </w:r>
      <w:r w:rsidR="00AD4341">
        <w:rPr>
          <w:lang w:val="en-GB"/>
        </w:rPr>
        <w:t>s</w:t>
      </w:r>
      <w:r w:rsidR="001A680F" w:rsidRPr="00E20701">
        <w:rPr>
          <w:lang w:val="en-GB"/>
        </w:rPr>
        <w:t xml:space="preserve"> should follow a graded approach as well. The level of effort and the level of conservatism should be commensurate to the overall contribution of the scenarios to relevant risk measures, to the knowledge available on the hazard, its frequency, and its impact on the plant and site, and to the relevance of respective PSA results to decision makers and other stakeholders.</w:t>
      </w:r>
      <w:r w:rsidR="00E11649">
        <w:rPr>
          <w:lang w:val="en-GB"/>
        </w:rPr>
        <w:t xml:space="preserve"> A too high level of detail and complexity could lead to PSA models </w:t>
      </w:r>
      <w:r w:rsidR="00AD4341">
        <w:rPr>
          <w:lang w:val="en-GB"/>
        </w:rPr>
        <w:t xml:space="preserve">that are </w:t>
      </w:r>
      <w:r w:rsidR="00E11649">
        <w:rPr>
          <w:lang w:val="en-GB"/>
        </w:rPr>
        <w:t>very difficult to build and to use for practical applications.</w:t>
      </w:r>
    </w:p>
    <w:p w:rsidR="007D5E7B" w:rsidRDefault="007D5E7B" w:rsidP="00005486">
      <w:pPr>
        <w:rPr>
          <w:lang w:val="en-GB"/>
        </w:rPr>
      </w:pPr>
    </w:p>
    <w:p w:rsidR="008D1E36" w:rsidRDefault="008D1E36" w:rsidP="008D1E36">
      <w:pPr>
        <w:rPr>
          <w:lang w:val="en-GB"/>
        </w:rPr>
      </w:pPr>
      <w:r>
        <w:rPr>
          <w:lang w:val="en-GB"/>
        </w:rPr>
        <w:t>In order to have a better understanding of the quality of the quantitative results of the screening process, PSA analysts should aggregate the bounding assessment claims on FDF, RMF, LRF, and ERF over all screened-out events. These should then be compared to the respective PSA results from more detailed analysis.</w:t>
      </w:r>
    </w:p>
    <w:p w:rsidR="008D1E36" w:rsidRDefault="008D1E36" w:rsidP="00E62976">
      <w:pPr>
        <w:numPr>
          <w:ilvl w:val="0"/>
          <w:numId w:val="71"/>
        </w:numPr>
        <w:rPr>
          <w:lang w:val="en-GB"/>
        </w:rPr>
      </w:pPr>
      <w:r>
        <w:rPr>
          <w:lang w:val="en-GB"/>
        </w:rPr>
        <w:t>If the aggregated claims for FDF, RMF, LRF, and ERF are below 10% of the respective total results from more detailed PSA, no further refinement of a comprehensive screening process is necessary.</w:t>
      </w:r>
      <w:r>
        <w:rPr>
          <w:lang w:val="en-GB"/>
        </w:rPr>
        <w:br/>
        <w:t>Such a result should be seen as an indicator for a PSA which can not only support risk-informed decisions in general but also decisions with respect to the risk profile of the plant in most cases.</w:t>
      </w:r>
    </w:p>
    <w:p w:rsidR="008D1E36" w:rsidRDefault="008D1E36" w:rsidP="00E62976">
      <w:pPr>
        <w:numPr>
          <w:ilvl w:val="0"/>
          <w:numId w:val="71"/>
        </w:numPr>
        <w:rPr>
          <w:lang w:val="en-GB"/>
        </w:rPr>
      </w:pPr>
      <w:r>
        <w:rPr>
          <w:lang w:val="en-GB"/>
        </w:rPr>
        <w:t xml:space="preserve">If the aggregated claims for FDF, RMD, LRF, and ERF are below the respective totals results from more detailed PSA, analysts should consider </w:t>
      </w:r>
    </w:p>
    <w:p w:rsidR="008D1E36" w:rsidRDefault="008D1E36" w:rsidP="00E62976">
      <w:pPr>
        <w:numPr>
          <w:ilvl w:val="1"/>
          <w:numId w:val="71"/>
        </w:numPr>
        <w:rPr>
          <w:lang w:val="en-GB"/>
        </w:rPr>
      </w:pPr>
      <w:r>
        <w:rPr>
          <w:lang w:val="en-GB"/>
        </w:rPr>
        <w:t xml:space="preserve">if bounding assessments can be refined or </w:t>
      </w:r>
    </w:p>
    <w:p w:rsidR="00623655" w:rsidRDefault="008D1E36" w:rsidP="00E62976">
      <w:pPr>
        <w:numPr>
          <w:ilvl w:val="1"/>
          <w:numId w:val="71"/>
        </w:numPr>
        <w:rPr>
          <w:lang w:val="en-GB"/>
        </w:rPr>
      </w:pPr>
      <w:r>
        <w:rPr>
          <w:lang w:val="en-GB"/>
        </w:rPr>
        <w:t>if certain events should be considered for a detailed PSA investigation. Single events can be prioritized by the contribution of their claims to the aggregated claims.</w:t>
      </w:r>
    </w:p>
    <w:p w:rsidR="008D1E36" w:rsidRDefault="008D1E36" w:rsidP="005079A3">
      <w:pPr>
        <w:ind w:left="720"/>
        <w:rPr>
          <w:lang w:val="en-GB"/>
        </w:rPr>
      </w:pPr>
      <w:r>
        <w:rPr>
          <w:lang w:val="en-GB"/>
        </w:rPr>
        <w:t>Such a result should be seen as an indicator for a sound PSA, which can support risk-informed decision making. However, decisions with respect to the risk profile of the plant merit explicit consideration of screened-out events.</w:t>
      </w:r>
    </w:p>
    <w:p w:rsidR="0082154F" w:rsidRDefault="008D1E36" w:rsidP="00E62976">
      <w:pPr>
        <w:numPr>
          <w:ilvl w:val="0"/>
          <w:numId w:val="71"/>
        </w:numPr>
        <w:rPr>
          <w:lang w:val="en-GB"/>
        </w:rPr>
      </w:pPr>
      <w:r>
        <w:rPr>
          <w:lang w:val="en-GB"/>
        </w:rPr>
        <w:t xml:space="preserve">If the aggregated claims for FDF, </w:t>
      </w:r>
      <w:r w:rsidR="00623655">
        <w:rPr>
          <w:lang w:val="en-GB"/>
        </w:rPr>
        <w:t xml:space="preserve">RMF, </w:t>
      </w:r>
      <w:r>
        <w:rPr>
          <w:lang w:val="en-GB"/>
        </w:rPr>
        <w:t xml:space="preserve">LRF or ERF are larger than the respective results from </w:t>
      </w:r>
      <w:r w:rsidR="00623655">
        <w:rPr>
          <w:lang w:val="en-GB"/>
        </w:rPr>
        <w:t xml:space="preserve">more detailed </w:t>
      </w:r>
      <w:r>
        <w:rPr>
          <w:lang w:val="en-GB"/>
        </w:rPr>
        <w:t>PSA</w:t>
      </w:r>
      <w:r w:rsidR="00623655">
        <w:rPr>
          <w:lang w:val="en-GB"/>
        </w:rPr>
        <w:t xml:space="preserve"> but less than 10 times larger</w:t>
      </w:r>
      <w:r>
        <w:rPr>
          <w:lang w:val="en-GB"/>
        </w:rPr>
        <w:t xml:space="preserve">, </w:t>
      </w:r>
      <w:r w:rsidR="00623655">
        <w:rPr>
          <w:lang w:val="en-GB"/>
        </w:rPr>
        <w:t>analysts should at least refine bou</w:t>
      </w:r>
      <w:r>
        <w:rPr>
          <w:lang w:val="en-GB"/>
        </w:rPr>
        <w:t xml:space="preserve">nding assessments for important </w:t>
      </w:r>
      <w:r w:rsidR="00623655">
        <w:rPr>
          <w:lang w:val="en-GB"/>
        </w:rPr>
        <w:t xml:space="preserve">events or scenarios. </w:t>
      </w:r>
      <w:r>
        <w:rPr>
          <w:lang w:val="en-GB"/>
        </w:rPr>
        <w:t xml:space="preserve">Alternatively, important events </w:t>
      </w:r>
      <w:r w:rsidR="00623655">
        <w:rPr>
          <w:lang w:val="en-GB"/>
        </w:rPr>
        <w:t xml:space="preserve">or scenarios </w:t>
      </w:r>
      <w:r>
        <w:rPr>
          <w:lang w:val="en-GB"/>
        </w:rPr>
        <w:t>should be considered for a detailed PSA investigation.</w:t>
      </w:r>
    </w:p>
    <w:p w:rsidR="008D1E36" w:rsidRDefault="008D1E36" w:rsidP="005262CB">
      <w:pPr>
        <w:ind w:left="720"/>
        <w:rPr>
          <w:lang w:val="en-GB"/>
        </w:rPr>
      </w:pPr>
      <w:r>
        <w:rPr>
          <w:lang w:val="en-GB"/>
        </w:rPr>
        <w:t xml:space="preserve">Such a result should be seen as an indicator for an acceptable PSA. While the PSA can support risk-informed decision making in principle, the impact of screened-out events merits explicit consideration. Decisions on the risk profile of the plant might be significantly impacted by screened-out events. </w:t>
      </w:r>
    </w:p>
    <w:p w:rsidR="0082154F" w:rsidRDefault="008D1E36" w:rsidP="00E62976">
      <w:pPr>
        <w:numPr>
          <w:ilvl w:val="0"/>
          <w:numId w:val="71"/>
        </w:numPr>
        <w:rPr>
          <w:lang w:val="en-GB"/>
        </w:rPr>
      </w:pPr>
      <w:r>
        <w:rPr>
          <w:lang w:val="en-GB"/>
        </w:rPr>
        <w:t xml:space="preserve">If the aggregated claims for FDF, </w:t>
      </w:r>
      <w:r w:rsidR="00623655">
        <w:rPr>
          <w:lang w:val="en-GB"/>
        </w:rPr>
        <w:t xml:space="preserve">RMF, </w:t>
      </w:r>
      <w:r>
        <w:rPr>
          <w:lang w:val="en-GB"/>
        </w:rPr>
        <w:t xml:space="preserve">LRF or ERF are larger the 10 times the respective results from </w:t>
      </w:r>
      <w:r w:rsidR="00623655">
        <w:rPr>
          <w:lang w:val="en-GB"/>
        </w:rPr>
        <w:t xml:space="preserve">more detailed </w:t>
      </w:r>
      <w:r>
        <w:rPr>
          <w:lang w:val="en-GB"/>
        </w:rPr>
        <w:t>PSA, the screening should be refined. Important events should be considered for detailed PSA investigations.</w:t>
      </w:r>
    </w:p>
    <w:p w:rsidR="008D1E36" w:rsidRDefault="008D1E36" w:rsidP="005262CB">
      <w:pPr>
        <w:ind w:left="720"/>
        <w:rPr>
          <w:lang w:val="en-GB"/>
        </w:rPr>
      </w:pPr>
      <w:r>
        <w:rPr>
          <w:lang w:val="en-GB"/>
        </w:rPr>
        <w:t>Such a result should be seen as an indicator for a scre</w:t>
      </w:r>
      <w:r w:rsidR="00AD4341">
        <w:rPr>
          <w:lang w:val="en-GB"/>
        </w:rPr>
        <w:t>ening process</w:t>
      </w:r>
      <w:r>
        <w:rPr>
          <w:lang w:val="en-GB"/>
        </w:rPr>
        <w:t xml:space="preserve"> which should be improved. The PSA might be able to support risk-informed decision making, but lack of knowledge about the risk of the plant will reduce the validity of PSA insights</w:t>
      </w:r>
      <w:r w:rsidR="00AD4341">
        <w:rPr>
          <w:lang w:val="en-GB"/>
        </w:rPr>
        <w:t xml:space="preserve"> and might reduce its range of applicability</w:t>
      </w:r>
      <w:r>
        <w:rPr>
          <w:lang w:val="en-GB"/>
        </w:rPr>
        <w:t>.</w:t>
      </w:r>
    </w:p>
    <w:p w:rsidR="001A680F" w:rsidRDefault="001A680F" w:rsidP="00005486">
      <w:pPr>
        <w:rPr>
          <w:lang w:val="en-GB"/>
        </w:rPr>
      </w:pPr>
    </w:p>
    <w:p w:rsidR="00C66E31" w:rsidRPr="005079A3" w:rsidRDefault="00C66E31" w:rsidP="005079A3">
      <w:pPr>
        <w:rPr>
          <w:u w:val="single"/>
          <w:lang w:val="en-GB"/>
        </w:rPr>
      </w:pPr>
      <w:r w:rsidRPr="005079A3">
        <w:rPr>
          <w:b/>
          <w:u w:val="single"/>
          <w:lang w:val="en-GB"/>
        </w:rPr>
        <w:t xml:space="preserve">Link with the </w:t>
      </w:r>
      <w:r w:rsidR="00D90236" w:rsidRPr="005079A3">
        <w:rPr>
          <w:b/>
          <w:u w:val="single"/>
          <w:lang w:val="en-GB"/>
        </w:rPr>
        <w:t xml:space="preserve">situations that should be </w:t>
      </w:r>
      <w:r w:rsidRPr="005079A3">
        <w:rPr>
          <w:b/>
          <w:u w:val="single"/>
          <w:lang w:val="en-GB"/>
        </w:rPr>
        <w:t>practical</w:t>
      </w:r>
      <w:r w:rsidR="00D90236" w:rsidRPr="005079A3">
        <w:rPr>
          <w:b/>
          <w:u w:val="single"/>
          <w:lang w:val="en-GB"/>
        </w:rPr>
        <w:t>ly</w:t>
      </w:r>
      <w:r w:rsidRPr="005079A3">
        <w:rPr>
          <w:b/>
          <w:u w:val="single"/>
          <w:lang w:val="en-GB"/>
        </w:rPr>
        <w:t xml:space="preserve"> elimina</w:t>
      </w:r>
      <w:r w:rsidR="00D90236" w:rsidRPr="005079A3">
        <w:rPr>
          <w:b/>
          <w:u w:val="single"/>
          <w:lang w:val="en-GB"/>
        </w:rPr>
        <w:t>ted</w:t>
      </w:r>
      <w:r w:rsidRPr="005079A3">
        <w:rPr>
          <w:b/>
          <w:u w:val="single"/>
          <w:lang w:val="en-GB"/>
        </w:rPr>
        <w:t xml:space="preserve"> </w:t>
      </w:r>
      <w:r w:rsidR="00D90236" w:rsidRPr="005079A3">
        <w:rPr>
          <w:b/>
          <w:u w:val="single"/>
          <w:lang w:val="en-GB"/>
        </w:rPr>
        <w:t>(if applicable)</w:t>
      </w:r>
    </w:p>
    <w:p w:rsidR="00D90236" w:rsidRDefault="00C66E31" w:rsidP="00005486">
      <w:pPr>
        <w:rPr>
          <w:lang w:val="en-GB"/>
        </w:rPr>
      </w:pPr>
      <w:r>
        <w:rPr>
          <w:lang w:val="en-GB"/>
        </w:rPr>
        <w:t xml:space="preserve">If the concept of practical elimination is applied in the NPP safety demonstration, then </w:t>
      </w:r>
      <w:r w:rsidR="00D90236">
        <w:rPr>
          <w:lang w:val="en-GB"/>
        </w:rPr>
        <w:t xml:space="preserve">the </w:t>
      </w:r>
      <w:r>
        <w:rPr>
          <w:lang w:val="en-GB"/>
        </w:rPr>
        <w:t>PSA analyst</w:t>
      </w:r>
      <w:r w:rsidR="00D90236">
        <w:rPr>
          <w:lang w:val="en-GB"/>
        </w:rPr>
        <w:t>s</w:t>
      </w:r>
      <w:r>
        <w:rPr>
          <w:lang w:val="en-GB"/>
        </w:rPr>
        <w:t xml:space="preserve"> shall </w:t>
      </w:r>
      <w:r w:rsidR="00AD4341">
        <w:rPr>
          <w:lang w:val="en-GB"/>
        </w:rPr>
        <w:t xml:space="preserve">make </w:t>
      </w:r>
      <w:r>
        <w:rPr>
          <w:lang w:val="en-GB"/>
        </w:rPr>
        <w:t xml:space="preserve">the link between </w:t>
      </w:r>
      <w:r w:rsidR="00D90236">
        <w:rPr>
          <w:lang w:val="en-GB"/>
        </w:rPr>
        <w:t>initiating events selection for extended PSA and the situations that are considered to be practically eliminated</w:t>
      </w:r>
      <w:r w:rsidR="00AD4341">
        <w:rPr>
          <w:lang w:val="en-GB"/>
        </w:rPr>
        <w:t xml:space="preserve"> explicit</w:t>
      </w:r>
      <w:r w:rsidR="00D90236">
        <w:rPr>
          <w:lang w:val="en-GB"/>
        </w:rPr>
        <w:t xml:space="preserve">. They should verify that these situations contribute </w:t>
      </w:r>
      <w:r w:rsidR="00AD4341">
        <w:rPr>
          <w:lang w:val="en-GB"/>
        </w:rPr>
        <w:t xml:space="preserve">negligibly </w:t>
      </w:r>
      <w:r w:rsidR="00D90236">
        <w:rPr>
          <w:lang w:val="en-GB"/>
        </w:rPr>
        <w:t>to the overall risk.</w:t>
      </w:r>
    </w:p>
    <w:p w:rsidR="00D90236" w:rsidRDefault="00D90236" w:rsidP="00005486">
      <w:pPr>
        <w:rPr>
          <w:lang w:val="en-GB"/>
        </w:rPr>
      </w:pPr>
    </w:p>
    <w:p w:rsidR="00D30D21" w:rsidRDefault="00D30D21" w:rsidP="00005486">
      <w:pPr>
        <w:rPr>
          <w:lang w:val="en-GB"/>
        </w:rPr>
      </w:pPr>
    </w:p>
    <w:p w:rsidR="00D30D21" w:rsidRDefault="00D30D21" w:rsidP="00AD4341">
      <w:pPr>
        <w:pStyle w:val="Titre1"/>
        <w:pageBreakBefore/>
        <w:ind w:left="431" w:hanging="431"/>
        <w:rPr>
          <w:lang w:val="en-GB"/>
        </w:rPr>
      </w:pPr>
      <w:bookmarkStart w:id="521" w:name="_Toc473303596"/>
      <w:r>
        <w:rPr>
          <w:lang w:val="en-GB"/>
        </w:rPr>
        <w:t>LIST OF REFERENCES</w:t>
      </w:r>
      <w:bookmarkEnd w:id="521"/>
    </w:p>
    <w:p w:rsidR="00CC3DD5" w:rsidRPr="00CC3DD5" w:rsidRDefault="00CC3DD5" w:rsidP="005079A3">
      <w:pPr>
        <w:rPr>
          <w:lang w:val="en-GB"/>
        </w:rPr>
      </w:pPr>
      <w:bookmarkStart w:id="522" w:name="_Toc446686460"/>
      <w:bookmarkStart w:id="523" w:name="_Toc445305584"/>
      <w:bookmarkStart w:id="524" w:name="_Toc445310899"/>
      <w:bookmarkStart w:id="525" w:name="_Toc446686461"/>
      <w:bookmarkStart w:id="526" w:name="_Toc445305585"/>
      <w:bookmarkStart w:id="527" w:name="_Toc445310900"/>
      <w:bookmarkStart w:id="528" w:name="_Toc446686462"/>
      <w:bookmarkStart w:id="529" w:name="_Toc445305586"/>
      <w:bookmarkStart w:id="530" w:name="_Toc445310901"/>
      <w:bookmarkStart w:id="531" w:name="_Toc446686463"/>
      <w:bookmarkStart w:id="532" w:name="_Toc445305587"/>
      <w:bookmarkStart w:id="533" w:name="_Toc445310902"/>
      <w:bookmarkStart w:id="534" w:name="_Toc446686464"/>
      <w:bookmarkStart w:id="535" w:name="_Toc445305588"/>
      <w:bookmarkStart w:id="536" w:name="_Toc445310903"/>
      <w:bookmarkStart w:id="537" w:name="_Toc446686465"/>
      <w:bookmarkStart w:id="538" w:name="_Toc445305589"/>
      <w:bookmarkStart w:id="539" w:name="_Toc445310904"/>
      <w:bookmarkStart w:id="540" w:name="_Toc446686466"/>
      <w:bookmarkStart w:id="541" w:name="_Toc445305590"/>
      <w:bookmarkStart w:id="542" w:name="_Toc445310905"/>
      <w:bookmarkStart w:id="543" w:name="_Toc446686467"/>
      <w:bookmarkStart w:id="544" w:name="_Toc445305591"/>
      <w:bookmarkStart w:id="545" w:name="_Toc445310906"/>
      <w:bookmarkStart w:id="546" w:name="_Toc446686468"/>
      <w:bookmarkStart w:id="547" w:name="_Toc445305592"/>
      <w:bookmarkStart w:id="548" w:name="_Toc445310907"/>
      <w:bookmarkStart w:id="549" w:name="_Toc446686469"/>
      <w:bookmarkStart w:id="550" w:name="_Toc445305593"/>
      <w:bookmarkStart w:id="551" w:name="_Toc445310908"/>
      <w:bookmarkStart w:id="552" w:name="_Toc446686470"/>
      <w:bookmarkStart w:id="553" w:name="_Toc445305594"/>
      <w:bookmarkStart w:id="554" w:name="_Toc445310909"/>
      <w:bookmarkStart w:id="555" w:name="_Toc446686471"/>
      <w:bookmarkStart w:id="556" w:name="_Toc445305595"/>
      <w:bookmarkStart w:id="557" w:name="_Toc445310910"/>
      <w:bookmarkStart w:id="558" w:name="_Toc446686472"/>
      <w:bookmarkStart w:id="559" w:name="_Toc445305596"/>
      <w:bookmarkStart w:id="560" w:name="_Toc445310911"/>
      <w:bookmarkStart w:id="561" w:name="_Toc446686473"/>
      <w:bookmarkStart w:id="562" w:name="_Toc445305597"/>
      <w:bookmarkStart w:id="563" w:name="_Toc445310912"/>
      <w:bookmarkStart w:id="564" w:name="_Toc446686474"/>
      <w:bookmarkStart w:id="565" w:name="_Toc445305598"/>
      <w:bookmarkStart w:id="566" w:name="_Toc445310913"/>
      <w:bookmarkStart w:id="567" w:name="_Toc446686475"/>
      <w:bookmarkStart w:id="568" w:name="_Toc445305599"/>
      <w:bookmarkStart w:id="569" w:name="_Toc445310914"/>
      <w:bookmarkStart w:id="570" w:name="_Toc446686476"/>
      <w:bookmarkStart w:id="571" w:name="_Toc445305600"/>
      <w:bookmarkStart w:id="572" w:name="_Toc445310915"/>
      <w:bookmarkStart w:id="573" w:name="_Toc446686477"/>
      <w:bookmarkStart w:id="574" w:name="_Toc445305601"/>
      <w:bookmarkStart w:id="575" w:name="_Toc445310916"/>
      <w:bookmarkStart w:id="576" w:name="_Toc446686478"/>
      <w:bookmarkStart w:id="577" w:name="_Toc445305602"/>
      <w:bookmarkStart w:id="578" w:name="_Toc445310917"/>
      <w:bookmarkStart w:id="579" w:name="_Toc446686479"/>
      <w:bookmarkStart w:id="580" w:name="_Toc445305603"/>
      <w:bookmarkStart w:id="581" w:name="_Toc445310918"/>
      <w:bookmarkStart w:id="582" w:name="_Toc446686480"/>
      <w:bookmarkStart w:id="583" w:name="_Toc445305604"/>
      <w:bookmarkStart w:id="584" w:name="_Toc445310919"/>
      <w:bookmarkStart w:id="585" w:name="_Toc446686481"/>
      <w:bookmarkStart w:id="586" w:name="_Toc445305605"/>
      <w:bookmarkStart w:id="587" w:name="_Toc445310920"/>
      <w:bookmarkStart w:id="588" w:name="_Toc446686482"/>
      <w:bookmarkStart w:id="589" w:name="_Toc445305606"/>
      <w:bookmarkStart w:id="590" w:name="_Toc445310921"/>
      <w:bookmarkStart w:id="591" w:name="_Toc446686483"/>
      <w:bookmarkStart w:id="592" w:name="_Toc445305607"/>
      <w:bookmarkStart w:id="593" w:name="_Toc445310922"/>
      <w:bookmarkStart w:id="594" w:name="_Toc446686484"/>
      <w:bookmarkStart w:id="595" w:name="_Toc445305608"/>
      <w:bookmarkStart w:id="596" w:name="_Toc445310923"/>
      <w:bookmarkStart w:id="597" w:name="_Toc446686485"/>
      <w:bookmarkStart w:id="598" w:name="_Toc445305609"/>
      <w:bookmarkStart w:id="599" w:name="_Toc445310924"/>
      <w:bookmarkStart w:id="600" w:name="_Toc446686486"/>
      <w:bookmarkStart w:id="601" w:name="_Toc445305610"/>
      <w:bookmarkStart w:id="602" w:name="_Toc445310925"/>
      <w:bookmarkStart w:id="603" w:name="_Toc446686487"/>
      <w:bookmarkStart w:id="604" w:name="_Toc445305611"/>
      <w:bookmarkStart w:id="605" w:name="_Toc445310926"/>
      <w:bookmarkStart w:id="606" w:name="_Toc446686488"/>
      <w:bookmarkStart w:id="607" w:name="_Toc445305612"/>
      <w:bookmarkStart w:id="608" w:name="_Toc445310927"/>
      <w:bookmarkStart w:id="609" w:name="_Toc446686489"/>
      <w:bookmarkStart w:id="610" w:name="_Toc445305613"/>
      <w:bookmarkStart w:id="611" w:name="_Toc445310928"/>
      <w:bookmarkStart w:id="612" w:name="_Toc446686490"/>
      <w:bookmarkStart w:id="613" w:name="_Toc445305614"/>
      <w:bookmarkStart w:id="614" w:name="_Toc445310929"/>
      <w:bookmarkStart w:id="615" w:name="_Toc446686491"/>
      <w:bookmarkStart w:id="616" w:name="_Toc445305615"/>
      <w:bookmarkStart w:id="617" w:name="_Toc445310930"/>
      <w:bookmarkStart w:id="618" w:name="_Toc446686492"/>
      <w:bookmarkStart w:id="619" w:name="_Toc445305616"/>
      <w:bookmarkStart w:id="620" w:name="_Toc445310931"/>
      <w:bookmarkStart w:id="621" w:name="_Toc446686493"/>
      <w:bookmarkStart w:id="622" w:name="_Toc445305617"/>
      <w:bookmarkStart w:id="623" w:name="_Toc445310932"/>
      <w:bookmarkStart w:id="624" w:name="_Toc446686494"/>
      <w:bookmarkStart w:id="625" w:name="_Toc445305618"/>
      <w:bookmarkStart w:id="626" w:name="_Toc445310933"/>
      <w:bookmarkStart w:id="627" w:name="_Toc446686495"/>
      <w:bookmarkStart w:id="628" w:name="_Toc445305619"/>
      <w:bookmarkStart w:id="629" w:name="_Toc445310934"/>
      <w:bookmarkStart w:id="630" w:name="_Toc446686496"/>
      <w:bookmarkStart w:id="631" w:name="_Toc445305620"/>
      <w:bookmarkStart w:id="632" w:name="_Toc445310935"/>
      <w:bookmarkStart w:id="633" w:name="_Toc446686497"/>
      <w:bookmarkStart w:id="634" w:name="_Toc445305621"/>
      <w:bookmarkStart w:id="635" w:name="_Toc445310936"/>
      <w:bookmarkStart w:id="636" w:name="_Toc446686498"/>
      <w:bookmarkStart w:id="637" w:name="_Toc445305622"/>
      <w:bookmarkStart w:id="638" w:name="_Toc445310937"/>
      <w:bookmarkStart w:id="639" w:name="_Toc446686499"/>
      <w:bookmarkStart w:id="640" w:name="_Toc445305623"/>
      <w:bookmarkStart w:id="641" w:name="_Toc445310938"/>
      <w:bookmarkStart w:id="642" w:name="_Toc446686500"/>
      <w:bookmarkStart w:id="643" w:name="_Toc445305624"/>
      <w:bookmarkStart w:id="644" w:name="_Toc445310939"/>
      <w:bookmarkStart w:id="645" w:name="_Toc446686501"/>
      <w:bookmarkStart w:id="646" w:name="_Toc445305625"/>
      <w:bookmarkStart w:id="647" w:name="_Toc445310940"/>
      <w:bookmarkStart w:id="648" w:name="_Toc446686502"/>
      <w:bookmarkStart w:id="649" w:name="_Toc445305626"/>
      <w:bookmarkStart w:id="650" w:name="_Toc445310941"/>
      <w:bookmarkStart w:id="651" w:name="_Toc446686503"/>
      <w:bookmarkStart w:id="652" w:name="_Toc445305627"/>
      <w:bookmarkStart w:id="653" w:name="_Toc445310942"/>
      <w:bookmarkStart w:id="654" w:name="_Toc446686504"/>
      <w:bookmarkStart w:id="655" w:name="_Toc445305628"/>
      <w:bookmarkStart w:id="656" w:name="_Toc445310943"/>
      <w:bookmarkStart w:id="657" w:name="_Toc446686505"/>
      <w:bookmarkStart w:id="658" w:name="_Toc445305629"/>
      <w:bookmarkStart w:id="659" w:name="_Toc445310944"/>
      <w:bookmarkStart w:id="660" w:name="_Toc446686506"/>
      <w:bookmarkStart w:id="661" w:name="_Toc445305637"/>
      <w:bookmarkStart w:id="662" w:name="_Toc445310952"/>
      <w:bookmarkStart w:id="663" w:name="_Toc446686514"/>
      <w:bookmarkStart w:id="664" w:name="_Toc445305638"/>
      <w:bookmarkStart w:id="665" w:name="_Toc445310953"/>
      <w:bookmarkStart w:id="666" w:name="_Toc446686515"/>
      <w:bookmarkStart w:id="667" w:name="_Toc445305639"/>
      <w:bookmarkStart w:id="668" w:name="_Toc445310954"/>
      <w:bookmarkStart w:id="669" w:name="_Toc446686516"/>
      <w:bookmarkStart w:id="670" w:name="_Toc445305640"/>
      <w:bookmarkStart w:id="671" w:name="_Toc445310955"/>
      <w:bookmarkStart w:id="672" w:name="_Toc446686517"/>
      <w:bookmarkStart w:id="673" w:name="_Toc445305641"/>
      <w:bookmarkStart w:id="674" w:name="_Toc445310956"/>
      <w:bookmarkStart w:id="675" w:name="_Toc446686518"/>
      <w:bookmarkStart w:id="676" w:name="_Toc445305642"/>
      <w:bookmarkStart w:id="677" w:name="_Toc445310957"/>
      <w:bookmarkStart w:id="678" w:name="_Toc446686519"/>
      <w:bookmarkStart w:id="679" w:name="_Toc445305643"/>
      <w:bookmarkStart w:id="680" w:name="_Toc445310958"/>
      <w:bookmarkStart w:id="681" w:name="_Toc446686520"/>
      <w:bookmarkStart w:id="682" w:name="_Toc445305644"/>
      <w:bookmarkStart w:id="683" w:name="_Toc445310959"/>
      <w:bookmarkStart w:id="684" w:name="_Toc446686521"/>
      <w:bookmarkStart w:id="685" w:name="_Toc445305645"/>
      <w:bookmarkStart w:id="686" w:name="_Toc445310960"/>
      <w:bookmarkStart w:id="687" w:name="_Toc446686522"/>
      <w:bookmarkStart w:id="688" w:name="_Toc445305646"/>
      <w:bookmarkStart w:id="689" w:name="_Toc445310961"/>
      <w:bookmarkStart w:id="690" w:name="_Toc446686523"/>
      <w:bookmarkStart w:id="691" w:name="_Toc445305647"/>
      <w:bookmarkStart w:id="692" w:name="_Toc445310962"/>
      <w:bookmarkStart w:id="693" w:name="_Toc446686524"/>
      <w:bookmarkStart w:id="694" w:name="_Toc445305648"/>
      <w:bookmarkStart w:id="695" w:name="_Toc445310963"/>
      <w:bookmarkStart w:id="696" w:name="_Toc446686525"/>
      <w:bookmarkStart w:id="697" w:name="_Toc445305649"/>
      <w:bookmarkStart w:id="698" w:name="_Toc445310964"/>
      <w:bookmarkStart w:id="699" w:name="_Toc446686526"/>
      <w:bookmarkStart w:id="700" w:name="_Toc445305650"/>
      <w:bookmarkStart w:id="701" w:name="_Toc445310965"/>
      <w:bookmarkStart w:id="702" w:name="_Toc446686527"/>
      <w:bookmarkStart w:id="703" w:name="_Toc445305651"/>
      <w:bookmarkStart w:id="704" w:name="_Toc445310966"/>
      <w:bookmarkStart w:id="705" w:name="_Toc446686528"/>
      <w:bookmarkStart w:id="706" w:name="_Toc445305652"/>
      <w:bookmarkStart w:id="707" w:name="_Toc445310967"/>
      <w:bookmarkStart w:id="708" w:name="_Toc446686529"/>
      <w:bookmarkStart w:id="709" w:name="_Toc445305653"/>
      <w:bookmarkStart w:id="710" w:name="_Toc445310968"/>
      <w:bookmarkStart w:id="711" w:name="_Toc446686530"/>
      <w:bookmarkStart w:id="712" w:name="_Toc445305654"/>
      <w:bookmarkStart w:id="713" w:name="_Toc445310969"/>
      <w:bookmarkStart w:id="714" w:name="_Toc446686531"/>
      <w:bookmarkStart w:id="715" w:name="_Toc445305655"/>
      <w:bookmarkStart w:id="716" w:name="_Toc445310970"/>
      <w:bookmarkStart w:id="717" w:name="_Toc446686532"/>
      <w:bookmarkStart w:id="718" w:name="_Toc445305656"/>
      <w:bookmarkStart w:id="719" w:name="_Toc445310971"/>
      <w:bookmarkStart w:id="720" w:name="_Toc446686533"/>
      <w:bookmarkStart w:id="721" w:name="_Toc445305657"/>
      <w:bookmarkStart w:id="722" w:name="_Toc445310972"/>
      <w:bookmarkStart w:id="723" w:name="_Toc446686534"/>
      <w:bookmarkStart w:id="724" w:name="_Toc445305658"/>
      <w:bookmarkStart w:id="725" w:name="_Toc445310973"/>
      <w:bookmarkStart w:id="726" w:name="_Toc446686535"/>
      <w:bookmarkStart w:id="727" w:name="_Toc445305659"/>
      <w:bookmarkStart w:id="728" w:name="_Toc445310974"/>
      <w:bookmarkStart w:id="729" w:name="_Toc446686536"/>
      <w:bookmarkStart w:id="730" w:name="_Toc445305660"/>
      <w:bookmarkStart w:id="731" w:name="_Toc445310975"/>
      <w:bookmarkStart w:id="732" w:name="_Toc446686537"/>
      <w:bookmarkStart w:id="733" w:name="_Toc445305663"/>
      <w:bookmarkStart w:id="734" w:name="_Toc445310978"/>
      <w:bookmarkStart w:id="735" w:name="_Toc446686540"/>
      <w:bookmarkStart w:id="736" w:name="_Toc445305664"/>
      <w:bookmarkStart w:id="737" w:name="_Toc445310979"/>
      <w:bookmarkStart w:id="738" w:name="_Toc446686541"/>
      <w:bookmarkStart w:id="739" w:name="_Toc445305665"/>
      <w:bookmarkStart w:id="740" w:name="_Toc445310980"/>
      <w:bookmarkStart w:id="741" w:name="_Toc446686542"/>
      <w:bookmarkStart w:id="742" w:name="_Toc445305666"/>
      <w:bookmarkStart w:id="743" w:name="_Toc445310981"/>
      <w:bookmarkStart w:id="744" w:name="_Toc446686543"/>
      <w:bookmarkStart w:id="745" w:name="_Toc445305667"/>
      <w:bookmarkStart w:id="746" w:name="_Toc445310982"/>
      <w:bookmarkStart w:id="747" w:name="_Toc446686544"/>
      <w:bookmarkStart w:id="748" w:name="_Toc445305668"/>
      <w:bookmarkStart w:id="749" w:name="_Toc445310983"/>
      <w:bookmarkStart w:id="750" w:name="_Toc446686545"/>
      <w:bookmarkStart w:id="751" w:name="_Toc445305669"/>
      <w:bookmarkStart w:id="752" w:name="_Toc445310984"/>
      <w:bookmarkStart w:id="753" w:name="_Toc446686546"/>
      <w:bookmarkStart w:id="754" w:name="_Toc445305670"/>
      <w:bookmarkStart w:id="755" w:name="_Toc445310985"/>
      <w:bookmarkStart w:id="756" w:name="_Toc446686547"/>
      <w:bookmarkStart w:id="757" w:name="_Toc445305671"/>
      <w:bookmarkStart w:id="758" w:name="_Toc445310986"/>
      <w:bookmarkStart w:id="759" w:name="_Toc446686548"/>
      <w:bookmarkStart w:id="760" w:name="_Toc445305672"/>
      <w:bookmarkStart w:id="761" w:name="_Toc445310987"/>
      <w:bookmarkStart w:id="762" w:name="_Toc446686549"/>
      <w:bookmarkStart w:id="763" w:name="_Toc445305675"/>
      <w:bookmarkStart w:id="764" w:name="_Toc445310990"/>
      <w:bookmarkStart w:id="765" w:name="_Toc446686552"/>
      <w:bookmarkStart w:id="766" w:name="_Toc445305676"/>
      <w:bookmarkStart w:id="767" w:name="_Toc445310991"/>
      <w:bookmarkStart w:id="768" w:name="_Toc446686553"/>
      <w:bookmarkStart w:id="769" w:name="_Toc445305677"/>
      <w:bookmarkStart w:id="770" w:name="_Toc445310992"/>
      <w:bookmarkStart w:id="771" w:name="_Toc446686554"/>
      <w:bookmarkStart w:id="772" w:name="_Toc445305678"/>
      <w:bookmarkStart w:id="773" w:name="_Toc445310993"/>
      <w:bookmarkStart w:id="774" w:name="_Toc446686555"/>
      <w:bookmarkStart w:id="775" w:name="_Toc445305679"/>
      <w:bookmarkStart w:id="776" w:name="_Toc445310994"/>
      <w:bookmarkStart w:id="777" w:name="_Toc446686556"/>
      <w:bookmarkStart w:id="778" w:name="_Toc445305680"/>
      <w:bookmarkStart w:id="779" w:name="_Toc445310995"/>
      <w:bookmarkStart w:id="780" w:name="_Toc446686557"/>
      <w:bookmarkStart w:id="781" w:name="_Toc445305681"/>
      <w:bookmarkStart w:id="782" w:name="_Toc445310996"/>
      <w:bookmarkStart w:id="783" w:name="_Toc446686558"/>
      <w:bookmarkStart w:id="784" w:name="_Toc445305682"/>
      <w:bookmarkStart w:id="785" w:name="_Toc445310997"/>
      <w:bookmarkStart w:id="786" w:name="_Toc446686559"/>
      <w:bookmarkStart w:id="787" w:name="_Toc445305683"/>
      <w:bookmarkStart w:id="788" w:name="_Toc445310998"/>
      <w:bookmarkStart w:id="789" w:name="_Toc446686560"/>
      <w:bookmarkStart w:id="790" w:name="_Toc445305684"/>
      <w:bookmarkStart w:id="791" w:name="_Toc445310999"/>
      <w:bookmarkStart w:id="792" w:name="_Toc446686561"/>
      <w:bookmarkStart w:id="793" w:name="_Toc445305685"/>
      <w:bookmarkStart w:id="794" w:name="_Toc445311000"/>
      <w:bookmarkStart w:id="795" w:name="_Toc446686562"/>
      <w:bookmarkStart w:id="796" w:name="_Toc445305686"/>
      <w:bookmarkStart w:id="797" w:name="_Toc445311001"/>
      <w:bookmarkStart w:id="798" w:name="_Toc446686563"/>
      <w:bookmarkStart w:id="799" w:name="_Toc445305687"/>
      <w:bookmarkStart w:id="800" w:name="_Toc445311002"/>
      <w:bookmarkStart w:id="801" w:name="_Toc446686564"/>
      <w:bookmarkStart w:id="802" w:name="_Toc445305688"/>
      <w:bookmarkStart w:id="803" w:name="_Toc445311003"/>
      <w:bookmarkStart w:id="804" w:name="_Toc446686565"/>
      <w:bookmarkStart w:id="805" w:name="_Toc445305689"/>
      <w:bookmarkStart w:id="806" w:name="_Toc445311004"/>
      <w:bookmarkStart w:id="807" w:name="_Toc446686566"/>
      <w:bookmarkStart w:id="808" w:name="_Toc445305690"/>
      <w:bookmarkStart w:id="809" w:name="_Toc445311005"/>
      <w:bookmarkStart w:id="810" w:name="_Toc446686567"/>
      <w:bookmarkStart w:id="811" w:name="_Toc445305691"/>
      <w:bookmarkStart w:id="812" w:name="_Toc445311006"/>
      <w:bookmarkStart w:id="813" w:name="_Toc446686568"/>
      <w:bookmarkStart w:id="814" w:name="_Toc445305692"/>
      <w:bookmarkStart w:id="815" w:name="_Toc445311007"/>
      <w:bookmarkStart w:id="816" w:name="_Toc446686569"/>
      <w:bookmarkStart w:id="817" w:name="_Toc445305693"/>
      <w:bookmarkStart w:id="818" w:name="_Toc445311008"/>
      <w:bookmarkStart w:id="819" w:name="_Toc446686570"/>
      <w:bookmarkStart w:id="820" w:name="_Toc445305694"/>
      <w:bookmarkStart w:id="821" w:name="_Toc445311009"/>
      <w:bookmarkStart w:id="822" w:name="_Toc446686571"/>
      <w:bookmarkStart w:id="823" w:name="_Toc445305695"/>
      <w:bookmarkStart w:id="824" w:name="_Toc445311010"/>
      <w:bookmarkStart w:id="825" w:name="_Toc446686572"/>
      <w:bookmarkStart w:id="826" w:name="_Toc445305696"/>
      <w:bookmarkStart w:id="827" w:name="_Toc445311011"/>
      <w:bookmarkStart w:id="828" w:name="_Toc446686573"/>
      <w:bookmarkStart w:id="829" w:name="_Toc445305697"/>
      <w:bookmarkStart w:id="830" w:name="_Toc445311012"/>
      <w:bookmarkStart w:id="831" w:name="_Toc446686574"/>
      <w:bookmarkStart w:id="832" w:name="_Toc445305698"/>
      <w:bookmarkStart w:id="833" w:name="_Toc445311013"/>
      <w:bookmarkStart w:id="834" w:name="_Toc446686575"/>
      <w:bookmarkStart w:id="835" w:name="_Toc445305699"/>
      <w:bookmarkStart w:id="836" w:name="_Toc445311014"/>
      <w:bookmarkStart w:id="837" w:name="_Toc446686576"/>
      <w:bookmarkStart w:id="838" w:name="_Toc445305700"/>
      <w:bookmarkStart w:id="839" w:name="_Toc445311015"/>
      <w:bookmarkStart w:id="840" w:name="_Toc446686577"/>
      <w:bookmarkStart w:id="841" w:name="_Toc445305701"/>
      <w:bookmarkStart w:id="842" w:name="_Toc445311016"/>
      <w:bookmarkStart w:id="843" w:name="_Toc446686578"/>
      <w:bookmarkStart w:id="844" w:name="_Toc445305702"/>
      <w:bookmarkStart w:id="845" w:name="_Toc445311017"/>
      <w:bookmarkStart w:id="846" w:name="_Toc446686579"/>
      <w:bookmarkStart w:id="847" w:name="_Toc445305703"/>
      <w:bookmarkStart w:id="848" w:name="_Toc445311018"/>
      <w:bookmarkStart w:id="849" w:name="_Toc446686580"/>
      <w:bookmarkStart w:id="850" w:name="_Toc445305704"/>
      <w:bookmarkStart w:id="851" w:name="_Toc445311019"/>
      <w:bookmarkStart w:id="852" w:name="_Toc446686581"/>
      <w:bookmarkStart w:id="853" w:name="_Toc445305705"/>
      <w:bookmarkStart w:id="854" w:name="_Toc445311020"/>
      <w:bookmarkStart w:id="855" w:name="_Toc446686582"/>
      <w:bookmarkStart w:id="856" w:name="_Toc445305706"/>
      <w:bookmarkStart w:id="857" w:name="_Toc445311021"/>
      <w:bookmarkStart w:id="858" w:name="_Toc446686583"/>
      <w:bookmarkStart w:id="859" w:name="_Toc445305707"/>
      <w:bookmarkStart w:id="860" w:name="_Toc445311022"/>
      <w:bookmarkStart w:id="861" w:name="_Toc446686584"/>
      <w:bookmarkStart w:id="862" w:name="_Toc445305708"/>
      <w:bookmarkStart w:id="863" w:name="_Toc445311023"/>
      <w:bookmarkStart w:id="864" w:name="_Toc446686585"/>
      <w:bookmarkStart w:id="865" w:name="_Toc445305709"/>
      <w:bookmarkStart w:id="866" w:name="_Toc445311024"/>
      <w:bookmarkStart w:id="867" w:name="_Toc446686586"/>
      <w:bookmarkStart w:id="868" w:name="_Toc445305710"/>
      <w:bookmarkStart w:id="869" w:name="_Toc445311025"/>
      <w:bookmarkStart w:id="870" w:name="_Toc446686587"/>
      <w:bookmarkStart w:id="871" w:name="_Toc445305711"/>
      <w:bookmarkStart w:id="872" w:name="_Toc445311026"/>
      <w:bookmarkStart w:id="873" w:name="_Toc446686588"/>
      <w:bookmarkStart w:id="874" w:name="_Toc445305712"/>
      <w:bookmarkStart w:id="875" w:name="_Toc445311027"/>
      <w:bookmarkStart w:id="876" w:name="_Toc446686589"/>
      <w:bookmarkStart w:id="877" w:name="_Toc445305713"/>
      <w:bookmarkStart w:id="878" w:name="_Toc445311028"/>
      <w:bookmarkStart w:id="879" w:name="_Toc446686590"/>
      <w:bookmarkStart w:id="880" w:name="_Toc445305714"/>
      <w:bookmarkStart w:id="881" w:name="_Toc445311029"/>
      <w:bookmarkStart w:id="882" w:name="_Toc446686591"/>
      <w:bookmarkStart w:id="883" w:name="_Toc445305715"/>
      <w:bookmarkStart w:id="884" w:name="_Toc445311030"/>
      <w:bookmarkStart w:id="885" w:name="_Toc446686592"/>
      <w:bookmarkStart w:id="886" w:name="_Toc445305716"/>
      <w:bookmarkStart w:id="887" w:name="_Toc445311031"/>
      <w:bookmarkStart w:id="888" w:name="_Toc446686593"/>
      <w:bookmarkStart w:id="889" w:name="_Toc445305717"/>
      <w:bookmarkStart w:id="890" w:name="_Toc445311032"/>
      <w:bookmarkStart w:id="891" w:name="_Toc446686594"/>
      <w:bookmarkStart w:id="892" w:name="_Toc445305718"/>
      <w:bookmarkStart w:id="893" w:name="_Toc445311033"/>
      <w:bookmarkStart w:id="894" w:name="_Toc446686595"/>
      <w:bookmarkStart w:id="895" w:name="_Toc445305719"/>
      <w:bookmarkStart w:id="896" w:name="_Toc445311034"/>
      <w:bookmarkStart w:id="897" w:name="_Toc446686596"/>
      <w:bookmarkStart w:id="898" w:name="_Toc445305720"/>
      <w:bookmarkStart w:id="899" w:name="_Toc445311035"/>
      <w:bookmarkStart w:id="900" w:name="_Toc446686597"/>
      <w:bookmarkStart w:id="901" w:name="_Toc445305721"/>
      <w:bookmarkStart w:id="902" w:name="_Toc445311036"/>
      <w:bookmarkStart w:id="903" w:name="_Toc446686598"/>
      <w:bookmarkStart w:id="904" w:name="_Toc445305722"/>
      <w:bookmarkStart w:id="905" w:name="_Toc445311037"/>
      <w:bookmarkStart w:id="906" w:name="_Toc446686599"/>
      <w:bookmarkStart w:id="907" w:name="_Toc445305723"/>
      <w:bookmarkStart w:id="908" w:name="_Toc445311038"/>
      <w:bookmarkStart w:id="909" w:name="_Toc446686600"/>
      <w:bookmarkStart w:id="910" w:name="_Toc445305724"/>
      <w:bookmarkStart w:id="911" w:name="_Toc445311039"/>
      <w:bookmarkStart w:id="912" w:name="_Toc446686601"/>
      <w:bookmarkStart w:id="913" w:name="_Toc445305725"/>
      <w:bookmarkStart w:id="914" w:name="_Toc445311040"/>
      <w:bookmarkStart w:id="915" w:name="_Toc446686602"/>
      <w:bookmarkStart w:id="916" w:name="_Toc445305726"/>
      <w:bookmarkStart w:id="917" w:name="_Toc445311041"/>
      <w:bookmarkStart w:id="918" w:name="_Toc446686603"/>
      <w:bookmarkStart w:id="919" w:name="_Toc445305727"/>
      <w:bookmarkStart w:id="920" w:name="_Toc445311042"/>
      <w:bookmarkStart w:id="921" w:name="_Toc446686604"/>
      <w:bookmarkStart w:id="922" w:name="_Toc445305728"/>
      <w:bookmarkStart w:id="923" w:name="_Toc445311043"/>
      <w:bookmarkStart w:id="924" w:name="_Toc446686605"/>
      <w:bookmarkStart w:id="925" w:name="_Toc445305729"/>
      <w:bookmarkStart w:id="926" w:name="_Toc445311044"/>
      <w:bookmarkStart w:id="927" w:name="_Toc446686606"/>
      <w:bookmarkStart w:id="928" w:name="_Toc445305730"/>
      <w:bookmarkStart w:id="929" w:name="_Toc445311045"/>
      <w:bookmarkStart w:id="930" w:name="_Toc446686607"/>
      <w:bookmarkStart w:id="931" w:name="_Toc445305731"/>
      <w:bookmarkStart w:id="932" w:name="_Toc445311046"/>
      <w:bookmarkStart w:id="933" w:name="_Toc446686608"/>
      <w:bookmarkStart w:id="934" w:name="_Toc445305732"/>
      <w:bookmarkStart w:id="935" w:name="_Toc445311047"/>
      <w:bookmarkStart w:id="936" w:name="_Toc446686609"/>
      <w:bookmarkStart w:id="937" w:name="_Toc445305733"/>
      <w:bookmarkStart w:id="938" w:name="_Toc445311048"/>
      <w:bookmarkStart w:id="939" w:name="_Toc446686610"/>
      <w:bookmarkStart w:id="940" w:name="_Toc445305734"/>
      <w:bookmarkStart w:id="941" w:name="_Toc445311049"/>
      <w:bookmarkStart w:id="942" w:name="_Toc446686611"/>
      <w:bookmarkStart w:id="943" w:name="_Toc445305735"/>
      <w:bookmarkStart w:id="944" w:name="_Toc445311050"/>
      <w:bookmarkStart w:id="945" w:name="_Toc446686612"/>
      <w:bookmarkStart w:id="946" w:name="_Toc445305736"/>
      <w:bookmarkStart w:id="947" w:name="_Toc445311051"/>
      <w:bookmarkStart w:id="948" w:name="_Toc446686613"/>
      <w:bookmarkStart w:id="949" w:name="_Toc445305737"/>
      <w:bookmarkStart w:id="950" w:name="_Toc445311052"/>
      <w:bookmarkStart w:id="951" w:name="_Toc446686614"/>
      <w:bookmarkStart w:id="952" w:name="_Toc445305738"/>
      <w:bookmarkStart w:id="953" w:name="_Toc445311053"/>
      <w:bookmarkStart w:id="954" w:name="_Toc446686615"/>
      <w:bookmarkStart w:id="955" w:name="_Toc445305739"/>
      <w:bookmarkStart w:id="956" w:name="_Toc445311054"/>
      <w:bookmarkStart w:id="957" w:name="_Toc446686616"/>
      <w:bookmarkStart w:id="958" w:name="_Toc445305740"/>
      <w:bookmarkStart w:id="959" w:name="_Toc445311055"/>
      <w:bookmarkStart w:id="960" w:name="_Toc446686617"/>
      <w:bookmarkStart w:id="961" w:name="_Toc445305741"/>
      <w:bookmarkStart w:id="962" w:name="_Toc445311056"/>
      <w:bookmarkStart w:id="963" w:name="_Toc446686618"/>
      <w:bookmarkStart w:id="964" w:name="_Toc445305742"/>
      <w:bookmarkStart w:id="965" w:name="_Toc445311057"/>
      <w:bookmarkStart w:id="966" w:name="_Toc446686619"/>
      <w:bookmarkStart w:id="967" w:name="_Toc445305743"/>
      <w:bookmarkStart w:id="968" w:name="_Toc445311058"/>
      <w:bookmarkStart w:id="969" w:name="_Toc446686620"/>
      <w:bookmarkStart w:id="970" w:name="_Toc445305744"/>
      <w:bookmarkStart w:id="971" w:name="_Toc445311059"/>
      <w:bookmarkStart w:id="972" w:name="_Toc446686621"/>
      <w:bookmarkStart w:id="973" w:name="_Toc445305745"/>
      <w:bookmarkStart w:id="974" w:name="_Toc445311060"/>
      <w:bookmarkStart w:id="975" w:name="_Toc446686622"/>
      <w:bookmarkStart w:id="976" w:name="_Toc445305746"/>
      <w:bookmarkStart w:id="977" w:name="_Toc445311061"/>
      <w:bookmarkStart w:id="978" w:name="_Toc446686623"/>
      <w:bookmarkStart w:id="979" w:name="_Toc445305747"/>
      <w:bookmarkStart w:id="980" w:name="_Toc445311062"/>
      <w:bookmarkStart w:id="981" w:name="_Toc446686624"/>
      <w:bookmarkStart w:id="982" w:name="_Toc445305748"/>
      <w:bookmarkStart w:id="983" w:name="_Toc445311063"/>
      <w:bookmarkStart w:id="984" w:name="_Toc446686625"/>
      <w:bookmarkStart w:id="985" w:name="_Toc445305749"/>
      <w:bookmarkStart w:id="986" w:name="_Toc445311064"/>
      <w:bookmarkStart w:id="987" w:name="_Toc446686626"/>
      <w:bookmarkStart w:id="988" w:name="_Toc445305750"/>
      <w:bookmarkStart w:id="989" w:name="_Toc445311065"/>
      <w:bookmarkStart w:id="990" w:name="_Toc446686627"/>
      <w:bookmarkStart w:id="991" w:name="_Toc445305751"/>
      <w:bookmarkStart w:id="992" w:name="_Toc445311066"/>
      <w:bookmarkStart w:id="993" w:name="_Toc446686628"/>
      <w:bookmarkStart w:id="994" w:name="_Toc445305752"/>
      <w:bookmarkStart w:id="995" w:name="_Toc445311067"/>
      <w:bookmarkStart w:id="996" w:name="_Toc446686629"/>
      <w:bookmarkStart w:id="997" w:name="_Toc445305753"/>
      <w:bookmarkStart w:id="998" w:name="_Toc445311068"/>
      <w:bookmarkStart w:id="999" w:name="_Toc446686630"/>
      <w:bookmarkStart w:id="1000" w:name="_Toc445305754"/>
      <w:bookmarkStart w:id="1001" w:name="_Toc445311069"/>
      <w:bookmarkStart w:id="1002" w:name="_Toc446686631"/>
      <w:bookmarkStart w:id="1003" w:name="_Toc445305755"/>
      <w:bookmarkStart w:id="1004" w:name="_Toc445311070"/>
      <w:bookmarkStart w:id="1005" w:name="_Toc446686632"/>
      <w:bookmarkStart w:id="1006" w:name="_Toc445305756"/>
      <w:bookmarkStart w:id="1007" w:name="_Toc445311071"/>
      <w:bookmarkStart w:id="1008" w:name="_Toc446686633"/>
      <w:bookmarkStart w:id="1009" w:name="_Toc445305757"/>
      <w:bookmarkStart w:id="1010" w:name="_Toc445311072"/>
      <w:bookmarkStart w:id="1011" w:name="_Toc446686634"/>
      <w:bookmarkStart w:id="1012" w:name="_Toc445305758"/>
      <w:bookmarkStart w:id="1013" w:name="_Toc445311073"/>
      <w:bookmarkStart w:id="1014" w:name="_Toc446686635"/>
      <w:bookmarkStart w:id="1015" w:name="_Toc445305759"/>
      <w:bookmarkStart w:id="1016" w:name="_Toc445311074"/>
      <w:bookmarkStart w:id="1017" w:name="_Toc446686636"/>
      <w:bookmarkStart w:id="1018" w:name="_Toc445305760"/>
      <w:bookmarkStart w:id="1019" w:name="_Toc445311075"/>
      <w:bookmarkStart w:id="1020" w:name="_Toc446686637"/>
      <w:bookmarkStart w:id="1021" w:name="_Toc445305761"/>
      <w:bookmarkStart w:id="1022" w:name="_Toc445311076"/>
      <w:bookmarkStart w:id="1023" w:name="_Toc446686638"/>
      <w:bookmarkStart w:id="1024" w:name="_Toc445305762"/>
      <w:bookmarkStart w:id="1025" w:name="_Toc445311077"/>
      <w:bookmarkStart w:id="1026" w:name="_Toc446686639"/>
      <w:bookmarkStart w:id="1027" w:name="_Toc445305763"/>
      <w:bookmarkStart w:id="1028" w:name="_Toc445311078"/>
      <w:bookmarkStart w:id="1029" w:name="_Toc446686640"/>
      <w:bookmarkStart w:id="1030" w:name="_Toc445305764"/>
      <w:bookmarkStart w:id="1031" w:name="_Toc445311079"/>
      <w:bookmarkStart w:id="1032" w:name="_Toc446686641"/>
      <w:bookmarkStart w:id="1033" w:name="_Toc445305765"/>
      <w:bookmarkStart w:id="1034" w:name="_Toc445311080"/>
      <w:bookmarkStart w:id="1035" w:name="_Toc446686642"/>
      <w:bookmarkStart w:id="1036" w:name="_Toc445305766"/>
      <w:bookmarkStart w:id="1037" w:name="_Toc445311081"/>
      <w:bookmarkStart w:id="1038" w:name="_Toc446686643"/>
      <w:bookmarkStart w:id="1039" w:name="_Toc445305767"/>
      <w:bookmarkStart w:id="1040" w:name="_Toc445311082"/>
      <w:bookmarkStart w:id="1041" w:name="_Toc446686644"/>
      <w:bookmarkStart w:id="1042" w:name="_Toc445305768"/>
      <w:bookmarkStart w:id="1043" w:name="_Toc445311083"/>
      <w:bookmarkStart w:id="1044" w:name="_Toc446686645"/>
      <w:bookmarkStart w:id="1045" w:name="_Toc445305769"/>
      <w:bookmarkStart w:id="1046" w:name="_Toc445311084"/>
      <w:bookmarkStart w:id="1047" w:name="_Toc446686646"/>
      <w:bookmarkStart w:id="1048" w:name="_Toc445305770"/>
      <w:bookmarkStart w:id="1049" w:name="_Toc445311085"/>
      <w:bookmarkStart w:id="1050" w:name="_Toc446686647"/>
      <w:bookmarkStart w:id="1051" w:name="_Toc445305771"/>
      <w:bookmarkStart w:id="1052" w:name="_Toc445311086"/>
      <w:bookmarkStart w:id="1053" w:name="_Toc446686648"/>
      <w:bookmarkStart w:id="1054" w:name="_Toc445305772"/>
      <w:bookmarkStart w:id="1055" w:name="_Toc445311087"/>
      <w:bookmarkStart w:id="1056" w:name="_Toc446686649"/>
      <w:bookmarkStart w:id="1057" w:name="_Toc445305773"/>
      <w:bookmarkStart w:id="1058" w:name="_Toc445311088"/>
      <w:bookmarkStart w:id="1059" w:name="_Toc446686650"/>
      <w:bookmarkStart w:id="1060" w:name="_Toc445305774"/>
      <w:bookmarkStart w:id="1061" w:name="_Toc445311089"/>
      <w:bookmarkStart w:id="1062" w:name="_Toc446686651"/>
      <w:bookmarkStart w:id="1063" w:name="_Toc445305775"/>
      <w:bookmarkStart w:id="1064" w:name="_Toc445311090"/>
      <w:bookmarkStart w:id="1065" w:name="_Toc446686652"/>
      <w:bookmarkStart w:id="1066" w:name="_Toc445305776"/>
      <w:bookmarkStart w:id="1067" w:name="_Toc445311091"/>
      <w:bookmarkStart w:id="1068" w:name="_Toc446686653"/>
      <w:bookmarkStart w:id="1069" w:name="_Toc445305777"/>
      <w:bookmarkStart w:id="1070" w:name="_Toc445311092"/>
      <w:bookmarkStart w:id="1071" w:name="_Toc446686654"/>
      <w:bookmarkStart w:id="1072" w:name="_Toc445305778"/>
      <w:bookmarkStart w:id="1073" w:name="_Toc445311093"/>
      <w:bookmarkStart w:id="1074" w:name="_Toc446686655"/>
      <w:bookmarkStart w:id="1075" w:name="_Toc445305779"/>
      <w:bookmarkStart w:id="1076" w:name="_Toc445311094"/>
      <w:bookmarkStart w:id="1077" w:name="_Toc446686656"/>
      <w:bookmarkStart w:id="1078" w:name="_Toc445305780"/>
      <w:bookmarkStart w:id="1079" w:name="_Toc445311095"/>
      <w:bookmarkStart w:id="1080" w:name="_Toc446686657"/>
      <w:bookmarkStart w:id="1081" w:name="_Toc445305781"/>
      <w:bookmarkStart w:id="1082" w:name="_Toc445311096"/>
      <w:bookmarkStart w:id="1083" w:name="_Toc446686658"/>
      <w:bookmarkStart w:id="1084" w:name="_Toc445305782"/>
      <w:bookmarkStart w:id="1085" w:name="_Toc445311097"/>
      <w:bookmarkStart w:id="1086" w:name="_Toc446686659"/>
      <w:bookmarkStart w:id="1087" w:name="_Toc445305783"/>
      <w:bookmarkStart w:id="1088" w:name="_Toc445311098"/>
      <w:bookmarkStart w:id="1089" w:name="_Toc446686660"/>
      <w:bookmarkStart w:id="1090" w:name="_Toc445305784"/>
      <w:bookmarkStart w:id="1091" w:name="_Toc445311099"/>
      <w:bookmarkStart w:id="1092" w:name="_Toc446686661"/>
      <w:bookmarkStart w:id="1093" w:name="_Toc445305785"/>
      <w:bookmarkStart w:id="1094" w:name="_Toc445311100"/>
      <w:bookmarkStart w:id="1095" w:name="_Toc446686662"/>
      <w:bookmarkStart w:id="1096" w:name="_Toc445305786"/>
      <w:bookmarkStart w:id="1097" w:name="_Toc445311101"/>
      <w:bookmarkStart w:id="1098" w:name="_Toc446686663"/>
      <w:bookmarkStart w:id="1099" w:name="_Toc445305787"/>
      <w:bookmarkStart w:id="1100" w:name="_Toc445311102"/>
      <w:bookmarkStart w:id="1101" w:name="_Toc446686664"/>
      <w:bookmarkStart w:id="1102" w:name="_Toc445305788"/>
      <w:bookmarkStart w:id="1103" w:name="_Toc445311103"/>
      <w:bookmarkStart w:id="1104" w:name="_Toc446686665"/>
      <w:bookmarkStart w:id="1105" w:name="_Toc445305789"/>
      <w:bookmarkStart w:id="1106" w:name="_Toc445311104"/>
      <w:bookmarkStart w:id="1107" w:name="_Toc446686666"/>
      <w:bookmarkStart w:id="1108" w:name="_Toc445305790"/>
      <w:bookmarkStart w:id="1109" w:name="_Toc445311105"/>
      <w:bookmarkStart w:id="1110" w:name="_Toc446686667"/>
      <w:bookmarkStart w:id="1111" w:name="_Toc445305791"/>
      <w:bookmarkStart w:id="1112" w:name="_Toc445311106"/>
      <w:bookmarkStart w:id="1113" w:name="_Toc446686668"/>
      <w:bookmarkStart w:id="1114" w:name="_Toc445305792"/>
      <w:bookmarkStart w:id="1115" w:name="_Toc445311107"/>
      <w:bookmarkStart w:id="1116" w:name="_Toc446686669"/>
      <w:bookmarkStart w:id="1117" w:name="_Toc445305793"/>
      <w:bookmarkStart w:id="1118" w:name="_Toc445311108"/>
      <w:bookmarkStart w:id="1119" w:name="_Toc446686670"/>
      <w:bookmarkStart w:id="1120" w:name="_Toc445305794"/>
      <w:bookmarkStart w:id="1121" w:name="_Toc445311109"/>
      <w:bookmarkStart w:id="1122" w:name="_Toc446686671"/>
      <w:bookmarkStart w:id="1123" w:name="_Toc445305795"/>
      <w:bookmarkStart w:id="1124" w:name="_Toc445311110"/>
      <w:bookmarkStart w:id="1125" w:name="_Toc446686672"/>
      <w:bookmarkStart w:id="1126" w:name="_Toc445305796"/>
      <w:bookmarkStart w:id="1127" w:name="_Toc445311111"/>
      <w:bookmarkStart w:id="1128" w:name="_Toc446686673"/>
      <w:bookmarkStart w:id="1129" w:name="_Toc445305797"/>
      <w:bookmarkStart w:id="1130" w:name="_Toc445311112"/>
      <w:bookmarkStart w:id="1131" w:name="_Toc446686674"/>
      <w:bookmarkStart w:id="1132" w:name="_Toc445305798"/>
      <w:bookmarkStart w:id="1133" w:name="_Toc445311113"/>
      <w:bookmarkStart w:id="1134" w:name="_Toc446686675"/>
      <w:bookmarkStart w:id="1135" w:name="_Toc445305799"/>
      <w:bookmarkStart w:id="1136" w:name="_Toc445311114"/>
      <w:bookmarkStart w:id="1137" w:name="_Toc446686676"/>
      <w:bookmarkStart w:id="1138" w:name="_Toc445305800"/>
      <w:bookmarkStart w:id="1139" w:name="_Toc445311115"/>
      <w:bookmarkStart w:id="1140" w:name="_Toc446686677"/>
      <w:bookmarkStart w:id="1141" w:name="_Toc445305801"/>
      <w:bookmarkStart w:id="1142" w:name="_Toc445311116"/>
      <w:bookmarkStart w:id="1143" w:name="_Toc446686678"/>
      <w:bookmarkStart w:id="1144" w:name="_Toc445305802"/>
      <w:bookmarkStart w:id="1145" w:name="_Toc445311117"/>
      <w:bookmarkStart w:id="1146" w:name="_Toc446686679"/>
      <w:bookmarkStart w:id="1147" w:name="_Toc445305803"/>
      <w:bookmarkStart w:id="1148" w:name="_Toc445311118"/>
      <w:bookmarkStart w:id="1149" w:name="_Toc446686680"/>
      <w:bookmarkStart w:id="1150" w:name="_Toc445305804"/>
      <w:bookmarkStart w:id="1151" w:name="_Toc445311119"/>
      <w:bookmarkStart w:id="1152" w:name="_Toc446686681"/>
      <w:bookmarkStart w:id="1153" w:name="_Toc445305811"/>
      <w:bookmarkStart w:id="1154" w:name="_Toc445311126"/>
      <w:bookmarkStart w:id="1155" w:name="_Toc446686688"/>
      <w:bookmarkStart w:id="1156" w:name="_Toc445305812"/>
      <w:bookmarkStart w:id="1157" w:name="_Toc445311127"/>
      <w:bookmarkStart w:id="1158" w:name="_Toc446686689"/>
      <w:bookmarkStart w:id="1159" w:name="_Toc445305813"/>
      <w:bookmarkStart w:id="1160" w:name="_Toc445311128"/>
      <w:bookmarkStart w:id="1161" w:name="_Toc446686690"/>
      <w:bookmarkStart w:id="1162" w:name="_Toc445305814"/>
      <w:bookmarkStart w:id="1163" w:name="_Toc445311129"/>
      <w:bookmarkStart w:id="1164" w:name="_Toc446686691"/>
      <w:bookmarkStart w:id="1165" w:name="_Toc445305815"/>
      <w:bookmarkStart w:id="1166" w:name="_Toc445311130"/>
      <w:bookmarkStart w:id="1167" w:name="_Toc446686692"/>
      <w:bookmarkStart w:id="1168" w:name="_Toc445305816"/>
      <w:bookmarkStart w:id="1169" w:name="_Toc445311131"/>
      <w:bookmarkStart w:id="1170" w:name="_Toc446686693"/>
      <w:bookmarkStart w:id="1171" w:name="_Toc445305817"/>
      <w:bookmarkStart w:id="1172" w:name="_Toc445311132"/>
      <w:bookmarkStart w:id="1173" w:name="_Toc446686694"/>
      <w:bookmarkStart w:id="1174" w:name="_Toc445305818"/>
      <w:bookmarkStart w:id="1175" w:name="_Toc445311133"/>
      <w:bookmarkStart w:id="1176" w:name="_Toc446686695"/>
      <w:bookmarkStart w:id="1177" w:name="_Toc445305819"/>
      <w:bookmarkStart w:id="1178" w:name="_Toc445311134"/>
      <w:bookmarkStart w:id="1179" w:name="_Toc446686696"/>
      <w:bookmarkStart w:id="1180" w:name="_Toc445305820"/>
      <w:bookmarkStart w:id="1181" w:name="_Toc445311135"/>
      <w:bookmarkStart w:id="1182" w:name="_Toc446686697"/>
      <w:bookmarkStart w:id="1183" w:name="_Toc445305821"/>
      <w:bookmarkStart w:id="1184" w:name="_Toc445311136"/>
      <w:bookmarkStart w:id="1185" w:name="_Toc446686698"/>
      <w:bookmarkStart w:id="1186" w:name="_Toc445305822"/>
      <w:bookmarkStart w:id="1187" w:name="_Toc445311137"/>
      <w:bookmarkStart w:id="1188" w:name="_Toc446686699"/>
      <w:bookmarkStart w:id="1189" w:name="_Toc445305823"/>
      <w:bookmarkStart w:id="1190" w:name="_Toc445311138"/>
      <w:bookmarkStart w:id="1191" w:name="_Toc446686700"/>
      <w:bookmarkStart w:id="1192" w:name="_Toc445305824"/>
      <w:bookmarkStart w:id="1193" w:name="_Toc445311139"/>
      <w:bookmarkStart w:id="1194" w:name="_Toc446686701"/>
      <w:bookmarkStart w:id="1195" w:name="_Toc445305825"/>
      <w:bookmarkStart w:id="1196" w:name="_Toc445311140"/>
      <w:bookmarkStart w:id="1197" w:name="_Toc446686702"/>
      <w:bookmarkStart w:id="1198" w:name="_Toc445305826"/>
      <w:bookmarkStart w:id="1199" w:name="_Toc445311141"/>
      <w:bookmarkStart w:id="1200" w:name="_Toc446686703"/>
      <w:bookmarkStart w:id="1201" w:name="_Toc445305827"/>
      <w:bookmarkStart w:id="1202" w:name="_Toc445311142"/>
      <w:bookmarkStart w:id="1203" w:name="_Toc446686704"/>
      <w:bookmarkStart w:id="1204" w:name="_Toc445305828"/>
      <w:bookmarkStart w:id="1205" w:name="_Toc445311143"/>
      <w:bookmarkStart w:id="1206" w:name="_Toc446686705"/>
      <w:bookmarkStart w:id="1207" w:name="_Toc445305829"/>
      <w:bookmarkStart w:id="1208" w:name="_Toc445311144"/>
      <w:bookmarkStart w:id="1209" w:name="_Toc446686706"/>
      <w:bookmarkStart w:id="1210" w:name="_Toc445305830"/>
      <w:bookmarkStart w:id="1211" w:name="_Toc445311145"/>
      <w:bookmarkStart w:id="1212" w:name="_Toc446686707"/>
      <w:bookmarkStart w:id="1213" w:name="_Toc445305831"/>
      <w:bookmarkStart w:id="1214" w:name="_Toc445311146"/>
      <w:bookmarkStart w:id="1215" w:name="_Toc446686708"/>
      <w:bookmarkStart w:id="1216" w:name="_Toc445305832"/>
      <w:bookmarkStart w:id="1217" w:name="_Toc445311147"/>
      <w:bookmarkStart w:id="1218" w:name="_Toc446686709"/>
      <w:bookmarkStart w:id="1219" w:name="_Toc445305833"/>
      <w:bookmarkStart w:id="1220" w:name="_Toc445311148"/>
      <w:bookmarkStart w:id="1221" w:name="_Toc446686710"/>
      <w:bookmarkStart w:id="1222" w:name="_Toc445305834"/>
      <w:bookmarkStart w:id="1223" w:name="_Toc445311149"/>
      <w:bookmarkStart w:id="1224" w:name="_Toc446686711"/>
      <w:bookmarkStart w:id="1225" w:name="_Toc445305835"/>
      <w:bookmarkStart w:id="1226" w:name="_Toc445311150"/>
      <w:bookmarkStart w:id="1227" w:name="_Toc446686712"/>
      <w:bookmarkStart w:id="1228" w:name="_Toc445305836"/>
      <w:bookmarkStart w:id="1229" w:name="_Toc445311151"/>
      <w:bookmarkStart w:id="1230" w:name="_Toc446686713"/>
      <w:bookmarkStart w:id="1231" w:name="_Toc445305837"/>
      <w:bookmarkStart w:id="1232" w:name="_Toc445311152"/>
      <w:bookmarkStart w:id="1233" w:name="_Toc446686714"/>
      <w:bookmarkStart w:id="1234" w:name="_Toc445305838"/>
      <w:bookmarkStart w:id="1235" w:name="_Toc445311153"/>
      <w:bookmarkStart w:id="1236" w:name="_Toc446686715"/>
      <w:bookmarkStart w:id="1237" w:name="_Toc445305839"/>
      <w:bookmarkStart w:id="1238" w:name="_Toc445311154"/>
      <w:bookmarkStart w:id="1239" w:name="_Toc446686716"/>
      <w:bookmarkStart w:id="1240" w:name="_Toc445305840"/>
      <w:bookmarkStart w:id="1241" w:name="_Toc445311155"/>
      <w:bookmarkStart w:id="1242" w:name="_Toc446686717"/>
      <w:bookmarkStart w:id="1243" w:name="_Toc445305841"/>
      <w:bookmarkStart w:id="1244" w:name="_Toc445311156"/>
      <w:bookmarkStart w:id="1245" w:name="_Toc446686718"/>
      <w:bookmarkStart w:id="1246" w:name="_Toc445305842"/>
      <w:bookmarkStart w:id="1247" w:name="_Toc445311157"/>
      <w:bookmarkStart w:id="1248" w:name="_Toc446686719"/>
      <w:bookmarkStart w:id="1249" w:name="_Toc445305843"/>
      <w:bookmarkStart w:id="1250" w:name="_Toc445311158"/>
      <w:bookmarkStart w:id="1251" w:name="_Toc446686720"/>
      <w:bookmarkStart w:id="1252" w:name="_Toc445305844"/>
      <w:bookmarkStart w:id="1253" w:name="_Toc445311159"/>
      <w:bookmarkStart w:id="1254" w:name="_Toc446686721"/>
      <w:bookmarkStart w:id="1255" w:name="_Toc445305845"/>
      <w:bookmarkStart w:id="1256" w:name="_Toc445311160"/>
      <w:bookmarkStart w:id="1257" w:name="_Toc446686722"/>
      <w:bookmarkStart w:id="1258" w:name="_Toc445305846"/>
      <w:bookmarkStart w:id="1259" w:name="_Toc445311161"/>
      <w:bookmarkStart w:id="1260" w:name="_Toc446686723"/>
      <w:bookmarkStart w:id="1261" w:name="_Toc445305847"/>
      <w:bookmarkStart w:id="1262" w:name="_Toc445311162"/>
      <w:bookmarkStart w:id="1263" w:name="_Toc446686724"/>
      <w:bookmarkStart w:id="1264" w:name="_Toc445305848"/>
      <w:bookmarkStart w:id="1265" w:name="_Toc445311163"/>
      <w:bookmarkStart w:id="1266" w:name="_Toc446686725"/>
      <w:bookmarkStart w:id="1267" w:name="_Toc445305849"/>
      <w:bookmarkStart w:id="1268" w:name="_Toc445311164"/>
      <w:bookmarkStart w:id="1269" w:name="_Toc446686726"/>
      <w:bookmarkStart w:id="1270" w:name="_Toc445305850"/>
      <w:bookmarkStart w:id="1271" w:name="_Toc445311165"/>
      <w:bookmarkStart w:id="1272" w:name="_Toc446686727"/>
      <w:bookmarkStart w:id="1273" w:name="_Toc445305851"/>
      <w:bookmarkStart w:id="1274" w:name="_Toc445311166"/>
      <w:bookmarkStart w:id="1275" w:name="_Toc446686728"/>
      <w:bookmarkStart w:id="1276" w:name="_Toc445305852"/>
      <w:bookmarkStart w:id="1277" w:name="_Toc445311167"/>
      <w:bookmarkStart w:id="1278" w:name="_Toc446686729"/>
      <w:bookmarkStart w:id="1279" w:name="_Toc445305853"/>
      <w:bookmarkStart w:id="1280" w:name="_Toc445311168"/>
      <w:bookmarkStart w:id="1281" w:name="_Toc446686730"/>
      <w:bookmarkStart w:id="1282" w:name="_Toc445305854"/>
      <w:bookmarkStart w:id="1283" w:name="_Toc445311169"/>
      <w:bookmarkStart w:id="1284" w:name="_Toc446686731"/>
      <w:bookmarkStart w:id="1285" w:name="_Toc445305855"/>
      <w:bookmarkStart w:id="1286" w:name="_Toc445311170"/>
      <w:bookmarkStart w:id="1287" w:name="_Toc446686732"/>
      <w:bookmarkStart w:id="1288" w:name="_Toc445305856"/>
      <w:bookmarkStart w:id="1289" w:name="_Toc445311171"/>
      <w:bookmarkStart w:id="1290" w:name="_Toc446686733"/>
      <w:bookmarkStart w:id="1291" w:name="_Toc445305857"/>
      <w:bookmarkStart w:id="1292" w:name="_Toc445311172"/>
      <w:bookmarkStart w:id="1293" w:name="_Toc446686734"/>
      <w:bookmarkStart w:id="1294" w:name="_Toc445305875"/>
      <w:bookmarkStart w:id="1295" w:name="_Toc445311191"/>
      <w:bookmarkStart w:id="1296" w:name="_Toc446686753"/>
      <w:bookmarkStart w:id="1297" w:name="_Toc445305876"/>
      <w:bookmarkStart w:id="1298" w:name="_Toc445311192"/>
      <w:bookmarkStart w:id="1299" w:name="_Toc446686754"/>
      <w:bookmarkStart w:id="1300" w:name="_Toc445305877"/>
      <w:bookmarkStart w:id="1301" w:name="_Toc445311193"/>
      <w:bookmarkStart w:id="1302" w:name="_Toc446686755"/>
      <w:bookmarkStart w:id="1303" w:name="_Toc445305878"/>
      <w:bookmarkStart w:id="1304" w:name="_Toc445311194"/>
      <w:bookmarkStart w:id="1305" w:name="_Toc446686756"/>
      <w:bookmarkStart w:id="1306" w:name="_Toc445305879"/>
      <w:bookmarkStart w:id="1307" w:name="_Toc445311195"/>
      <w:bookmarkStart w:id="1308" w:name="_Toc446686757"/>
      <w:bookmarkStart w:id="1309" w:name="_Toc445305880"/>
      <w:bookmarkStart w:id="1310" w:name="_Toc445311196"/>
      <w:bookmarkStart w:id="1311" w:name="_Toc446686758"/>
      <w:bookmarkStart w:id="1312" w:name="_Toc445305881"/>
      <w:bookmarkStart w:id="1313" w:name="_Toc445311197"/>
      <w:bookmarkStart w:id="1314" w:name="_Toc446686759"/>
      <w:bookmarkStart w:id="1315" w:name="_Toc445305882"/>
      <w:bookmarkStart w:id="1316" w:name="_Toc445311198"/>
      <w:bookmarkStart w:id="1317" w:name="_Toc446686760"/>
      <w:bookmarkStart w:id="1318" w:name="_Toc445305883"/>
      <w:bookmarkStart w:id="1319" w:name="_Toc445311199"/>
      <w:bookmarkStart w:id="1320" w:name="_Toc446686761"/>
      <w:bookmarkStart w:id="1321" w:name="_Toc445305884"/>
      <w:bookmarkStart w:id="1322" w:name="_Toc445311200"/>
      <w:bookmarkStart w:id="1323" w:name="_Toc446686762"/>
      <w:bookmarkStart w:id="1324" w:name="_Toc445305885"/>
      <w:bookmarkStart w:id="1325" w:name="_Toc445311201"/>
      <w:bookmarkStart w:id="1326" w:name="_Toc446686763"/>
      <w:bookmarkStart w:id="1327" w:name="_Toc445305886"/>
      <w:bookmarkStart w:id="1328" w:name="_Toc445311202"/>
      <w:bookmarkStart w:id="1329" w:name="_Toc446686764"/>
      <w:bookmarkStart w:id="1330" w:name="_Toc445305887"/>
      <w:bookmarkStart w:id="1331" w:name="_Toc445311203"/>
      <w:bookmarkStart w:id="1332" w:name="_Toc446686765"/>
      <w:bookmarkStart w:id="1333" w:name="_Toc445305888"/>
      <w:bookmarkStart w:id="1334" w:name="_Toc445311204"/>
      <w:bookmarkStart w:id="1335" w:name="_Toc446686766"/>
      <w:bookmarkStart w:id="1336" w:name="_Toc445305889"/>
      <w:bookmarkStart w:id="1337" w:name="_Toc445311205"/>
      <w:bookmarkStart w:id="1338" w:name="_Toc446686767"/>
      <w:bookmarkStart w:id="1339" w:name="_Toc445305890"/>
      <w:bookmarkStart w:id="1340" w:name="_Toc445311206"/>
      <w:bookmarkStart w:id="1341" w:name="_Toc446686768"/>
      <w:bookmarkStart w:id="1342" w:name="_Toc445305891"/>
      <w:bookmarkStart w:id="1343" w:name="_Toc445311207"/>
      <w:bookmarkStart w:id="1344" w:name="_Toc446686769"/>
      <w:bookmarkStart w:id="1345" w:name="_Toc445305892"/>
      <w:bookmarkStart w:id="1346" w:name="_Toc445311208"/>
      <w:bookmarkStart w:id="1347" w:name="_Toc446686770"/>
      <w:bookmarkStart w:id="1348" w:name="_Toc445305893"/>
      <w:bookmarkStart w:id="1349" w:name="_Toc445311209"/>
      <w:bookmarkStart w:id="1350" w:name="_Toc446686771"/>
      <w:bookmarkStart w:id="1351" w:name="_Toc445305894"/>
      <w:bookmarkStart w:id="1352" w:name="_Toc445311210"/>
      <w:bookmarkStart w:id="1353" w:name="_Toc446686772"/>
      <w:bookmarkStart w:id="1354" w:name="_Toc445305895"/>
      <w:bookmarkStart w:id="1355" w:name="_Toc445311211"/>
      <w:bookmarkStart w:id="1356" w:name="_Toc446686773"/>
      <w:bookmarkStart w:id="1357" w:name="_Toc445305896"/>
      <w:bookmarkStart w:id="1358" w:name="_Toc445311212"/>
      <w:bookmarkStart w:id="1359" w:name="_Toc446686774"/>
      <w:bookmarkStart w:id="1360" w:name="_Toc445305897"/>
      <w:bookmarkStart w:id="1361" w:name="_Toc445311213"/>
      <w:bookmarkStart w:id="1362" w:name="_Toc446686775"/>
      <w:bookmarkStart w:id="1363" w:name="_Toc445305898"/>
      <w:bookmarkStart w:id="1364" w:name="_Toc445311214"/>
      <w:bookmarkStart w:id="1365" w:name="_Toc446686776"/>
      <w:bookmarkStart w:id="1366" w:name="_Toc445305899"/>
      <w:bookmarkStart w:id="1367" w:name="_Toc445311215"/>
      <w:bookmarkStart w:id="1368" w:name="_Toc446686777"/>
      <w:bookmarkStart w:id="1369" w:name="_Toc445305900"/>
      <w:bookmarkStart w:id="1370" w:name="_Toc445311216"/>
      <w:bookmarkStart w:id="1371" w:name="_Toc446686778"/>
      <w:bookmarkStart w:id="1372" w:name="_Toc445305901"/>
      <w:bookmarkStart w:id="1373" w:name="_Toc445311217"/>
      <w:bookmarkStart w:id="1374" w:name="_Toc446686779"/>
      <w:bookmarkStart w:id="1375" w:name="_Toc445305902"/>
      <w:bookmarkStart w:id="1376" w:name="_Toc445311218"/>
      <w:bookmarkStart w:id="1377" w:name="_Toc446686780"/>
      <w:bookmarkStart w:id="1378" w:name="_Toc445305903"/>
      <w:bookmarkStart w:id="1379" w:name="_Toc445311219"/>
      <w:bookmarkStart w:id="1380" w:name="_Toc446686781"/>
      <w:bookmarkStart w:id="1381" w:name="_Toc445305904"/>
      <w:bookmarkStart w:id="1382" w:name="_Toc445311220"/>
      <w:bookmarkStart w:id="1383" w:name="_Toc446686782"/>
      <w:bookmarkStart w:id="1384" w:name="_Toc445305905"/>
      <w:bookmarkStart w:id="1385" w:name="_Toc445311221"/>
      <w:bookmarkStart w:id="1386" w:name="_Toc446686783"/>
      <w:bookmarkStart w:id="1387" w:name="_Toc445305906"/>
      <w:bookmarkStart w:id="1388" w:name="_Toc445311222"/>
      <w:bookmarkStart w:id="1389" w:name="_Toc446686784"/>
      <w:bookmarkStart w:id="1390" w:name="_Toc445305907"/>
      <w:bookmarkStart w:id="1391" w:name="_Toc445311223"/>
      <w:bookmarkStart w:id="1392" w:name="_Toc446686785"/>
      <w:bookmarkStart w:id="1393" w:name="_Toc445305908"/>
      <w:bookmarkStart w:id="1394" w:name="_Toc445311224"/>
      <w:bookmarkStart w:id="1395" w:name="_Toc446686786"/>
      <w:bookmarkStart w:id="1396" w:name="_Toc445305909"/>
      <w:bookmarkStart w:id="1397" w:name="_Toc445311225"/>
      <w:bookmarkStart w:id="1398" w:name="_Toc446686787"/>
      <w:bookmarkStart w:id="1399" w:name="_Toc445305910"/>
      <w:bookmarkStart w:id="1400" w:name="_Toc445311226"/>
      <w:bookmarkStart w:id="1401" w:name="_Toc446686788"/>
      <w:bookmarkStart w:id="1402" w:name="_Toc445305911"/>
      <w:bookmarkStart w:id="1403" w:name="_Toc445311227"/>
      <w:bookmarkStart w:id="1404" w:name="_Toc446686789"/>
      <w:bookmarkStart w:id="1405" w:name="_Toc445305912"/>
      <w:bookmarkStart w:id="1406" w:name="_Toc445311228"/>
      <w:bookmarkStart w:id="1407" w:name="_Toc446686790"/>
      <w:bookmarkStart w:id="1408" w:name="_Toc445305913"/>
      <w:bookmarkStart w:id="1409" w:name="_Toc445311229"/>
      <w:bookmarkStart w:id="1410" w:name="_Toc446686791"/>
      <w:bookmarkStart w:id="1411" w:name="_Toc445305914"/>
      <w:bookmarkStart w:id="1412" w:name="_Toc445311230"/>
      <w:bookmarkStart w:id="1413" w:name="_Toc446686792"/>
      <w:bookmarkStart w:id="1414" w:name="_Toc445305915"/>
      <w:bookmarkStart w:id="1415" w:name="_Toc445311231"/>
      <w:bookmarkStart w:id="1416" w:name="_Toc446686793"/>
      <w:bookmarkStart w:id="1417" w:name="_Toc445305916"/>
      <w:bookmarkStart w:id="1418" w:name="_Toc445311232"/>
      <w:bookmarkStart w:id="1419" w:name="_Toc446686794"/>
      <w:bookmarkStart w:id="1420" w:name="_Toc445305917"/>
      <w:bookmarkStart w:id="1421" w:name="_Toc445311233"/>
      <w:bookmarkStart w:id="1422" w:name="_Toc446686795"/>
      <w:bookmarkStart w:id="1423" w:name="_Toc445305918"/>
      <w:bookmarkStart w:id="1424" w:name="_Toc445311234"/>
      <w:bookmarkStart w:id="1425" w:name="_Toc446686796"/>
      <w:bookmarkStart w:id="1426" w:name="_Toc445305919"/>
      <w:bookmarkStart w:id="1427" w:name="_Toc445311235"/>
      <w:bookmarkStart w:id="1428" w:name="_Toc446686797"/>
      <w:bookmarkStart w:id="1429" w:name="_Toc445305920"/>
      <w:bookmarkStart w:id="1430" w:name="_Toc445311236"/>
      <w:bookmarkStart w:id="1431" w:name="_Toc446686798"/>
      <w:bookmarkStart w:id="1432" w:name="_Toc445305921"/>
      <w:bookmarkStart w:id="1433" w:name="_Toc445311237"/>
      <w:bookmarkStart w:id="1434" w:name="_Toc446686799"/>
      <w:bookmarkStart w:id="1435" w:name="_Toc445305922"/>
      <w:bookmarkStart w:id="1436" w:name="_Toc445311238"/>
      <w:bookmarkStart w:id="1437" w:name="_Toc446686800"/>
      <w:bookmarkStart w:id="1438" w:name="_Toc445305923"/>
      <w:bookmarkStart w:id="1439" w:name="_Toc445311239"/>
      <w:bookmarkStart w:id="1440" w:name="_Toc446686801"/>
      <w:bookmarkStart w:id="1441" w:name="_Toc445305924"/>
      <w:bookmarkStart w:id="1442" w:name="_Toc445311240"/>
      <w:bookmarkStart w:id="1443" w:name="_Toc446686802"/>
      <w:bookmarkStart w:id="1444" w:name="_Toc445305925"/>
      <w:bookmarkStart w:id="1445" w:name="_Toc445311241"/>
      <w:bookmarkStart w:id="1446" w:name="_Toc446686803"/>
      <w:bookmarkStart w:id="1447" w:name="_Toc445305926"/>
      <w:bookmarkStart w:id="1448" w:name="_Toc445311242"/>
      <w:bookmarkStart w:id="1449" w:name="_Toc446686804"/>
      <w:bookmarkStart w:id="1450" w:name="_Toc445305927"/>
      <w:bookmarkStart w:id="1451" w:name="_Toc445311243"/>
      <w:bookmarkStart w:id="1452" w:name="_Toc446686805"/>
      <w:bookmarkStart w:id="1453" w:name="_Toc445305928"/>
      <w:bookmarkStart w:id="1454" w:name="_Toc445311244"/>
      <w:bookmarkStart w:id="1455" w:name="_Toc446686806"/>
      <w:bookmarkStart w:id="1456" w:name="_Toc445305929"/>
      <w:bookmarkStart w:id="1457" w:name="_Toc445311245"/>
      <w:bookmarkStart w:id="1458" w:name="_Toc446686807"/>
      <w:bookmarkStart w:id="1459" w:name="_Toc445305930"/>
      <w:bookmarkStart w:id="1460" w:name="_Toc445311246"/>
      <w:bookmarkStart w:id="1461" w:name="_Toc446686808"/>
      <w:bookmarkStart w:id="1462" w:name="_Toc445305931"/>
      <w:bookmarkStart w:id="1463" w:name="_Toc445311247"/>
      <w:bookmarkStart w:id="1464" w:name="_Toc446686809"/>
      <w:bookmarkStart w:id="1465" w:name="_Toc445305932"/>
      <w:bookmarkStart w:id="1466" w:name="_Toc445311248"/>
      <w:bookmarkStart w:id="1467" w:name="_Toc446686810"/>
      <w:bookmarkStart w:id="1468" w:name="_Toc445305933"/>
      <w:bookmarkStart w:id="1469" w:name="_Toc445311249"/>
      <w:bookmarkStart w:id="1470" w:name="_Toc446686811"/>
      <w:bookmarkStart w:id="1471" w:name="_Toc445305934"/>
      <w:bookmarkStart w:id="1472" w:name="_Toc445311250"/>
      <w:bookmarkStart w:id="1473" w:name="_Toc446686812"/>
      <w:bookmarkStart w:id="1474" w:name="_Toc445305935"/>
      <w:bookmarkStart w:id="1475" w:name="_Toc445311251"/>
      <w:bookmarkStart w:id="1476" w:name="_Toc446686813"/>
      <w:bookmarkStart w:id="1477" w:name="_Toc445305936"/>
      <w:bookmarkStart w:id="1478" w:name="_Toc445311252"/>
      <w:bookmarkStart w:id="1479" w:name="_Toc446686814"/>
      <w:bookmarkStart w:id="1480" w:name="_Toc445305937"/>
      <w:bookmarkStart w:id="1481" w:name="_Toc445311253"/>
      <w:bookmarkStart w:id="1482" w:name="_Toc446686815"/>
      <w:bookmarkStart w:id="1483" w:name="_Toc445305938"/>
      <w:bookmarkStart w:id="1484" w:name="_Toc445311254"/>
      <w:bookmarkStart w:id="1485" w:name="_Toc446686816"/>
      <w:bookmarkStart w:id="1486" w:name="_Toc445305939"/>
      <w:bookmarkStart w:id="1487" w:name="_Toc445311255"/>
      <w:bookmarkStart w:id="1488" w:name="_Toc446686817"/>
      <w:bookmarkStart w:id="1489" w:name="_Toc445305940"/>
      <w:bookmarkStart w:id="1490" w:name="_Toc445311256"/>
      <w:bookmarkStart w:id="1491" w:name="_Toc446686818"/>
      <w:bookmarkStart w:id="1492" w:name="_Toc445305941"/>
      <w:bookmarkStart w:id="1493" w:name="_Toc445311257"/>
      <w:bookmarkStart w:id="1494" w:name="_Toc446686819"/>
      <w:bookmarkStart w:id="1495" w:name="_Toc445305942"/>
      <w:bookmarkStart w:id="1496" w:name="_Toc445311258"/>
      <w:bookmarkStart w:id="1497" w:name="_Toc446686820"/>
      <w:bookmarkStart w:id="1498" w:name="_Toc445305943"/>
      <w:bookmarkStart w:id="1499" w:name="_Toc445311259"/>
      <w:bookmarkStart w:id="1500" w:name="_Toc446686821"/>
      <w:bookmarkStart w:id="1501" w:name="_Toc445305944"/>
      <w:bookmarkStart w:id="1502" w:name="_Toc445311260"/>
      <w:bookmarkStart w:id="1503" w:name="_Toc446686822"/>
      <w:bookmarkStart w:id="1504" w:name="_Toc445305945"/>
      <w:bookmarkStart w:id="1505" w:name="_Toc445311261"/>
      <w:bookmarkStart w:id="1506" w:name="_Toc446686823"/>
      <w:bookmarkStart w:id="1507" w:name="_Toc445305946"/>
      <w:bookmarkStart w:id="1508" w:name="_Toc445311262"/>
      <w:bookmarkStart w:id="1509" w:name="_Toc446686824"/>
      <w:bookmarkStart w:id="1510" w:name="_Toc445305947"/>
      <w:bookmarkStart w:id="1511" w:name="_Toc445311263"/>
      <w:bookmarkStart w:id="1512" w:name="_Toc446686825"/>
      <w:bookmarkEnd w:id="456"/>
      <w:bookmarkEnd w:id="457"/>
      <w:bookmarkEnd w:id="458"/>
      <w:bookmarkEnd w:id="459"/>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p>
    <w:p w:rsidR="00831F37" w:rsidRDefault="0073755B" w:rsidP="00E62976">
      <w:pPr>
        <w:numPr>
          <w:ilvl w:val="0"/>
          <w:numId w:val="10"/>
        </w:numPr>
        <w:ind w:left="567" w:hanging="567"/>
        <w:rPr>
          <w:lang w:val="en-GB"/>
        </w:rPr>
      </w:pPr>
      <w:bookmarkStart w:id="1513" w:name="_Ref443043737"/>
      <w:bookmarkStart w:id="1514" w:name="_Ref384386656"/>
      <w:r w:rsidRPr="00861806">
        <w:rPr>
          <w:lang w:val="en-GB"/>
        </w:rPr>
        <w:t>Technical repo</w:t>
      </w:r>
      <w:r w:rsidR="00831F37">
        <w:rPr>
          <w:lang w:val="en-GB"/>
        </w:rPr>
        <w:t>rt ASAMPSA_E/WP10/D10.2/2014-05-</w:t>
      </w:r>
      <w:r w:rsidR="00831F37" w:rsidRPr="00831F37">
        <w:rPr>
          <w:lang w:val="en-GB"/>
        </w:rPr>
        <w:t>Synthesis of the initial survey related to PSAs End-Users needs</w:t>
      </w:r>
      <w:r w:rsidR="00831F37">
        <w:rPr>
          <w:lang w:val="en-GB"/>
        </w:rPr>
        <w:t xml:space="preserve"> (</w:t>
      </w:r>
      <w:r w:rsidR="00831F37" w:rsidRPr="00861806">
        <w:rPr>
          <w:lang w:val="en-GB"/>
        </w:rPr>
        <w:t>Rep</w:t>
      </w:r>
      <w:r w:rsidR="00831F37">
        <w:rPr>
          <w:lang w:val="en-GB"/>
        </w:rPr>
        <w:t>ort IRSN/PSN-RES-SAG/2014-00193)</w:t>
      </w:r>
      <w:bookmarkEnd w:id="1513"/>
    </w:p>
    <w:p w:rsidR="00386ACC" w:rsidRPr="00861806" w:rsidRDefault="00386ACC" w:rsidP="00E62976">
      <w:pPr>
        <w:numPr>
          <w:ilvl w:val="0"/>
          <w:numId w:val="10"/>
        </w:numPr>
        <w:ind w:left="567" w:hanging="567"/>
        <w:rPr>
          <w:lang w:val="en-GB"/>
        </w:rPr>
      </w:pPr>
      <w:bookmarkStart w:id="1515" w:name="_Ref443294889"/>
      <w:r w:rsidRPr="00861806">
        <w:rPr>
          <w:lang w:val="en-GB"/>
        </w:rPr>
        <w:t>International Atomic Energy Agency (IAEA), “Safety of Nuclear Power Plants: Design”, Specific Safety Requirements No. SSR-2/1, January 2012</w:t>
      </w:r>
      <w:bookmarkEnd w:id="1514"/>
      <w:bookmarkEnd w:id="1515"/>
    </w:p>
    <w:p w:rsidR="00A30D35" w:rsidRPr="00E20701" w:rsidRDefault="00A30D35" w:rsidP="00E62976">
      <w:pPr>
        <w:numPr>
          <w:ilvl w:val="0"/>
          <w:numId w:val="10"/>
        </w:numPr>
        <w:ind w:left="567" w:hanging="567"/>
        <w:rPr>
          <w:lang w:val="en-GB"/>
        </w:rPr>
      </w:pPr>
      <w:bookmarkStart w:id="1516" w:name="_Ref384387949"/>
      <w:r w:rsidRPr="00E20701">
        <w:rPr>
          <w:lang w:val="en-GB"/>
        </w:rPr>
        <w:t>International Atomic Energy Agency (IAEA), “Deterministic Safety Analysis for Nuclear Power Plants”, Specific Safety Guide No. SSG-2, December 2009</w:t>
      </w:r>
      <w:bookmarkEnd w:id="1516"/>
    </w:p>
    <w:p w:rsidR="00A30D35" w:rsidRPr="00E20701" w:rsidRDefault="00A30D35" w:rsidP="00E62976">
      <w:pPr>
        <w:numPr>
          <w:ilvl w:val="0"/>
          <w:numId w:val="10"/>
        </w:numPr>
        <w:ind w:left="567" w:hanging="567"/>
        <w:rPr>
          <w:lang w:val="en-GB"/>
        </w:rPr>
      </w:pPr>
      <w:bookmarkStart w:id="1517" w:name="_Ref384386913"/>
      <w:r w:rsidRPr="00E20701">
        <w:rPr>
          <w:lang w:val="en-GB"/>
        </w:rPr>
        <w:t xml:space="preserve">International Atomic Energy Agency (IAEA), </w:t>
      </w:r>
      <w:r w:rsidR="008B0A69" w:rsidRPr="00E20701">
        <w:rPr>
          <w:lang w:val="en-GB"/>
        </w:rPr>
        <w:t>“</w:t>
      </w:r>
      <w:r w:rsidRPr="00E20701">
        <w:rPr>
          <w:lang w:val="en-GB"/>
        </w:rPr>
        <w:t>Development and Application of Level 1 Probabilistic Safety Assessment for Nuclear Power Plants</w:t>
      </w:r>
      <w:r w:rsidR="008B0A69" w:rsidRPr="00E20701">
        <w:rPr>
          <w:lang w:val="en-GB"/>
        </w:rPr>
        <w:t>”</w:t>
      </w:r>
      <w:r w:rsidRPr="00E20701">
        <w:rPr>
          <w:lang w:val="en-GB"/>
        </w:rPr>
        <w:t>, Specific Safety Guide No. SSG-3, April 2010</w:t>
      </w:r>
      <w:bookmarkEnd w:id="1517"/>
    </w:p>
    <w:p w:rsidR="008B0A69" w:rsidRPr="00E20701" w:rsidRDefault="00667D08" w:rsidP="00E62976">
      <w:pPr>
        <w:numPr>
          <w:ilvl w:val="0"/>
          <w:numId w:val="10"/>
        </w:numPr>
        <w:ind w:left="567" w:hanging="567"/>
        <w:rPr>
          <w:lang w:val="en-GB"/>
        </w:rPr>
      </w:pPr>
      <w:bookmarkStart w:id="1518" w:name="_Ref384387508"/>
      <w:r w:rsidRPr="00E20701">
        <w:rPr>
          <w:lang w:val="en-GB"/>
        </w:rPr>
        <w:t>Raimond, E. et al., “ASAMPSA_E: Advanced Safety Assessment Methodologies: Extended PSA, Annex I – Description of Work”, 7th Framework Program Grant Agreement No 605001, May 2013</w:t>
      </w:r>
      <w:bookmarkEnd w:id="1518"/>
      <w:r w:rsidRPr="00E20701">
        <w:rPr>
          <w:lang w:val="en-GB"/>
        </w:rPr>
        <w:t xml:space="preserve"> </w:t>
      </w:r>
    </w:p>
    <w:p w:rsidR="00667D08" w:rsidRPr="00E20701" w:rsidRDefault="008B0A69" w:rsidP="00E62976">
      <w:pPr>
        <w:numPr>
          <w:ilvl w:val="0"/>
          <w:numId w:val="10"/>
        </w:numPr>
        <w:ind w:left="567" w:hanging="567"/>
        <w:rPr>
          <w:lang w:val="en-GB"/>
        </w:rPr>
      </w:pPr>
      <w:bookmarkStart w:id="1519" w:name="_Ref432773062"/>
      <w:r w:rsidRPr="00E20701">
        <w:rPr>
          <w:lang w:val="en-GB"/>
        </w:rPr>
        <w:t>International Atomic Energy Agency (IAEA), “IAEA Safety Glossary, Terminology Used in Nuclear Safety and Radiation Protection 2007 Edition”, June 2007</w:t>
      </w:r>
      <w:bookmarkEnd w:id="1519"/>
    </w:p>
    <w:p w:rsidR="003518B2" w:rsidRPr="00E20701" w:rsidRDefault="003518B2" w:rsidP="00E62976">
      <w:pPr>
        <w:numPr>
          <w:ilvl w:val="0"/>
          <w:numId w:val="10"/>
        </w:numPr>
        <w:ind w:left="567" w:hanging="567"/>
        <w:rPr>
          <w:lang w:val="en-GB"/>
        </w:rPr>
      </w:pPr>
      <w:bookmarkStart w:id="1520" w:name="_Ref384826455"/>
      <w:r w:rsidRPr="00E20701">
        <w:rPr>
          <w:lang w:val="en-GB"/>
        </w:rPr>
        <w:t>International Atomic Energy Agency (IAEA), “Defining Initiating Events for Purposes of Probabilistic Safety Assessment”, IAEA-TECDOC-719, September 1993</w:t>
      </w:r>
      <w:bookmarkEnd w:id="1520"/>
    </w:p>
    <w:p w:rsidR="00F76201" w:rsidRPr="00E20701" w:rsidRDefault="00F76201" w:rsidP="00E62976">
      <w:pPr>
        <w:numPr>
          <w:ilvl w:val="0"/>
          <w:numId w:val="10"/>
        </w:numPr>
        <w:ind w:left="567" w:hanging="567"/>
        <w:rPr>
          <w:lang w:val="en-GB"/>
        </w:rPr>
      </w:pPr>
      <w:r w:rsidRPr="00E20701">
        <w:rPr>
          <w:lang w:val="en-GB"/>
        </w:rPr>
        <w:t>International Atomic Energy Agency (IAEA), “Advanced Nuclear Plant Design Options to Cope with External Events”, IAEA-TECDOC-1487, February 2006</w:t>
      </w:r>
    </w:p>
    <w:p w:rsidR="00373D70" w:rsidRPr="00E20701" w:rsidRDefault="00373D70" w:rsidP="00E62976">
      <w:pPr>
        <w:numPr>
          <w:ilvl w:val="0"/>
          <w:numId w:val="10"/>
        </w:numPr>
        <w:ind w:left="567" w:hanging="567"/>
        <w:rPr>
          <w:lang w:val="en-GB"/>
        </w:rPr>
      </w:pPr>
      <w:bookmarkStart w:id="1521" w:name="_Ref384813269"/>
      <w:r w:rsidRPr="00E20701">
        <w:rPr>
          <w:lang w:val="en-GB"/>
        </w:rPr>
        <w:t>U.S. Nuclear Regulatory Commission (NRC), “Standard Format and Content of Safety Analysis Reports for Nuclear Power Plants, LWR Edition”, Regulatory Guide 1.70, rev. 3, November 1978</w:t>
      </w:r>
      <w:bookmarkEnd w:id="1521"/>
    </w:p>
    <w:p w:rsidR="006F36E2" w:rsidRPr="00E20701" w:rsidRDefault="006F36E2" w:rsidP="00E62976">
      <w:pPr>
        <w:numPr>
          <w:ilvl w:val="0"/>
          <w:numId w:val="10"/>
        </w:numPr>
        <w:ind w:left="567" w:hanging="567"/>
        <w:rPr>
          <w:lang w:val="en-GB"/>
        </w:rPr>
      </w:pPr>
      <w:bookmarkStart w:id="1522" w:name="_Ref406515493"/>
      <w:r w:rsidRPr="00E20701">
        <w:rPr>
          <w:lang w:val="en-GB"/>
        </w:rPr>
        <w:t>Office for Nuclear Regulation (ONR), “Safety Assessment Principles – 20</w:t>
      </w:r>
      <w:r w:rsidR="00A04C49">
        <w:rPr>
          <w:lang w:val="en-GB"/>
        </w:rPr>
        <w:t>14</w:t>
      </w:r>
      <w:r w:rsidRPr="00E20701">
        <w:rPr>
          <w:lang w:val="en-GB"/>
        </w:rPr>
        <w:t xml:space="preserve"> edition”, </w:t>
      </w:r>
      <w:r w:rsidR="00A04C49">
        <w:rPr>
          <w:lang w:val="en-GB"/>
        </w:rPr>
        <w:t>R</w:t>
      </w:r>
      <w:r w:rsidR="00A04C49" w:rsidRPr="00E20701">
        <w:rPr>
          <w:lang w:val="en-GB"/>
        </w:rPr>
        <w:t>ev</w:t>
      </w:r>
      <w:r w:rsidRPr="00E20701">
        <w:rPr>
          <w:lang w:val="en-GB"/>
        </w:rPr>
        <w:t xml:space="preserve">. </w:t>
      </w:r>
      <w:r w:rsidR="00A04C49">
        <w:rPr>
          <w:lang w:val="en-GB"/>
        </w:rPr>
        <w:t>0</w:t>
      </w:r>
      <w:r w:rsidRPr="00E20701">
        <w:rPr>
          <w:lang w:val="en-GB"/>
        </w:rPr>
        <w:t xml:space="preserve">, </w:t>
      </w:r>
      <w:r w:rsidR="00A04C49">
        <w:rPr>
          <w:lang w:val="en-GB"/>
        </w:rPr>
        <w:t>November</w:t>
      </w:r>
      <w:r w:rsidR="00A04C49" w:rsidRPr="00E20701">
        <w:rPr>
          <w:lang w:val="en-GB"/>
        </w:rPr>
        <w:t xml:space="preserve"> </w:t>
      </w:r>
      <w:r w:rsidRPr="00E20701">
        <w:rPr>
          <w:lang w:val="en-GB"/>
        </w:rPr>
        <w:t>2008</w:t>
      </w:r>
      <w:bookmarkEnd w:id="1522"/>
    </w:p>
    <w:p w:rsidR="006F36E2" w:rsidRPr="00E20701" w:rsidRDefault="006F36E2" w:rsidP="00E62976">
      <w:pPr>
        <w:numPr>
          <w:ilvl w:val="0"/>
          <w:numId w:val="10"/>
        </w:numPr>
        <w:ind w:left="567" w:hanging="567"/>
        <w:rPr>
          <w:lang w:val="en-GB"/>
        </w:rPr>
      </w:pPr>
      <w:bookmarkStart w:id="1523" w:name="_Ref384812549"/>
      <w:r w:rsidRPr="00E20701">
        <w:rPr>
          <w:lang w:val="en-GB"/>
        </w:rPr>
        <w:t xml:space="preserve">Western European Nuclear Regulators Association (WENRA), “WENRA Safety Reference Levels for Existing Reactors”, </w:t>
      </w:r>
      <w:r w:rsidR="00551712" w:rsidRPr="00E20701">
        <w:rPr>
          <w:lang w:val="en-GB"/>
        </w:rPr>
        <w:t>Septe</w:t>
      </w:r>
      <w:r w:rsidRPr="00E20701">
        <w:rPr>
          <w:lang w:val="en-GB"/>
        </w:rPr>
        <w:t>mber 201</w:t>
      </w:r>
      <w:r w:rsidR="00551712" w:rsidRPr="00E20701">
        <w:rPr>
          <w:lang w:val="en-GB"/>
        </w:rPr>
        <w:t>4</w:t>
      </w:r>
      <w:bookmarkEnd w:id="1523"/>
    </w:p>
    <w:p w:rsidR="00A275D7" w:rsidRDefault="00A275D7" w:rsidP="00E62976">
      <w:pPr>
        <w:numPr>
          <w:ilvl w:val="0"/>
          <w:numId w:val="10"/>
        </w:numPr>
        <w:ind w:left="567" w:hanging="567"/>
        <w:rPr>
          <w:lang w:val="en-GB"/>
        </w:rPr>
      </w:pPr>
      <w:bookmarkStart w:id="1524" w:name="_Ref384816099"/>
      <w:r w:rsidRPr="00E20701">
        <w:rPr>
          <w:lang w:val="en-GB"/>
        </w:rPr>
        <w:t>Western European Nuclear Regulators Association (WENRA), “WENRA Reactor Safety Reference Levels”, January 2008</w:t>
      </w:r>
      <w:bookmarkEnd w:id="1524"/>
    </w:p>
    <w:p w:rsidR="005079A3" w:rsidRPr="0095446B" w:rsidRDefault="005079A3" w:rsidP="00E62976">
      <w:pPr>
        <w:numPr>
          <w:ilvl w:val="0"/>
          <w:numId w:val="10"/>
        </w:numPr>
        <w:ind w:left="567" w:hanging="567"/>
        <w:rPr>
          <w:lang w:val="en-GB"/>
        </w:rPr>
      </w:pPr>
      <w:bookmarkStart w:id="1525" w:name="_Ref446688511"/>
      <w:r w:rsidRPr="005079A3">
        <w:rPr>
          <w:lang w:val="en-US"/>
        </w:rPr>
        <w:t>ASAMPSA2 Best practices guidelines for L2PSA development and applications (Vol 1 – General - Vol 2 - Best practices for the Gen II PWR, Gen II BWR L2PSAs. Extension to Gen III reactors - Vol 3 – Extension to Gen IV reactors) - IRSN/ PSN-RES/SAG/2013-00177</w:t>
      </w:r>
      <w:r>
        <w:rPr>
          <w:lang w:val="en-US"/>
        </w:rPr>
        <w:t xml:space="preserve"> – </w:t>
      </w:r>
      <w:hyperlink r:id="rId27" w:history="1">
        <w:r w:rsidRPr="00464FEF">
          <w:rPr>
            <w:rStyle w:val="Lienhypertexte"/>
            <w:lang w:val="en-US"/>
          </w:rPr>
          <w:t>www.asampsa.eu</w:t>
        </w:r>
      </w:hyperlink>
      <w:r>
        <w:rPr>
          <w:lang w:val="en-US"/>
        </w:rPr>
        <w:t xml:space="preserve"> or </w:t>
      </w:r>
      <w:hyperlink r:id="rId28" w:history="1">
        <w:r w:rsidRPr="00464FEF">
          <w:rPr>
            <w:rStyle w:val="Lienhypertexte"/>
            <w:lang w:val="en-US"/>
          </w:rPr>
          <w:t>www.asampsa2.eu</w:t>
        </w:r>
      </w:hyperlink>
      <w:r>
        <w:rPr>
          <w:lang w:val="en-US"/>
        </w:rPr>
        <w:t xml:space="preserve">, </w:t>
      </w:r>
      <w:r w:rsidR="0095446B">
        <w:rPr>
          <w:lang w:val="en-US"/>
        </w:rPr>
        <w:t>April 2013.</w:t>
      </w:r>
      <w:bookmarkEnd w:id="1525"/>
    </w:p>
    <w:p w:rsidR="0095446B" w:rsidRDefault="0095446B" w:rsidP="00E62976">
      <w:pPr>
        <w:numPr>
          <w:ilvl w:val="0"/>
          <w:numId w:val="10"/>
        </w:numPr>
        <w:ind w:left="567" w:hanging="567"/>
        <w:rPr>
          <w:lang w:val="en-US"/>
        </w:rPr>
      </w:pPr>
      <w:bookmarkStart w:id="1526" w:name="_Ref413863269"/>
      <w:r w:rsidRPr="00313E82">
        <w:rPr>
          <w:lang w:val="en-US"/>
        </w:rPr>
        <w:t xml:space="preserve">Wikimedia Foundation, “Risk metric”, version 7 December 2014, </w:t>
      </w:r>
      <w:hyperlink r:id="rId29" w:history="1">
        <w:r w:rsidRPr="00464FEF">
          <w:rPr>
            <w:rStyle w:val="Lienhypertexte"/>
            <w:lang w:val="en-US"/>
          </w:rPr>
          <w:t>http://en.wikipedia.org/wiki/Risk_metric</w:t>
        </w:r>
      </w:hyperlink>
      <w:bookmarkEnd w:id="1526"/>
    </w:p>
    <w:p w:rsidR="0095446B" w:rsidRPr="00313E82" w:rsidRDefault="0095446B" w:rsidP="00E62976">
      <w:pPr>
        <w:numPr>
          <w:ilvl w:val="0"/>
          <w:numId w:val="10"/>
        </w:numPr>
        <w:ind w:left="567" w:hanging="567"/>
        <w:rPr>
          <w:lang w:val="en-US"/>
        </w:rPr>
      </w:pPr>
      <w:bookmarkStart w:id="1527" w:name="_Ref413857632"/>
      <w:r w:rsidRPr="00313E82">
        <w:rPr>
          <w:lang w:val="en-US"/>
        </w:rPr>
        <w:t>Holmberg, J., M. Knochenhauer, “Probabilistic Safety Goals. Phase 1 – Status and Experience in Sweden and Finland, NKS-152, March 2007</w:t>
      </w:r>
      <w:bookmarkEnd w:id="1527"/>
    </w:p>
    <w:p w:rsidR="00833913" w:rsidRPr="00C70893" w:rsidRDefault="00833913" w:rsidP="00E62976">
      <w:pPr>
        <w:numPr>
          <w:ilvl w:val="0"/>
          <w:numId w:val="10"/>
        </w:numPr>
        <w:ind w:left="567" w:hanging="567"/>
        <w:rPr>
          <w:lang w:val="de-DE"/>
        </w:rPr>
      </w:pPr>
      <w:bookmarkStart w:id="1528" w:name="_Ref384816108"/>
      <w:r w:rsidRPr="00C70893">
        <w:rPr>
          <w:lang w:val="de-DE"/>
        </w:rPr>
        <w:t>Bundesmin</w:t>
      </w:r>
      <w:r w:rsidR="00783236" w:rsidRPr="00C70893">
        <w:rPr>
          <w:lang w:val="de-DE"/>
        </w:rPr>
        <w:t>i</w:t>
      </w:r>
      <w:r w:rsidRPr="00C70893">
        <w:rPr>
          <w:lang w:val="de-DE"/>
        </w:rPr>
        <w:t>sterium für Umwelt, Naturschutz und Reaktorsicherheit, “Sicherheitsanforderungen an Kernkraftwerke” from 20 November 2012, BAnz AT 24.01.2013 B3</w:t>
      </w:r>
      <w:bookmarkEnd w:id="1528"/>
    </w:p>
    <w:p w:rsidR="00104222" w:rsidRPr="00E20701" w:rsidRDefault="00104222" w:rsidP="00E62976">
      <w:pPr>
        <w:numPr>
          <w:ilvl w:val="0"/>
          <w:numId w:val="10"/>
        </w:numPr>
        <w:ind w:left="567" w:hanging="567"/>
        <w:rPr>
          <w:lang w:val="en-GB"/>
        </w:rPr>
      </w:pPr>
      <w:bookmarkStart w:id="1529" w:name="_Ref384823509"/>
      <w:r w:rsidRPr="00E20701">
        <w:rPr>
          <w:lang w:val="en-GB"/>
        </w:rPr>
        <w:t>United States Coast Guard, “Risk-based Decision-making Guidelines, Volume 3 Procedure for Assessing Risks, Applying Risk Assessment Tools, Chapter 10 – Hazard and Operability (HAZOP) Analysis</w:t>
      </w:r>
      <w:r w:rsidR="00CE4689" w:rsidRPr="00E20701">
        <w:rPr>
          <w:lang w:val="en-GB"/>
        </w:rPr>
        <w:t>”</w:t>
      </w:r>
      <w:r w:rsidRPr="00E20701">
        <w:rPr>
          <w:lang w:val="en-GB"/>
        </w:rPr>
        <w:t xml:space="preserve">, </w:t>
      </w:r>
      <w:r w:rsidR="0002740F" w:rsidRPr="00E20701">
        <w:rPr>
          <w:lang w:val="en-GB"/>
        </w:rPr>
        <w:t>December 2000</w:t>
      </w:r>
      <w:bookmarkEnd w:id="1529"/>
    </w:p>
    <w:p w:rsidR="005046A4" w:rsidRPr="00E20701" w:rsidRDefault="005046A4" w:rsidP="00E62976">
      <w:pPr>
        <w:numPr>
          <w:ilvl w:val="0"/>
          <w:numId w:val="10"/>
        </w:numPr>
        <w:ind w:left="567" w:hanging="567"/>
        <w:rPr>
          <w:lang w:val="en-GB"/>
        </w:rPr>
      </w:pPr>
      <w:bookmarkStart w:id="1530" w:name="_Ref384823545"/>
      <w:r w:rsidRPr="00E20701">
        <w:rPr>
          <w:lang w:val="en-GB"/>
        </w:rPr>
        <w:t>International Electrotechnical Commission (IEC), “Analysis Techniques for System Reliability – Procedure for Failure Mode and Effects Analysis (FMEA)”, IEC 60812, 2</w:t>
      </w:r>
      <w:r w:rsidRPr="00E20701">
        <w:rPr>
          <w:vertAlign w:val="superscript"/>
          <w:lang w:val="en-GB"/>
        </w:rPr>
        <w:t>nd</w:t>
      </w:r>
      <w:r w:rsidRPr="00E20701">
        <w:rPr>
          <w:lang w:val="en-GB"/>
        </w:rPr>
        <w:t xml:space="preserve"> ed., 2006</w:t>
      </w:r>
      <w:bookmarkEnd w:id="1530"/>
    </w:p>
    <w:p w:rsidR="00AD0EF3" w:rsidRPr="00E20701" w:rsidRDefault="00AD0EF3" w:rsidP="00E62976">
      <w:pPr>
        <w:numPr>
          <w:ilvl w:val="0"/>
          <w:numId w:val="10"/>
        </w:numPr>
        <w:ind w:left="567" w:hanging="567"/>
        <w:rPr>
          <w:lang w:val="en-GB"/>
        </w:rPr>
      </w:pPr>
      <w:bookmarkStart w:id="1531" w:name="_Ref384902170"/>
      <w:r w:rsidRPr="00E20701">
        <w:rPr>
          <w:lang w:val="en-GB"/>
        </w:rPr>
        <w:t>International Atomic Energy Agency (IAEA), “External Human Induced Events in Site Evaluation for Nuclear Power Plants”, Safety Guide No. NS-G-3.1, May 2002</w:t>
      </w:r>
      <w:bookmarkEnd w:id="1531"/>
    </w:p>
    <w:p w:rsidR="0058675D" w:rsidRPr="00E20701" w:rsidRDefault="0058675D" w:rsidP="00E62976">
      <w:pPr>
        <w:numPr>
          <w:ilvl w:val="0"/>
          <w:numId w:val="10"/>
        </w:numPr>
        <w:ind w:left="567" w:hanging="567"/>
        <w:rPr>
          <w:lang w:val="en-GB"/>
        </w:rPr>
      </w:pPr>
      <w:bookmarkStart w:id="1532" w:name="_Ref384898641"/>
      <w:r w:rsidRPr="00E20701">
        <w:rPr>
          <w:lang w:val="en-GB"/>
        </w:rPr>
        <w:t>International Atomic Energy Agency (IAEA), “Site Evaluation for Nuclear Installations”, Safety Requirements No. NS-R-3, November 2003</w:t>
      </w:r>
      <w:bookmarkEnd w:id="1532"/>
    </w:p>
    <w:p w:rsidR="00807A95" w:rsidRPr="00E20701" w:rsidRDefault="00807A95" w:rsidP="00E62976">
      <w:pPr>
        <w:numPr>
          <w:ilvl w:val="0"/>
          <w:numId w:val="10"/>
        </w:numPr>
        <w:ind w:left="567" w:hanging="567"/>
        <w:rPr>
          <w:lang w:val="en-GB"/>
        </w:rPr>
      </w:pPr>
      <w:bookmarkStart w:id="1533" w:name="_Ref423434513"/>
      <w:r w:rsidRPr="00E20701">
        <w:rPr>
          <w:lang w:val="en-GB"/>
        </w:rPr>
        <w:t>International Atomic Energy Agency (IAEA), “Evaluation of Seismic Safety for Existing Nuclear Installations”, Safety Guide No. NS-G-2.3, May 2009</w:t>
      </w:r>
      <w:bookmarkEnd w:id="1533"/>
    </w:p>
    <w:p w:rsidR="0080433C" w:rsidRPr="00E20701" w:rsidRDefault="0080433C" w:rsidP="00E62976">
      <w:pPr>
        <w:numPr>
          <w:ilvl w:val="0"/>
          <w:numId w:val="10"/>
        </w:numPr>
        <w:ind w:left="567" w:hanging="567"/>
        <w:rPr>
          <w:lang w:val="en-GB"/>
        </w:rPr>
      </w:pPr>
      <w:bookmarkStart w:id="1534" w:name="_Ref384902145"/>
      <w:r w:rsidRPr="00E20701">
        <w:rPr>
          <w:lang w:val="en-GB"/>
        </w:rPr>
        <w:t>International Atomic Energy Agency (IAEA), “External Events Excluding Earthquakes in the Design of Nuclear Power Plants”, Safety Guide No. NS-G-1.5, November 2003</w:t>
      </w:r>
      <w:bookmarkEnd w:id="1534"/>
    </w:p>
    <w:p w:rsidR="00FF1C14" w:rsidRPr="00E20701" w:rsidRDefault="00FF1C14" w:rsidP="00E62976">
      <w:pPr>
        <w:numPr>
          <w:ilvl w:val="0"/>
          <w:numId w:val="10"/>
        </w:numPr>
        <w:ind w:left="567" w:hanging="567"/>
        <w:rPr>
          <w:lang w:val="en-GB"/>
        </w:rPr>
      </w:pPr>
      <w:bookmarkStart w:id="1535" w:name="_Ref384902147"/>
      <w:r w:rsidRPr="00E20701">
        <w:rPr>
          <w:lang w:val="en-GB"/>
        </w:rPr>
        <w:t>International Atomic Energy Agency (IAEA), “Protection against Internal Fires and Explosions in the Design of Nuclear Power Plants”, Safety Guide No. NS-G-1.7, September 2004</w:t>
      </w:r>
      <w:bookmarkEnd w:id="1535"/>
    </w:p>
    <w:p w:rsidR="00B001F0" w:rsidRPr="00E20701" w:rsidRDefault="00B001F0" w:rsidP="00E62976">
      <w:pPr>
        <w:numPr>
          <w:ilvl w:val="0"/>
          <w:numId w:val="10"/>
        </w:numPr>
        <w:ind w:left="567" w:hanging="567"/>
        <w:rPr>
          <w:lang w:val="en-GB"/>
        </w:rPr>
      </w:pPr>
      <w:bookmarkStart w:id="1536" w:name="_Ref384902149"/>
      <w:r w:rsidRPr="00E20701">
        <w:rPr>
          <w:lang w:val="en-GB"/>
        </w:rPr>
        <w:t>International Atomic Energy Agency (IAEA), “Protection against Internal Hazards other than Fires and Explosions in the Design of Nuclear Power Plants”, Safety Guide No. NS-G-1.11, September 2004</w:t>
      </w:r>
      <w:bookmarkEnd w:id="1536"/>
    </w:p>
    <w:p w:rsidR="00D56903" w:rsidRPr="00E20701" w:rsidRDefault="00D56903" w:rsidP="00E62976">
      <w:pPr>
        <w:numPr>
          <w:ilvl w:val="0"/>
          <w:numId w:val="10"/>
        </w:numPr>
        <w:ind w:left="567" w:hanging="567"/>
        <w:rPr>
          <w:lang w:val="en-GB"/>
        </w:rPr>
      </w:pPr>
      <w:bookmarkStart w:id="1537" w:name="_Ref410040057"/>
      <w:r w:rsidRPr="00E20701">
        <w:rPr>
          <w:lang w:val="en-GB"/>
        </w:rPr>
        <w:t>International Atomic Energy Agency (IAEA), “Seismic Hazards in Site Evaluation for Nuclear Installations”, Specific Safety Guide No. SSG-9, August 2010</w:t>
      </w:r>
      <w:bookmarkEnd w:id="1537"/>
    </w:p>
    <w:p w:rsidR="00314465" w:rsidRPr="00E20701" w:rsidRDefault="00314465" w:rsidP="00E62976">
      <w:pPr>
        <w:numPr>
          <w:ilvl w:val="0"/>
          <w:numId w:val="10"/>
        </w:numPr>
        <w:ind w:left="567" w:hanging="567"/>
        <w:rPr>
          <w:lang w:val="en-GB"/>
        </w:rPr>
      </w:pPr>
      <w:bookmarkStart w:id="1538" w:name="_Ref384902153"/>
      <w:r w:rsidRPr="00E20701">
        <w:rPr>
          <w:lang w:val="en-GB"/>
        </w:rPr>
        <w:t>International Atomic Energy Agency (IAEA), “Meteo</w:t>
      </w:r>
      <w:r w:rsidR="00A33591" w:rsidRPr="00E20701">
        <w:rPr>
          <w:lang w:val="en-GB"/>
        </w:rPr>
        <w:t>ro</w:t>
      </w:r>
      <w:r w:rsidRPr="00E20701">
        <w:rPr>
          <w:lang w:val="en-GB"/>
        </w:rPr>
        <w:t>logical and Hydrological Hazards in Site Evaluation for Nuclear Installations”, Specific Safety Guide No. SSG-18, November 2011</w:t>
      </w:r>
      <w:bookmarkEnd w:id="1538"/>
    </w:p>
    <w:p w:rsidR="00A33591" w:rsidRPr="00E20701" w:rsidRDefault="00A33591" w:rsidP="00E62976">
      <w:pPr>
        <w:numPr>
          <w:ilvl w:val="0"/>
          <w:numId w:val="10"/>
        </w:numPr>
        <w:ind w:left="567" w:hanging="567"/>
        <w:rPr>
          <w:lang w:val="en-GB"/>
        </w:rPr>
      </w:pPr>
      <w:bookmarkStart w:id="1539" w:name="_Ref384902155"/>
      <w:r w:rsidRPr="00E20701">
        <w:rPr>
          <w:lang w:val="en-GB"/>
        </w:rPr>
        <w:t>International Atomic Energy Agency (IAEA), “Volcanic Hazards in Site Evaluation for Nuclear Installations”, Specific Safety Guide No. SSG-21, October 2012</w:t>
      </w:r>
      <w:bookmarkEnd w:id="1539"/>
    </w:p>
    <w:p w:rsidR="00AF2B02" w:rsidRPr="00E20701" w:rsidRDefault="00AF2B02" w:rsidP="00E62976">
      <w:pPr>
        <w:numPr>
          <w:ilvl w:val="0"/>
          <w:numId w:val="10"/>
        </w:numPr>
        <w:ind w:left="567" w:hanging="567"/>
        <w:rPr>
          <w:lang w:val="en-GB"/>
        </w:rPr>
      </w:pPr>
      <w:bookmarkStart w:id="1540" w:name="_Ref387077715"/>
      <w:r w:rsidRPr="00E20701">
        <w:rPr>
          <w:lang w:val="en-GB"/>
        </w:rPr>
        <w:t>International Atomic Energy Agency (IAEA), “Development and Application of Level 2 Probabilistic Safety Assessment for Nuclear Power Plants”, Specific Safety Guide No. SSG-4, May 2010</w:t>
      </w:r>
      <w:bookmarkEnd w:id="1540"/>
    </w:p>
    <w:p w:rsidR="00E34E2B" w:rsidRPr="00E20701" w:rsidRDefault="00C41E4E" w:rsidP="00E62976">
      <w:pPr>
        <w:numPr>
          <w:ilvl w:val="0"/>
          <w:numId w:val="10"/>
        </w:numPr>
        <w:ind w:left="567" w:hanging="567"/>
        <w:rPr>
          <w:lang w:val="en-GB"/>
        </w:rPr>
      </w:pPr>
      <w:bookmarkStart w:id="1541" w:name="_Ref394482085"/>
      <w:r>
        <w:rPr>
          <w:lang w:val="en-GB"/>
        </w:rPr>
        <w:t>“</w:t>
      </w:r>
      <w:r w:rsidR="00E34E2B" w:rsidRPr="00E20701">
        <w:rPr>
          <w:lang w:val="en-GB"/>
        </w:rPr>
        <w:t>Decree on safety documentation</w:t>
      </w:r>
      <w:r>
        <w:rPr>
          <w:lang w:val="en-GB"/>
        </w:rPr>
        <w:t>”</w:t>
      </w:r>
      <w:r w:rsidR="00E34E2B" w:rsidRPr="00E20701">
        <w:rPr>
          <w:lang w:val="en-GB"/>
        </w:rPr>
        <w:t>, No. 318/2002, UJD SR, Bratislava, April 2002</w:t>
      </w:r>
      <w:bookmarkEnd w:id="1541"/>
    </w:p>
    <w:p w:rsidR="00E34E2B" w:rsidRPr="00E20701" w:rsidRDefault="00C41E4E" w:rsidP="00E62976">
      <w:pPr>
        <w:numPr>
          <w:ilvl w:val="0"/>
          <w:numId w:val="10"/>
        </w:numPr>
        <w:ind w:left="567" w:hanging="567"/>
        <w:rPr>
          <w:lang w:val="en-GB"/>
        </w:rPr>
      </w:pPr>
      <w:bookmarkStart w:id="1542" w:name="_Ref394482203"/>
      <w:r>
        <w:rPr>
          <w:lang w:val="en-GB"/>
        </w:rPr>
        <w:t>“</w:t>
      </w:r>
      <w:r w:rsidR="00E34E2B" w:rsidRPr="00E20701">
        <w:rPr>
          <w:lang w:val="en-GB"/>
        </w:rPr>
        <w:t>Application of PSA methodology in regulatory process</w:t>
      </w:r>
      <w:r>
        <w:rPr>
          <w:lang w:val="en-GB"/>
        </w:rPr>
        <w:t>”</w:t>
      </w:r>
      <w:r w:rsidR="00E34E2B" w:rsidRPr="00E20701">
        <w:rPr>
          <w:lang w:val="en-GB"/>
        </w:rPr>
        <w:t>, UJD SR guideline. BNS I.4.2/1999, UJD SR, Bratislava, 2000 (in Slovak)</w:t>
      </w:r>
      <w:bookmarkEnd w:id="1542"/>
    </w:p>
    <w:p w:rsidR="00E34E2B" w:rsidRPr="00E20701" w:rsidRDefault="00C41E4E" w:rsidP="00E62976">
      <w:pPr>
        <w:numPr>
          <w:ilvl w:val="0"/>
          <w:numId w:val="10"/>
        </w:numPr>
        <w:ind w:left="567" w:hanging="567"/>
        <w:rPr>
          <w:lang w:val="en-GB"/>
        </w:rPr>
      </w:pPr>
      <w:bookmarkStart w:id="1543" w:name="_Ref394394547"/>
      <w:r>
        <w:rPr>
          <w:lang w:val="en-GB"/>
        </w:rPr>
        <w:t>“</w:t>
      </w:r>
      <w:r w:rsidR="00E34E2B" w:rsidRPr="00E20701">
        <w:rPr>
          <w:lang w:val="en-GB"/>
        </w:rPr>
        <w:t>Regulation on operational safety of radiation and nuclear facilities (JV9)</w:t>
      </w:r>
      <w:r>
        <w:rPr>
          <w:lang w:val="en-GB"/>
        </w:rPr>
        <w:t>”</w:t>
      </w:r>
      <w:r w:rsidR="00E34E2B" w:rsidRPr="00E20701">
        <w:rPr>
          <w:lang w:val="en-GB"/>
        </w:rPr>
        <w:t>, No. 85/2009 of 30.10.2009</w:t>
      </w:r>
      <w:bookmarkEnd w:id="1543"/>
    </w:p>
    <w:p w:rsidR="00E34E2B" w:rsidRPr="00E20701" w:rsidRDefault="00C41E4E" w:rsidP="00E62976">
      <w:pPr>
        <w:numPr>
          <w:ilvl w:val="0"/>
          <w:numId w:val="10"/>
        </w:numPr>
        <w:ind w:left="567" w:hanging="567"/>
        <w:rPr>
          <w:lang w:val="en-GB"/>
        </w:rPr>
      </w:pPr>
      <w:bookmarkStart w:id="1544" w:name="_Ref394397153"/>
      <w:r>
        <w:rPr>
          <w:lang w:val="en-GB"/>
        </w:rPr>
        <w:t>“</w:t>
      </w:r>
      <w:r w:rsidR="00E34E2B" w:rsidRPr="00E20701">
        <w:rPr>
          <w:lang w:val="en-GB"/>
        </w:rPr>
        <w:t>Second Periodic Safety Review of NEK: Probabilistic Safety Analyses</w:t>
      </w:r>
      <w:r>
        <w:rPr>
          <w:lang w:val="en-GB"/>
        </w:rPr>
        <w:t>”</w:t>
      </w:r>
      <w:r w:rsidR="00E34E2B" w:rsidRPr="00E20701">
        <w:rPr>
          <w:lang w:val="en-GB"/>
        </w:rPr>
        <w:t>, PSR2-NEK-2.2, IJS-DP-10851, Ljubljana, 2013</w:t>
      </w:r>
      <w:bookmarkEnd w:id="1544"/>
    </w:p>
    <w:p w:rsidR="00E34E2B" w:rsidRPr="00E20701" w:rsidRDefault="00E34E2B" w:rsidP="00E62976">
      <w:pPr>
        <w:numPr>
          <w:ilvl w:val="0"/>
          <w:numId w:val="10"/>
        </w:numPr>
        <w:ind w:left="567" w:hanging="567"/>
        <w:rPr>
          <w:lang w:val="en-GB"/>
        </w:rPr>
      </w:pPr>
      <w:bookmarkStart w:id="1545" w:name="_Ref394394731"/>
      <w:r w:rsidRPr="00E20701">
        <w:rPr>
          <w:lang w:val="en-GB"/>
        </w:rPr>
        <w:t>The American Society of Mechanical Engineers, “Standard for probabilistic risk assessment for nuclear power plant applications”, ASME RA-S-2002, 2002 with addenda ASME RA-Sa-2003 and ASME RA-Sb-2005</w:t>
      </w:r>
      <w:bookmarkEnd w:id="1545"/>
    </w:p>
    <w:p w:rsidR="00E34E2B" w:rsidRPr="00E20701" w:rsidRDefault="00A95DA8" w:rsidP="00E62976">
      <w:pPr>
        <w:numPr>
          <w:ilvl w:val="0"/>
          <w:numId w:val="10"/>
        </w:numPr>
        <w:ind w:left="567" w:hanging="567"/>
        <w:rPr>
          <w:lang w:val="en-GB"/>
        </w:rPr>
      </w:pPr>
      <w:bookmarkStart w:id="1546" w:name="_Ref394394788"/>
      <w:r w:rsidRPr="00A95DA8">
        <w:rPr>
          <w:lang w:val="en-GB"/>
        </w:rPr>
        <w:t>ANSI/ANS-58.21-2007 "American National Standard for External Event PRA Methodology" (revision of ANS-58.21-2003), American Nuclear Society, La Grange Park, USA, 2007</w:t>
      </w:r>
      <w:bookmarkEnd w:id="1546"/>
    </w:p>
    <w:p w:rsidR="00E34E2B" w:rsidRPr="00E20701" w:rsidRDefault="00D14138" w:rsidP="00E62976">
      <w:pPr>
        <w:numPr>
          <w:ilvl w:val="0"/>
          <w:numId w:val="10"/>
        </w:numPr>
        <w:ind w:left="567" w:hanging="567"/>
        <w:rPr>
          <w:lang w:val="en-GB"/>
        </w:rPr>
      </w:pPr>
      <w:bookmarkStart w:id="1547" w:name="_Ref392859457"/>
      <w:r w:rsidRPr="00E20701">
        <w:rPr>
          <w:lang w:val="en-GB"/>
        </w:rPr>
        <w:t>WENRA, “Safety of New NPP Designs, Study by Reactor Harmonization Working Group RHWG”, March 2013</w:t>
      </w:r>
      <w:bookmarkEnd w:id="1547"/>
    </w:p>
    <w:p w:rsidR="000B2BEA" w:rsidRPr="00E20701" w:rsidRDefault="000B2BEA" w:rsidP="00E62976">
      <w:pPr>
        <w:numPr>
          <w:ilvl w:val="0"/>
          <w:numId w:val="10"/>
        </w:numPr>
        <w:ind w:left="567" w:hanging="567"/>
        <w:rPr>
          <w:lang w:val="en-GB"/>
        </w:rPr>
      </w:pPr>
      <w:bookmarkStart w:id="1548" w:name="_Ref406515522"/>
      <w:r w:rsidRPr="00E20701">
        <w:rPr>
          <w:lang w:val="en-GB"/>
        </w:rPr>
        <w:t>ONR, “Probabilistic Safety Analysis”, Nuclear Safety Technical Assessment Guide NS-TAST-GD-030 Revision 4, June 2013</w:t>
      </w:r>
      <w:bookmarkEnd w:id="1548"/>
    </w:p>
    <w:p w:rsidR="00654E19" w:rsidRPr="00C70893" w:rsidRDefault="00654E19" w:rsidP="00E62976">
      <w:pPr>
        <w:numPr>
          <w:ilvl w:val="0"/>
          <w:numId w:val="10"/>
        </w:numPr>
        <w:ind w:left="567" w:hanging="567"/>
        <w:rPr>
          <w:lang w:val="en-GB"/>
        </w:rPr>
      </w:pPr>
      <w:bookmarkStart w:id="1549" w:name="_Ref406515523"/>
      <w:r w:rsidRPr="00FA7763">
        <w:rPr>
          <w:lang w:val="de-DE"/>
        </w:rPr>
        <w:t xml:space="preserve">Bundesministerium für Umwelt, Naturschutz und Reaktorsicherheit, “Sicherheitsanforderungen an Kernkraftwerke vom 22. </w:t>
      </w:r>
      <w:r w:rsidRPr="00C70893">
        <w:rPr>
          <w:lang w:val="en-GB"/>
        </w:rPr>
        <w:t>November 2012”, BAnz AT 24 January 2013 B3</w:t>
      </w:r>
      <w:bookmarkEnd w:id="1549"/>
    </w:p>
    <w:p w:rsidR="00D153B4" w:rsidRPr="000F550F" w:rsidRDefault="00D153B4" w:rsidP="00E62976">
      <w:pPr>
        <w:numPr>
          <w:ilvl w:val="0"/>
          <w:numId w:val="10"/>
        </w:numPr>
        <w:ind w:left="567" w:hanging="567"/>
        <w:rPr>
          <w:szCs w:val="18"/>
          <w:lang w:val="en-GB"/>
        </w:rPr>
      </w:pPr>
      <w:bookmarkStart w:id="1550" w:name="_Ref464312524"/>
      <w:bookmarkStart w:id="1551" w:name="_Ref406515524"/>
      <w:r>
        <w:rPr>
          <w:szCs w:val="18"/>
          <w:lang w:val="en-GB"/>
        </w:rPr>
        <w:t xml:space="preserve">Slovenian Nuclear Safety Administration (SNSA), </w:t>
      </w:r>
      <w:r w:rsidR="00C41E4E">
        <w:rPr>
          <w:szCs w:val="18"/>
          <w:lang w:val="en-GB"/>
        </w:rPr>
        <w:t>“</w:t>
      </w:r>
      <w:r w:rsidRPr="007365D7">
        <w:rPr>
          <w:szCs w:val="18"/>
          <w:lang w:val="en-GB"/>
        </w:rPr>
        <w:t>Pravilnik o zagotavljanju varnosti po začetku obratovanja sevalnih ali jedrskih objektov (JV9)</w:t>
      </w:r>
      <w:r w:rsidR="00C41E4E">
        <w:rPr>
          <w:szCs w:val="18"/>
          <w:lang w:val="en-GB"/>
        </w:rPr>
        <w:t>”</w:t>
      </w:r>
      <w:r>
        <w:rPr>
          <w:szCs w:val="18"/>
          <w:lang w:val="en-GB"/>
        </w:rPr>
        <w:t xml:space="preserve">, Osnutek, (in English: </w:t>
      </w:r>
      <w:r w:rsidRPr="004E66A3">
        <w:rPr>
          <w:szCs w:val="18"/>
          <w:lang w:val="en-GB"/>
        </w:rPr>
        <w:t>Rules on operational safety of radiation or nuclear facilities</w:t>
      </w:r>
      <w:r>
        <w:rPr>
          <w:szCs w:val="18"/>
          <w:lang w:val="en-GB"/>
        </w:rPr>
        <w:t xml:space="preserve"> (JV9), </w:t>
      </w:r>
      <w:r w:rsidRPr="007365D7">
        <w:rPr>
          <w:szCs w:val="18"/>
          <w:lang w:val="en-GB"/>
        </w:rPr>
        <w:t>http://www.ursjv.gov.si/fileadmin/ujv.gov.si/pageuploads/si/Zakonodaja/SlovenskiPredpisi/osnutki__predlogi_predpisov/JV9_osnutek.pdf</w:t>
      </w:r>
      <w:bookmarkEnd w:id="1550"/>
    </w:p>
    <w:p w:rsidR="008074C9" w:rsidRPr="001B7918" w:rsidRDefault="008074C9" w:rsidP="00E62976">
      <w:pPr>
        <w:numPr>
          <w:ilvl w:val="0"/>
          <w:numId w:val="10"/>
        </w:numPr>
        <w:ind w:left="567" w:hanging="567"/>
      </w:pPr>
      <w:bookmarkStart w:id="1552" w:name="_Ref406515528"/>
      <w:bookmarkEnd w:id="1551"/>
      <w:r w:rsidRPr="001B7918">
        <w:t>ASN, “D</w:t>
      </w:r>
      <w:r w:rsidR="00D153B4" w:rsidRPr="001B7918">
        <w:t>é</w:t>
      </w:r>
      <w:r w:rsidRPr="001B7918">
        <w:t>veloppement et Utilisation des Etudes Probabilistes de Sûreté”, RFS No. 2002-01, December 2002</w:t>
      </w:r>
      <w:bookmarkEnd w:id="1552"/>
    </w:p>
    <w:p w:rsidR="00DD15FE" w:rsidRPr="00E20701" w:rsidRDefault="004A4EBC" w:rsidP="00E62976">
      <w:pPr>
        <w:numPr>
          <w:ilvl w:val="0"/>
          <w:numId w:val="10"/>
        </w:numPr>
        <w:ind w:left="567" w:hanging="567"/>
        <w:rPr>
          <w:lang w:val="en-GB"/>
        </w:rPr>
      </w:pPr>
      <w:bookmarkStart w:id="1553" w:name="_Ref406515529"/>
      <w:r w:rsidRPr="00E20701">
        <w:rPr>
          <w:lang w:val="en-GB"/>
        </w:rPr>
        <w:t>ENSI, “Probabilistic Safety Analysis (PSA): Quality and Scope”, ENSI-A05/e, March 2009</w:t>
      </w:r>
      <w:bookmarkEnd w:id="1553"/>
      <w:r w:rsidR="008074C9" w:rsidRPr="00E20701">
        <w:rPr>
          <w:lang w:val="en-GB"/>
        </w:rPr>
        <w:t xml:space="preserve"> </w:t>
      </w:r>
    </w:p>
    <w:p w:rsidR="004A4EBC" w:rsidRPr="00E20701" w:rsidRDefault="00663D52" w:rsidP="00E62976">
      <w:pPr>
        <w:numPr>
          <w:ilvl w:val="0"/>
          <w:numId w:val="10"/>
        </w:numPr>
        <w:ind w:left="567" w:hanging="567"/>
        <w:rPr>
          <w:lang w:val="en-GB"/>
        </w:rPr>
      </w:pPr>
      <w:bookmarkStart w:id="1554" w:name="_Ref406515530"/>
      <w:r w:rsidRPr="00E20701">
        <w:rPr>
          <w:lang w:val="en-GB"/>
        </w:rPr>
        <w:t>STUK, “Probabilistic Risk Assessment and Risk Management of a Nuclear Power Plant”, YVL A.7, November 2013</w:t>
      </w:r>
      <w:bookmarkEnd w:id="1554"/>
    </w:p>
    <w:p w:rsidR="00663D52" w:rsidRPr="00E20701" w:rsidRDefault="00663D52" w:rsidP="00E62976">
      <w:pPr>
        <w:numPr>
          <w:ilvl w:val="0"/>
          <w:numId w:val="10"/>
        </w:numPr>
        <w:ind w:left="567" w:hanging="567"/>
        <w:rPr>
          <w:lang w:val="en-GB"/>
        </w:rPr>
      </w:pPr>
      <w:bookmarkStart w:id="1555" w:name="_Ref406515532"/>
      <w:r w:rsidRPr="00E20701">
        <w:rPr>
          <w:lang w:val="en-GB"/>
        </w:rPr>
        <w:t>STUK “Deterministic Safety Analyses for a Nuclear Power Plant”, YVL B.3, November 2013</w:t>
      </w:r>
      <w:bookmarkEnd w:id="1555"/>
    </w:p>
    <w:p w:rsidR="00876D04" w:rsidRPr="00E20701" w:rsidRDefault="00876D04" w:rsidP="00E62976">
      <w:pPr>
        <w:numPr>
          <w:ilvl w:val="0"/>
          <w:numId w:val="10"/>
        </w:numPr>
        <w:ind w:left="567" w:hanging="567"/>
        <w:rPr>
          <w:lang w:val="en-GB"/>
        </w:rPr>
      </w:pPr>
      <w:bookmarkStart w:id="1556" w:name="_Ref406516184"/>
      <w:r w:rsidRPr="00E20701">
        <w:rPr>
          <w:lang w:val="en-GB"/>
        </w:rPr>
        <w:t>CNSC, “Deterministic Safety Analysis”, REGDOC-2.4.1, May 2014</w:t>
      </w:r>
      <w:bookmarkEnd w:id="1556"/>
    </w:p>
    <w:p w:rsidR="00876D04" w:rsidRPr="00E20701" w:rsidRDefault="00876D04" w:rsidP="00E62976">
      <w:pPr>
        <w:numPr>
          <w:ilvl w:val="0"/>
          <w:numId w:val="10"/>
        </w:numPr>
        <w:ind w:left="567" w:hanging="567"/>
        <w:rPr>
          <w:lang w:val="en-GB"/>
        </w:rPr>
      </w:pPr>
      <w:bookmarkStart w:id="1557" w:name="_Ref406516185"/>
      <w:r w:rsidRPr="00E20701">
        <w:rPr>
          <w:lang w:val="en-GB"/>
        </w:rPr>
        <w:t>CNSC, “Probabilistic Safety Assessment (PSA) for Nuclear Power Plants”, REGDOC-2.4.2, May 2014</w:t>
      </w:r>
      <w:bookmarkEnd w:id="1557"/>
    </w:p>
    <w:p w:rsidR="00D72678" w:rsidRPr="00E20701" w:rsidRDefault="00D72678" w:rsidP="00E62976">
      <w:pPr>
        <w:numPr>
          <w:ilvl w:val="0"/>
          <w:numId w:val="10"/>
        </w:numPr>
        <w:ind w:left="567" w:hanging="567"/>
        <w:rPr>
          <w:lang w:val="en-GB"/>
        </w:rPr>
      </w:pPr>
      <w:bookmarkStart w:id="1558" w:name="_Ref406518151"/>
      <w:r w:rsidRPr="00E20701">
        <w:rPr>
          <w:lang w:val="en-GB"/>
        </w:rPr>
        <w:t>International Atomic Energy Agency (IAEA), “Fundamental Safety Principles”, SF-1, November 2006</w:t>
      </w:r>
      <w:bookmarkEnd w:id="1558"/>
    </w:p>
    <w:p w:rsidR="005C39FA" w:rsidRPr="00C70893" w:rsidRDefault="005C4E11" w:rsidP="00E62976">
      <w:pPr>
        <w:numPr>
          <w:ilvl w:val="0"/>
          <w:numId w:val="10"/>
        </w:numPr>
        <w:ind w:left="567" w:hanging="567"/>
        <w:rPr>
          <w:lang w:val="en-GB"/>
        </w:rPr>
      </w:pPr>
      <w:bookmarkStart w:id="1559" w:name="_Ref408822709"/>
      <w:r w:rsidRPr="00C70893">
        <w:rPr>
          <w:szCs w:val="18"/>
          <w:lang w:val="en-GB"/>
        </w:rPr>
        <w:t xml:space="preserve">CNCAN, </w:t>
      </w:r>
      <w:r w:rsidR="005C39FA" w:rsidRPr="00C70893">
        <w:rPr>
          <w:szCs w:val="18"/>
          <w:lang w:val="en-GB"/>
        </w:rPr>
        <w:t xml:space="preserve">NSN-08, </w:t>
      </w:r>
      <w:r w:rsidR="00C41E4E">
        <w:rPr>
          <w:szCs w:val="18"/>
          <w:lang w:val="en-GB"/>
        </w:rPr>
        <w:t>“</w:t>
      </w:r>
      <w:r w:rsidR="005C39FA" w:rsidRPr="00C70893">
        <w:rPr>
          <w:szCs w:val="18"/>
          <w:lang w:val="en-GB"/>
        </w:rPr>
        <w:t>Normă privind evaluările probabilistice de securitate nucleară pentru centralele nuclearoelectrice</w:t>
      </w:r>
      <w:r w:rsidR="00C41E4E">
        <w:rPr>
          <w:szCs w:val="18"/>
          <w:lang w:val="en-GB"/>
        </w:rPr>
        <w:t>”</w:t>
      </w:r>
      <w:r w:rsidR="005C39FA" w:rsidRPr="00C70893">
        <w:rPr>
          <w:szCs w:val="18"/>
          <w:lang w:val="en-GB"/>
        </w:rPr>
        <w:t>, 2006</w:t>
      </w:r>
      <w:bookmarkEnd w:id="1559"/>
    </w:p>
    <w:p w:rsidR="005C39FA" w:rsidRPr="00C70893" w:rsidRDefault="005C4E11" w:rsidP="00E62976">
      <w:pPr>
        <w:numPr>
          <w:ilvl w:val="0"/>
          <w:numId w:val="10"/>
        </w:numPr>
        <w:ind w:left="567" w:hanging="567"/>
        <w:rPr>
          <w:lang w:val="en-GB"/>
        </w:rPr>
      </w:pPr>
      <w:bookmarkStart w:id="1560" w:name="_Ref408823543"/>
      <w:r w:rsidRPr="00E20701">
        <w:rPr>
          <w:szCs w:val="18"/>
          <w:lang w:val="en-GB"/>
        </w:rPr>
        <w:t xml:space="preserve">CNCAN, </w:t>
      </w:r>
      <w:r w:rsidR="005C39FA" w:rsidRPr="00C70893">
        <w:rPr>
          <w:szCs w:val="18"/>
          <w:lang w:val="en-GB"/>
        </w:rPr>
        <w:t xml:space="preserve">NSN-02, </w:t>
      </w:r>
      <w:r w:rsidR="00C41E4E">
        <w:rPr>
          <w:szCs w:val="18"/>
          <w:lang w:val="en-GB"/>
        </w:rPr>
        <w:t>“</w:t>
      </w:r>
      <w:r w:rsidR="005C39FA" w:rsidRPr="00C70893">
        <w:rPr>
          <w:szCs w:val="18"/>
          <w:lang w:val="en-GB"/>
        </w:rPr>
        <w:t>Norma de securitate nucleară privind proiectarea şi construcţia centralelor nuclearoelectrice</w:t>
      </w:r>
      <w:r w:rsidR="00C41E4E">
        <w:rPr>
          <w:szCs w:val="18"/>
          <w:lang w:val="en-GB"/>
        </w:rPr>
        <w:t>”</w:t>
      </w:r>
      <w:r w:rsidR="005C39FA" w:rsidRPr="00C70893">
        <w:rPr>
          <w:szCs w:val="18"/>
          <w:lang w:val="en-GB"/>
        </w:rPr>
        <w:t>, 2010</w:t>
      </w:r>
      <w:bookmarkEnd w:id="1560"/>
    </w:p>
    <w:p w:rsidR="005C39FA" w:rsidRPr="00C70893" w:rsidRDefault="00C41E4E" w:rsidP="00E62976">
      <w:pPr>
        <w:numPr>
          <w:ilvl w:val="0"/>
          <w:numId w:val="10"/>
        </w:numPr>
        <w:ind w:left="567" w:hanging="567"/>
        <w:rPr>
          <w:lang w:val="en-GB"/>
        </w:rPr>
      </w:pPr>
      <w:bookmarkStart w:id="1561" w:name="_Ref408823862"/>
      <w:r>
        <w:rPr>
          <w:szCs w:val="18"/>
          <w:lang w:val="en-GB"/>
        </w:rPr>
        <w:t>“</w:t>
      </w:r>
      <w:r w:rsidR="005C39FA" w:rsidRPr="00C70893">
        <w:rPr>
          <w:szCs w:val="18"/>
          <w:lang w:val="en-GB"/>
        </w:rPr>
        <w:t>Romania National Report for the 2nd Extraordinary Meeting under the Convention on Nuclear Safety</w:t>
      </w:r>
      <w:r>
        <w:rPr>
          <w:szCs w:val="18"/>
          <w:lang w:val="en-GB"/>
        </w:rPr>
        <w:t>”</w:t>
      </w:r>
      <w:r w:rsidR="005C39FA" w:rsidRPr="00C70893">
        <w:rPr>
          <w:szCs w:val="18"/>
          <w:lang w:val="en-GB"/>
        </w:rPr>
        <w:t>, May 2012</w:t>
      </w:r>
      <w:bookmarkEnd w:id="1561"/>
    </w:p>
    <w:p w:rsidR="005C39FA" w:rsidRPr="00C70893" w:rsidRDefault="005C4E11" w:rsidP="00E62976">
      <w:pPr>
        <w:numPr>
          <w:ilvl w:val="0"/>
          <w:numId w:val="10"/>
        </w:numPr>
        <w:ind w:left="567" w:hanging="567"/>
        <w:rPr>
          <w:lang w:val="en-GB"/>
        </w:rPr>
      </w:pPr>
      <w:bookmarkStart w:id="1562" w:name="_Ref408825419"/>
      <w:r w:rsidRPr="00C70893">
        <w:rPr>
          <w:szCs w:val="18"/>
          <w:lang w:val="en-GB"/>
        </w:rPr>
        <w:t xml:space="preserve">CNSC, </w:t>
      </w:r>
      <w:r w:rsidR="00421463" w:rsidRPr="00C70893">
        <w:rPr>
          <w:szCs w:val="18"/>
          <w:lang w:val="en-GB"/>
        </w:rPr>
        <w:t xml:space="preserve">GD-310, </w:t>
      </w:r>
      <w:r w:rsidR="00C41E4E">
        <w:rPr>
          <w:szCs w:val="18"/>
          <w:lang w:val="en-GB"/>
        </w:rPr>
        <w:t>“</w:t>
      </w:r>
      <w:r w:rsidR="00421463" w:rsidRPr="00C70893">
        <w:rPr>
          <w:szCs w:val="18"/>
          <w:lang w:val="en-GB"/>
        </w:rPr>
        <w:t>Guidance on Safety Analysis for Nuclear Power Plants</w:t>
      </w:r>
      <w:r w:rsidR="00C41E4E">
        <w:rPr>
          <w:szCs w:val="18"/>
          <w:lang w:val="en-GB"/>
        </w:rPr>
        <w:t>”</w:t>
      </w:r>
      <w:r w:rsidR="00421463" w:rsidRPr="00C70893">
        <w:rPr>
          <w:szCs w:val="18"/>
          <w:lang w:val="en-GB"/>
        </w:rPr>
        <w:t>, February 2008</w:t>
      </w:r>
      <w:bookmarkEnd w:id="1562"/>
    </w:p>
    <w:p w:rsidR="00421463" w:rsidRPr="00C70893" w:rsidRDefault="005C4E11" w:rsidP="00E62976">
      <w:pPr>
        <w:numPr>
          <w:ilvl w:val="0"/>
          <w:numId w:val="10"/>
        </w:numPr>
        <w:ind w:left="567" w:hanging="567"/>
        <w:rPr>
          <w:lang w:val="en-GB"/>
        </w:rPr>
      </w:pPr>
      <w:bookmarkStart w:id="1563" w:name="_Ref408825018"/>
      <w:r w:rsidRPr="00C70893">
        <w:rPr>
          <w:szCs w:val="18"/>
          <w:lang w:val="en-GB"/>
        </w:rPr>
        <w:t xml:space="preserve">CNSC, </w:t>
      </w:r>
      <w:r w:rsidR="00421463" w:rsidRPr="00C70893">
        <w:rPr>
          <w:szCs w:val="18"/>
          <w:lang w:val="en-GB"/>
        </w:rPr>
        <w:t xml:space="preserve">RD/GD-369, </w:t>
      </w:r>
      <w:r w:rsidR="00C41E4E">
        <w:rPr>
          <w:szCs w:val="18"/>
          <w:lang w:val="en-GB"/>
        </w:rPr>
        <w:t>“</w:t>
      </w:r>
      <w:r w:rsidR="00421463" w:rsidRPr="00C70893">
        <w:rPr>
          <w:szCs w:val="18"/>
          <w:lang w:val="en-GB"/>
        </w:rPr>
        <w:t>Licence Application Guide Licence to Construct a Nuclear Power Plant</w:t>
      </w:r>
      <w:r w:rsidR="00C41E4E">
        <w:rPr>
          <w:szCs w:val="18"/>
          <w:lang w:val="en-GB"/>
        </w:rPr>
        <w:t>”</w:t>
      </w:r>
      <w:r w:rsidR="00421463" w:rsidRPr="00C70893">
        <w:rPr>
          <w:szCs w:val="18"/>
          <w:lang w:val="en-GB"/>
        </w:rPr>
        <w:t>, August 2011</w:t>
      </w:r>
      <w:bookmarkEnd w:id="1563"/>
    </w:p>
    <w:p w:rsidR="00421463" w:rsidRPr="00C70893" w:rsidRDefault="005C4E11" w:rsidP="00E62976">
      <w:pPr>
        <w:numPr>
          <w:ilvl w:val="0"/>
          <w:numId w:val="10"/>
        </w:numPr>
        <w:ind w:left="567" w:hanging="567"/>
        <w:rPr>
          <w:lang w:val="en-GB"/>
        </w:rPr>
      </w:pPr>
      <w:bookmarkStart w:id="1564" w:name="_Ref408825081"/>
      <w:r w:rsidRPr="00C70893">
        <w:rPr>
          <w:szCs w:val="18"/>
          <w:lang w:val="en-GB"/>
        </w:rPr>
        <w:t xml:space="preserve">CNSC, </w:t>
      </w:r>
      <w:r w:rsidR="00421463" w:rsidRPr="00C70893">
        <w:rPr>
          <w:szCs w:val="18"/>
          <w:lang w:val="en-GB"/>
        </w:rPr>
        <w:t>GD-337, Guidance for the Design of New Nuclear Power Plants, September 2012</w:t>
      </w:r>
      <w:bookmarkEnd w:id="1564"/>
    </w:p>
    <w:p w:rsidR="00421463" w:rsidRPr="00C70893" w:rsidRDefault="005C4E11" w:rsidP="00E62976">
      <w:pPr>
        <w:numPr>
          <w:ilvl w:val="0"/>
          <w:numId w:val="10"/>
        </w:numPr>
        <w:ind w:left="567" w:hanging="567"/>
        <w:rPr>
          <w:lang w:val="en-GB"/>
        </w:rPr>
      </w:pPr>
      <w:r w:rsidRPr="00C70893">
        <w:rPr>
          <w:szCs w:val="18"/>
          <w:lang w:val="en-GB"/>
        </w:rPr>
        <w:t xml:space="preserve">CNSC, </w:t>
      </w:r>
      <w:r w:rsidR="00C41E4E">
        <w:rPr>
          <w:szCs w:val="18"/>
          <w:lang w:val="en-GB"/>
        </w:rPr>
        <w:t>“</w:t>
      </w:r>
      <w:r w:rsidR="00421463" w:rsidRPr="00C70893">
        <w:rPr>
          <w:szCs w:val="18"/>
          <w:lang w:val="en-GB"/>
        </w:rPr>
        <w:t>Canadian National Report for the Second Extraordinary Meeting of the CNS</w:t>
      </w:r>
      <w:r w:rsidR="00C41E4E">
        <w:rPr>
          <w:szCs w:val="18"/>
          <w:lang w:val="en-GB"/>
        </w:rPr>
        <w:t>”</w:t>
      </w:r>
      <w:r w:rsidR="00421463" w:rsidRPr="00C70893">
        <w:rPr>
          <w:szCs w:val="18"/>
          <w:lang w:val="en-GB"/>
        </w:rPr>
        <w:t>, May 2012</w:t>
      </w:r>
    </w:p>
    <w:p w:rsidR="00421463" w:rsidRPr="00C70893" w:rsidRDefault="005C4E11" w:rsidP="00E62976">
      <w:pPr>
        <w:numPr>
          <w:ilvl w:val="0"/>
          <w:numId w:val="10"/>
        </w:numPr>
        <w:ind w:left="567" w:hanging="567"/>
        <w:rPr>
          <w:lang w:val="en-GB"/>
        </w:rPr>
      </w:pPr>
      <w:bookmarkStart w:id="1565" w:name="_Ref408825188"/>
      <w:r w:rsidRPr="00C70893">
        <w:rPr>
          <w:szCs w:val="18"/>
          <w:lang w:val="en-GB"/>
        </w:rPr>
        <w:t xml:space="preserve">CNSC, </w:t>
      </w:r>
      <w:r w:rsidR="00421463" w:rsidRPr="00C70893">
        <w:rPr>
          <w:szCs w:val="18"/>
          <w:lang w:val="en-GB"/>
        </w:rPr>
        <w:t xml:space="preserve">RD–346, </w:t>
      </w:r>
      <w:r w:rsidR="00C41E4E">
        <w:rPr>
          <w:szCs w:val="18"/>
          <w:lang w:val="en-GB"/>
        </w:rPr>
        <w:t>“</w:t>
      </w:r>
      <w:r w:rsidR="00421463" w:rsidRPr="00C70893">
        <w:rPr>
          <w:bCs/>
          <w:szCs w:val="18"/>
          <w:lang w:val="en-GB"/>
        </w:rPr>
        <w:t>Site Evaluation for New Nuclear Power Plants</w:t>
      </w:r>
      <w:r w:rsidR="00C41E4E">
        <w:rPr>
          <w:bCs/>
          <w:szCs w:val="18"/>
          <w:lang w:val="en-GB"/>
        </w:rPr>
        <w:t>”</w:t>
      </w:r>
      <w:r w:rsidR="00421463" w:rsidRPr="00C70893">
        <w:rPr>
          <w:bCs/>
          <w:szCs w:val="18"/>
          <w:lang w:val="en-GB"/>
        </w:rPr>
        <w:t xml:space="preserve">, </w:t>
      </w:r>
      <w:r w:rsidR="00421463" w:rsidRPr="00C70893">
        <w:rPr>
          <w:szCs w:val="18"/>
          <w:lang w:val="en-GB"/>
        </w:rPr>
        <w:t>November 2008</w:t>
      </w:r>
      <w:bookmarkEnd w:id="1565"/>
    </w:p>
    <w:p w:rsidR="00421463" w:rsidRPr="00E20701" w:rsidRDefault="005C4E11" w:rsidP="00E62976">
      <w:pPr>
        <w:numPr>
          <w:ilvl w:val="0"/>
          <w:numId w:val="10"/>
        </w:numPr>
        <w:ind w:left="567" w:hanging="567"/>
        <w:rPr>
          <w:lang w:val="en-GB"/>
        </w:rPr>
      </w:pPr>
      <w:bookmarkStart w:id="1566" w:name="_Ref408832490"/>
      <w:r w:rsidRPr="00E20701">
        <w:rPr>
          <w:lang w:val="en-GB"/>
        </w:rPr>
        <w:t>American Society of Mechanical Engineers, ASME/ANS RA-S-2008: “Standard for Level 1/Large Early Release Frequency Probabilistic Risk Assessment for Nuclear Power Plant Applications," (2008).</w:t>
      </w:r>
      <w:bookmarkEnd w:id="1566"/>
    </w:p>
    <w:p w:rsidR="005C4E11" w:rsidRPr="00E20701" w:rsidRDefault="005C4E11" w:rsidP="00E62976">
      <w:pPr>
        <w:numPr>
          <w:ilvl w:val="0"/>
          <w:numId w:val="10"/>
        </w:numPr>
        <w:ind w:left="567" w:hanging="567"/>
        <w:rPr>
          <w:lang w:val="en-GB"/>
        </w:rPr>
      </w:pPr>
      <w:bookmarkStart w:id="1567" w:name="_Ref408832910"/>
      <w:r w:rsidRPr="00E20701">
        <w:rPr>
          <w:lang w:val="en-GB"/>
        </w:rPr>
        <w:t xml:space="preserve">U.S. Nuclear Regulatory Commission, </w:t>
      </w:r>
      <w:r w:rsidR="00C41E4E">
        <w:rPr>
          <w:lang w:val="en-GB"/>
        </w:rPr>
        <w:t>”</w:t>
      </w:r>
      <w:r w:rsidRPr="00E20701">
        <w:rPr>
          <w:lang w:val="en-GB"/>
        </w:rPr>
        <w:t>Standard Review Plan for the Review of Safety Analysis Reports for Nuclear Power Plants, LWR Edition</w:t>
      </w:r>
      <w:r w:rsidR="00C41E4E">
        <w:rPr>
          <w:lang w:val="en-GB"/>
        </w:rPr>
        <w:t>”</w:t>
      </w:r>
      <w:r w:rsidRPr="00E20701">
        <w:rPr>
          <w:lang w:val="en-GB"/>
        </w:rPr>
        <w:t>, Report NUREG-75/087, (1975).</w:t>
      </w:r>
      <w:bookmarkEnd w:id="1567"/>
    </w:p>
    <w:p w:rsidR="002427C1" w:rsidRPr="00C70893" w:rsidRDefault="002427C1" w:rsidP="00E62976">
      <w:pPr>
        <w:numPr>
          <w:ilvl w:val="0"/>
          <w:numId w:val="10"/>
        </w:numPr>
        <w:ind w:left="567" w:hanging="567"/>
        <w:rPr>
          <w:lang w:val="en-GB"/>
        </w:rPr>
      </w:pPr>
      <w:bookmarkStart w:id="1568" w:name="_Ref408832492"/>
      <w:r w:rsidRPr="00C70893">
        <w:rPr>
          <w:bCs/>
          <w:szCs w:val="18"/>
          <w:lang w:val="en-GB"/>
        </w:rPr>
        <w:t xml:space="preserve">American Society of Mechanical Engineers (ASME), </w:t>
      </w:r>
      <w:r w:rsidR="00C41E4E">
        <w:rPr>
          <w:bCs/>
          <w:szCs w:val="18"/>
          <w:lang w:val="en-GB"/>
        </w:rPr>
        <w:t>“</w:t>
      </w:r>
      <w:r w:rsidRPr="00C70893">
        <w:rPr>
          <w:bCs/>
          <w:szCs w:val="18"/>
          <w:lang w:val="en-GB"/>
        </w:rPr>
        <w:t>Standard for Level 1/Large Early Release Frequency Probabilistic Risk Assessment for Nuclear Power Plant Applications</w:t>
      </w:r>
      <w:r w:rsidR="00C41E4E">
        <w:rPr>
          <w:bCs/>
          <w:szCs w:val="18"/>
          <w:lang w:val="en-GB"/>
        </w:rPr>
        <w:t>”</w:t>
      </w:r>
      <w:r w:rsidRPr="00C70893">
        <w:rPr>
          <w:bCs/>
          <w:szCs w:val="18"/>
          <w:lang w:val="en-GB"/>
        </w:rPr>
        <w:t>, AMSE/ANS RA-Sa-2009, 2009</w:t>
      </w:r>
      <w:bookmarkEnd w:id="1568"/>
    </w:p>
    <w:p w:rsidR="00D153B4" w:rsidRDefault="00D153B4" w:rsidP="00E62976">
      <w:pPr>
        <w:numPr>
          <w:ilvl w:val="0"/>
          <w:numId w:val="10"/>
        </w:numPr>
        <w:ind w:left="567" w:hanging="567"/>
        <w:rPr>
          <w:szCs w:val="18"/>
          <w:lang w:val="en-GB"/>
        </w:rPr>
      </w:pPr>
      <w:bookmarkStart w:id="1569" w:name="_Ref447725420"/>
      <w:bookmarkStart w:id="1570" w:name="_Ref410044916"/>
      <w:r>
        <w:rPr>
          <w:szCs w:val="18"/>
          <w:lang w:val="en-GB"/>
        </w:rPr>
        <w:t>Slovenian Nuclear Safety Administration (SNSA), Osnutek, “</w:t>
      </w:r>
      <w:r w:rsidRPr="007365D7">
        <w:rPr>
          <w:szCs w:val="18"/>
          <w:lang w:val="en-GB"/>
        </w:rPr>
        <w:t>Pravilnik o dejavnikih sevalne in jedrske varnosti</w:t>
      </w:r>
      <w:r>
        <w:rPr>
          <w:szCs w:val="18"/>
          <w:lang w:val="en-GB"/>
        </w:rPr>
        <w:t xml:space="preserve"> (JV5)”, (in English: </w:t>
      </w:r>
      <w:r w:rsidRPr="007365D7">
        <w:rPr>
          <w:szCs w:val="18"/>
          <w:lang w:val="en-GB"/>
        </w:rPr>
        <w:t>Rules on radiation and nuclear safety factors</w:t>
      </w:r>
      <w:r>
        <w:rPr>
          <w:szCs w:val="18"/>
          <w:lang w:val="en-GB"/>
        </w:rPr>
        <w:t xml:space="preserve"> (JV5), </w:t>
      </w:r>
      <w:hyperlink r:id="rId30" w:history="1">
        <w:r w:rsidRPr="009803F6">
          <w:rPr>
            <w:lang w:val="en-US"/>
          </w:rPr>
          <w:t>http://www.ursjv.gov.si/fileadmin/ujv.gov.si/pageuploads/si/Zakonodaja/SlovenskiPredpisi/osnutki__predlogi_predpisov/JV5_osnutek.pdf</w:t>
        </w:r>
      </w:hyperlink>
      <w:bookmarkEnd w:id="1569"/>
    </w:p>
    <w:p w:rsidR="0071318D" w:rsidRPr="004B3DA1" w:rsidRDefault="0071318D" w:rsidP="00E62976">
      <w:pPr>
        <w:numPr>
          <w:ilvl w:val="0"/>
          <w:numId w:val="10"/>
        </w:numPr>
        <w:ind w:left="567" w:hanging="567"/>
        <w:rPr>
          <w:bCs/>
          <w:szCs w:val="18"/>
          <w:lang w:val="en-GB"/>
        </w:rPr>
      </w:pPr>
      <w:bookmarkStart w:id="1571" w:name="_Ref450205827"/>
      <w:bookmarkEnd w:id="1570"/>
      <w:r w:rsidRPr="004B3DA1">
        <w:rPr>
          <w:bCs/>
          <w:szCs w:val="18"/>
          <w:lang w:val="en-GB"/>
        </w:rPr>
        <w:t>NEA/CNRA/R(2014)9</w:t>
      </w:r>
      <w:r w:rsidR="00C41E4E" w:rsidRPr="004B3DA1">
        <w:rPr>
          <w:bCs/>
          <w:szCs w:val="18"/>
          <w:lang w:val="en-GB"/>
        </w:rPr>
        <w:t>,</w:t>
      </w:r>
      <w:r w:rsidRPr="004B3DA1">
        <w:rPr>
          <w:bCs/>
          <w:szCs w:val="18"/>
          <w:lang w:val="en-GB"/>
        </w:rPr>
        <w:t xml:space="preserve"> July 2014</w:t>
      </w:r>
      <w:r w:rsidR="00EF6BDD" w:rsidRPr="004B3DA1">
        <w:rPr>
          <w:bCs/>
          <w:szCs w:val="18"/>
          <w:lang w:val="en-GB"/>
        </w:rPr>
        <w:t>,</w:t>
      </w:r>
      <w:r w:rsidRPr="004B3DA1">
        <w:rPr>
          <w:bCs/>
          <w:szCs w:val="18"/>
          <w:lang w:val="en-GB"/>
        </w:rPr>
        <w:t xml:space="preserve"> </w:t>
      </w:r>
      <w:r w:rsidR="00EF6BDD" w:rsidRPr="004B3DA1">
        <w:rPr>
          <w:bCs/>
          <w:szCs w:val="18"/>
          <w:lang w:val="en-GB"/>
        </w:rPr>
        <w:t>“</w:t>
      </w:r>
      <w:r w:rsidRPr="004B3DA1">
        <w:rPr>
          <w:bCs/>
          <w:szCs w:val="18"/>
          <w:lang w:val="en-GB"/>
        </w:rPr>
        <w:t>Probabilistic Safety Assessment, (PSA) of Natural External, Hazards Including Earthquakes, Workshop Proceedings</w:t>
      </w:r>
      <w:r w:rsidR="00EF6BDD" w:rsidRPr="004B3DA1">
        <w:rPr>
          <w:bCs/>
          <w:szCs w:val="18"/>
          <w:lang w:val="en-GB"/>
        </w:rPr>
        <w:t>”</w:t>
      </w:r>
      <w:r w:rsidRPr="004B3DA1">
        <w:rPr>
          <w:bCs/>
          <w:szCs w:val="18"/>
          <w:lang w:val="en-GB"/>
        </w:rPr>
        <w:t xml:space="preserve">, Prague, Czech </w:t>
      </w:r>
      <w:r w:rsidR="00AD6DB9" w:rsidRPr="004B3DA1">
        <w:rPr>
          <w:bCs/>
          <w:szCs w:val="18"/>
          <w:lang w:val="en-GB"/>
        </w:rPr>
        <w:t>Republic</w:t>
      </w:r>
      <w:r w:rsidRPr="004B3DA1">
        <w:rPr>
          <w:bCs/>
          <w:szCs w:val="18"/>
          <w:lang w:val="en-GB"/>
        </w:rPr>
        <w:t>, 17-20 June 2013</w:t>
      </w:r>
      <w:bookmarkEnd w:id="1571"/>
    </w:p>
    <w:p w:rsidR="001942DF" w:rsidRPr="00EF6BDD" w:rsidRDefault="00D31807" w:rsidP="00E62976">
      <w:pPr>
        <w:numPr>
          <w:ilvl w:val="0"/>
          <w:numId w:val="10"/>
        </w:numPr>
        <w:ind w:left="567" w:hanging="567"/>
        <w:rPr>
          <w:bCs/>
          <w:szCs w:val="18"/>
          <w:lang w:val="en-GB"/>
        </w:rPr>
      </w:pPr>
      <w:bookmarkStart w:id="1572" w:name="_Ref413237625"/>
      <w:r w:rsidRPr="004B3DA1">
        <w:rPr>
          <w:bCs/>
          <w:szCs w:val="18"/>
          <w:lang w:val="en-GB"/>
        </w:rPr>
        <w:t xml:space="preserve">IAEA, </w:t>
      </w:r>
      <w:r w:rsidR="00EF6BDD" w:rsidRPr="004B3DA1">
        <w:rPr>
          <w:bCs/>
          <w:szCs w:val="18"/>
          <w:lang w:val="en-GB"/>
        </w:rPr>
        <w:t>“</w:t>
      </w:r>
      <w:r w:rsidRPr="004B3DA1">
        <w:rPr>
          <w:bCs/>
          <w:szCs w:val="18"/>
          <w:lang w:val="en-GB"/>
        </w:rPr>
        <w:t>Evaluation of Seismic Hazards for Nuclear Power Plants</w:t>
      </w:r>
      <w:r w:rsidR="00EF6BDD" w:rsidRPr="004B3DA1">
        <w:rPr>
          <w:bCs/>
          <w:szCs w:val="18"/>
          <w:lang w:val="en-GB"/>
        </w:rPr>
        <w:t>”</w:t>
      </w:r>
      <w:r w:rsidRPr="004B3DA1">
        <w:rPr>
          <w:bCs/>
          <w:szCs w:val="18"/>
          <w:lang w:val="en-GB"/>
        </w:rPr>
        <w:t>, Safety Standards Series No. NS-G-3.3, Vienna 2003</w:t>
      </w:r>
      <w:bookmarkEnd w:id="1572"/>
    </w:p>
    <w:p w:rsidR="00D31807" w:rsidRPr="00EF6BDD" w:rsidRDefault="00B57F2E" w:rsidP="00E62976">
      <w:pPr>
        <w:numPr>
          <w:ilvl w:val="0"/>
          <w:numId w:val="10"/>
        </w:numPr>
        <w:ind w:left="567" w:hanging="567"/>
        <w:rPr>
          <w:bCs/>
          <w:szCs w:val="18"/>
          <w:lang w:val="en-GB"/>
        </w:rPr>
      </w:pPr>
      <w:bookmarkStart w:id="1573" w:name="_Ref418687554"/>
      <w:r w:rsidRPr="00E20701">
        <w:rPr>
          <w:lang w:val="en-GB"/>
        </w:rPr>
        <w:t>International Atomic Energy Agency (IAEA)</w:t>
      </w:r>
      <w:r w:rsidR="00D31807" w:rsidRPr="004B3DA1">
        <w:rPr>
          <w:bCs/>
          <w:szCs w:val="18"/>
          <w:lang w:val="en-GB"/>
        </w:rPr>
        <w:t xml:space="preserve">, Safety Series No. 50-P-7, </w:t>
      </w:r>
      <w:r w:rsidR="00EF6BDD">
        <w:rPr>
          <w:bCs/>
          <w:szCs w:val="18"/>
          <w:lang w:val="en-GB"/>
        </w:rPr>
        <w:t>“</w:t>
      </w:r>
      <w:r w:rsidR="00D31807" w:rsidRPr="004B3DA1">
        <w:rPr>
          <w:bCs/>
          <w:szCs w:val="18"/>
          <w:lang w:val="en-GB"/>
        </w:rPr>
        <w:t>Treatment of External Hazards in Probabilistic Safety Assessment for Nuclear Power Plants</w:t>
      </w:r>
      <w:r w:rsidR="00EF6BDD">
        <w:rPr>
          <w:bCs/>
          <w:szCs w:val="18"/>
          <w:lang w:val="en-GB"/>
        </w:rPr>
        <w:t>”</w:t>
      </w:r>
      <w:r w:rsidR="00D31807" w:rsidRPr="004B3DA1">
        <w:rPr>
          <w:bCs/>
          <w:szCs w:val="18"/>
          <w:lang w:val="en-GB"/>
        </w:rPr>
        <w:t>, 1995</w:t>
      </w:r>
      <w:bookmarkEnd w:id="1573"/>
    </w:p>
    <w:p w:rsidR="00D31807" w:rsidRPr="00EF6BDD" w:rsidRDefault="00B57F2E" w:rsidP="00E62976">
      <w:pPr>
        <w:numPr>
          <w:ilvl w:val="0"/>
          <w:numId w:val="10"/>
        </w:numPr>
        <w:ind w:left="567" w:hanging="567"/>
        <w:rPr>
          <w:bCs/>
          <w:szCs w:val="18"/>
          <w:lang w:val="en-GB"/>
        </w:rPr>
      </w:pPr>
      <w:bookmarkStart w:id="1574" w:name="_Ref413237730"/>
      <w:r w:rsidRPr="00E20701">
        <w:rPr>
          <w:lang w:val="en-GB"/>
        </w:rPr>
        <w:t>International Atomic Energy Agency (IAEA)</w:t>
      </w:r>
      <w:r w:rsidR="00551712" w:rsidRPr="004B3DA1">
        <w:rPr>
          <w:bCs/>
          <w:szCs w:val="18"/>
          <w:lang w:val="en-GB"/>
        </w:rPr>
        <w:t xml:space="preserve">, </w:t>
      </w:r>
      <w:r w:rsidR="00D31807" w:rsidRPr="004B3DA1">
        <w:rPr>
          <w:bCs/>
          <w:szCs w:val="18"/>
          <w:lang w:val="en-GB"/>
        </w:rPr>
        <w:t xml:space="preserve">50-SG-S11A, </w:t>
      </w:r>
      <w:r w:rsidR="00EF6BDD">
        <w:rPr>
          <w:bCs/>
          <w:szCs w:val="18"/>
          <w:lang w:val="en-GB"/>
        </w:rPr>
        <w:t>“</w:t>
      </w:r>
      <w:r w:rsidR="00D31807" w:rsidRPr="004B3DA1">
        <w:rPr>
          <w:bCs/>
          <w:szCs w:val="18"/>
          <w:lang w:val="en-GB"/>
        </w:rPr>
        <w:t>Extreme meteorological events in nuclear power plant siting, excluding tropical cyclones</w:t>
      </w:r>
      <w:r w:rsidR="00EF6BDD">
        <w:rPr>
          <w:bCs/>
          <w:szCs w:val="18"/>
          <w:lang w:val="en-GB"/>
        </w:rPr>
        <w:t>”</w:t>
      </w:r>
      <w:r w:rsidR="00D31807" w:rsidRPr="004B3DA1">
        <w:rPr>
          <w:bCs/>
          <w:szCs w:val="18"/>
          <w:lang w:val="en-GB"/>
        </w:rPr>
        <w:t>, IAEA 1981</w:t>
      </w:r>
      <w:bookmarkEnd w:id="1574"/>
    </w:p>
    <w:p w:rsidR="00D31807" w:rsidRPr="00E62976" w:rsidRDefault="00B57F2E" w:rsidP="00E62976">
      <w:pPr>
        <w:numPr>
          <w:ilvl w:val="0"/>
          <w:numId w:val="10"/>
        </w:numPr>
        <w:ind w:left="567" w:hanging="567"/>
        <w:rPr>
          <w:bCs/>
          <w:szCs w:val="18"/>
          <w:lang w:val="en-GB"/>
        </w:rPr>
      </w:pPr>
      <w:r w:rsidRPr="00E62976">
        <w:rPr>
          <w:bCs/>
          <w:szCs w:val="18"/>
          <w:lang w:val="en-GB"/>
        </w:rPr>
        <w:t>International Atomic Energy Agency (IAEA)</w:t>
      </w:r>
      <w:r w:rsidR="00D31807" w:rsidRPr="00E62976">
        <w:rPr>
          <w:bCs/>
          <w:szCs w:val="18"/>
          <w:lang w:val="en-GB"/>
        </w:rPr>
        <w:t xml:space="preserve"> Safety Standards, Safety Aspects in Siting for Nuclear Installations, DS433, draft 2013</w:t>
      </w:r>
    </w:p>
    <w:p w:rsidR="00D31807" w:rsidRPr="00EF6BDD" w:rsidRDefault="00D31807" w:rsidP="00E62976">
      <w:pPr>
        <w:numPr>
          <w:ilvl w:val="0"/>
          <w:numId w:val="10"/>
        </w:numPr>
        <w:ind w:left="567" w:hanging="567"/>
        <w:rPr>
          <w:bCs/>
          <w:szCs w:val="18"/>
          <w:lang w:val="en-GB"/>
        </w:rPr>
      </w:pPr>
      <w:r w:rsidRPr="004B3DA1">
        <w:rPr>
          <w:bCs/>
          <w:szCs w:val="18"/>
          <w:lang w:val="en-GB"/>
        </w:rPr>
        <w:t xml:space="preserve">DOE Standard DOE-STD-3014-96, </w:t>
      </w:r>
      <w:r w:rsidR="00EF6BDD">
        <w:rPr>
          <w:bCs/>
          <w:szCs w:val="18"/>
          <w:lang w:val="en-GB"/>
        </w:rPr>
        <w:t>“</w:t>
      </w:r>
      <w:r w:rsidRPr="004B3DA1">
        <w:rPr>
          <w:bCs/>
          <w:szCs w:val="18"/>
          <w:lang w:val="en-GB"/>
        </w:rPr>
        <w:t>Accident Analysis for Aircraft Crash into Hazardous Facilities</w:t>
      </w:r>
      <w:r w:rsidR="00EF6BDD">
        <w:rPr>
          <w:bCs/>
          <w:szCs w:val="18"/>
          <w:lang w:val="en-GB"/>
        </w:rPr>
        <w:t>”</w:t>
      </w:r>
      <w:r w:rsidRPr="004B3DA1">
        <w:rPr>
          <w:bCs/>
          <w:szCs w:val="18"/>
          <w:lang w:val="en-GB"/>
        </w:rPr>
        <w:t>, U.S. Department of Energy, Washington, DC, October 1996</w:t>
      </w:r>
    </w:p>
    <w:p w:rsidR="00D31807" w:rsidRPr="00EF6BDD" w:rsidRDefault="00D31807" w:rsidP="00E62976">
      <w:pPr>
        <w:numPr>
          <w:ilvl w:val="0"/>
          <w:numId w:val="10"/>
        </w:numPr>
        <w:ind w:left="567" w:hanging="567"/>
        <w:rPr>
          <w:bCs/>
          <w:szCs w:val="18"/>
          <w:lang w:val="en-GB"/>
        </w:rPr>
      </w:pPr>
      <w:r w:rsidRPr="004B3DA1">
        <w:rPr>
          <w:bCs/>
          <w:szCs w:val="18"/>
          <w:lang w:val="en-GB"/>
        </w:rPr>
        <w:t xml:space="preserve">WENRA RHWG, </w:t>
      </w:r>
      <w:r w:rsidR="00EF6BDD">
        <w:rPr>
          <w:bCs/>
          <w:szCs w:val="18"/>
          <w:lang w:val="en-GB"/>
        </w:rPr>
        <w:t>“</w:t>
      </w:r>
      <w:r w:rsidRPr="004B3DA1">
        <w:rPr>
          <w:bCs/>
          <w:szCs w:val="18"/>
          <w:lang w:val="en-GB"/>
        </w:rPr>
        <w:t>Guidance Document Issue T: Natural Hazards Head Document</w:t>
      </w:r>
      <w:r w:rsidR="00EF6BDD">
        <w:rPr>
          <w:bCs/>
          <w:szCs w:val="18"/>
          <w:lang w:val="en-GB"/>
        </w:rPr>
        <w:t>”</w:t>
      </w:r>
      <w:r w:rsidRPr="004B3DA1">
        <w:rPr>
          <w:bCs/>
          <w:szCs w:val="18"/>
          <w:lang w:val="en-GB"/>
        </w:rPr>
        <w:t xml:space="preserve">, Guideline for the WENRA-RHWG Safety Reference Levels for Natural hazards introduced as lesson learned from TEPCO Fukushima Daiichi accident, </w:t>
      </w:r>
      <w:r w:rsidR="008C3F7D" w:rsidRPr="004B3DA1">
        <w:rPr>
          <w:bCs/>
          <w:szCs w:val="18"/>
          <w:lang w:val="en-GB"/>
        </w:rPr>
        <w:t xml:space="preserve">April </w:t>
      </w:r>
      <w:r w:rsidRPr="004B3DA1">
        <w:rPr>
          <w:bCs/>
          <w:szCs w:val="18"/>
          <w:lang w:val="en-GB"/>
        </w:rPr>
        <w:t>201</w:t>
      </w:r>
      <w:r w:rsidR="008C3F7D" w:rsidRPr="004B3DA1">
        <w:rPr>
          <w:bCs/>
          <w:szCs w:val="18"/>
          <w:lang w:val="en-GB"/>
        </w:rPr>
        <w:t>5</w:t>
      </w:r>
    </w:p>
    <w:p w:rsidR="00D31807" w:rsidRPr="00EF6BDD" w:rsidRDefault="00D31807" w:rsidP="00E62976">
      <w:pPr>
        <w:numPr>
          <w:ilvl w:val="0"/>
          <w:numId w:val="10"/>
        </w:numPr>
        <w:ind w:left="567" w:hanging="567"/>
        <w:rPr>
          <w:bCs/>
          <w:szCs w:val="18"/>
          <w:lang w:val="en-GB"/>
        </w:rPr>
      </w:pPr>
      <w:bookmarkStart w:id="1575" w:name="_Ref464301768"/>
      <w:r w:rsidRPr="004B3DA1">
        <w:rPr>
          <w:bCs/>
          <w:szCs w:val="18"/>
          <w:lang w:val="en-GB"/>
        </w:rPr>
        <w:t xml:space="preserve">EPRI 1022997, </w:t>
      </w:r>
      <w:r w:rsidR="00EF6BDD">
        <w:rPr>
          <w:bCs/>
          <w:szCs w:val="18"/>
          <w:lang w:val="en-GB"/>
        </w:rPr>
        <w:t>“</w:t>
      </w:r>
      <w:r w:rsidRPr="004B3DA1">
        <w:rPr>
          <w:bCs/>
          <w:szCs w:val="18"/>
          <w:lang w:val="en-GB"/>
        </w:rPr>
        <w:t>Identification of External Hazards for Analysis in Probabilistic Risk Assessment</w:t>
      </w:r>
      <w:r w:rsidR="00EF6BDD">
        <w:rPr>
          <w:bCs/>
          <w:szCs w:val="18"/>
          <w:lang w:val="en-GB"/>
        </w:rPr>
        <w:t>”</w:t>
      </w:r>
      <w:r w:rsidRPr="004B3DA1">
        <w:rPr>
          <w:bCs/>
          <w:szCs w:val="18"/>
          <w:lang w:val="en-GB"/>
        </w:rPr>
        <w:t>, Technical Update, December 2011</w:t>
      </w:r>
      <w:bookmarkEnd w:id="1575"/>
    </w:p>
    <w:p w:rsidR="00D31807" w:rsidRPr="00E62976" w:rsidRDefault="00D31807" w:rsidP="00E62976">
      <w:pPr>
        <w:numPr>
          <w:ilvl w:val="0"/>
          <w:numId w:val="10"/>
        </w:numPr>
        <w:ind w:left="567" w:hanging="567"/>
        <w:rPr>
          <w:bCs/>
          <w:szCs w:val="18"/>
          <w:lang w:val="en-GB"/>
        </w:rPr>
      </w:pPr>
      <w:bookmarkStart w:id="1576" w:name="_Ref413237629"/>
      <w:r w:rsidRPr="00E62976">
        <w:rPr>
          <w:bCs/>
          <w:szCs w:val="18"/>
          <w:lang w:val="en-GB"/>
        </w:rPr>
        <w:t>BN-JB-1.7, Selection and evaluation of the accident conditions and risks for nuclear power plants, Safety instructions, SÚJB (National regulatory body), December 2010</w:t>
      </w:r>
      <w:bookmarkEnd w:id="1576"/>
    </w:p>
    <w:p w:rsidR="00907F8A" w:rsidRPr="00E20701" w:rsidRDefault="00907F8A" w:rsidP="00E62976">
      <w:pPr>
        <w:numPr>
          <w:ilvl w:val="0"/>
          <w:numId w:val="10"/>
        </w:numPr>
        <w:ind w:left="567" w:hanging="567"/>
        <w:rPr>
          <w:lang w:val="en-GB"/>
        </w:rPr>
      </w:pPr>
      <w:bookmarkStart w:id="1577" w:name="_Ref413682601"/>
      <w:r w:rsidRPr="00E20701">
        <w:rPr>
          <w:lang w:val="en-GB"/>
        </w:rPr>
        <w:t>Kuzmina, I., A. Lyubarskiy, M. El-Shanawany, “An Approach for Systematic Review of the Nuclear Facilities Protection against the Impact of Extreme Events”, Nordic PSA Conference, Castle Meeting 2011, September 2011</w:t>
      </w:r>
      <w:bookmarkEnd w:id="1577"/>
    </w:p>
    <w:p w:rsidR="00907F8A" w:rsidRPr="00C70893" w:rsidRDefault="00907F8A" w:rsidP="00E62976">
      <w:pPr>
        <w:numPr>
          <w:ilvl w:val="0"/>
          <w:numId w:val="10"/>
        </w:numPr>
        <w:ind w:left="567" w:hanging="567"/>
        <w:rPr>
          <w:lang w:val="en-GB"/>
        </w:rPr>
      </w:pPr>
      <w:bookmarkStart w:id="1578" w:name="_Ref413682602"/>
      <w:r w:rsidRPr="00E20701">
        <w:rPr>
          <w:lang w:val="en-GB"/>
        </w:rPr>
        <w:t xml:space="preserve">Kuzmina, I., A. Lyubarski, P. Hughes, J. Klügel, T. Koslik, V. Serebrjakov, </w:t>
      </w:r>
      <w:r w:rsidR="00D53BF7" w:rsidRPr="00E20701">
        <w:rPr>
          <w:lang w:val="en-GB"/>
        </w:rPr>
        <w:t>“</w:t>
      </w:r>
      <w:r w:rsidRPr="00E20701">
        <w:rPr>
          <w:lang w:val="en-GB"/>
        </w:rPr>
        <w:t xml:space="preserve">Fault Sequence Analysis Method to Assist in Evaluation </w:t>
      </w:r>
      <w:r w:rsidRPr="00C70893">
        <w:rPr>
          <w:lang w:val="en-GB"/>
        </w:rPr>
        <w:t>of the Impact of Extreme Events on NPP“, Nordic PSA Conference – Castle Meeting 2013, April 2013</w:t>
      </w:r>
      <w:bookmarkEnd w:id="1578"/>
    </w:p>
    <w:p w:rsidR="00FA3BDC" w:rsidRPr="00C70893" w:rsidRDefault="004F4763" w:rsidP="00E62976">
      <w:pPr>
        <w:numPr>
          <w:ilvl w:val="0"/>
          <w:numId w:val="10"/>
        </w:numPr>
        <w:ind w:left="567" w:hanging="567"/>
        <w:rPr>
          <w:lang w:val="en-GB"/>
        </w:rPr>
      </w:pPr>
      <w:bookmarkStart w:id="1579" w:name="_Ref418680315"/>
      <w:r>
        <w:rPr>
          <w:szCs w:val="18"/>
          <w:lang w:val="en-GB"/>
        </w:rPr>
        <w:t>“</w:t>
      </w:r>
      <w:r w:rsidR="00B73858" w:rsidRPr="00C70893">
        <w:rPr>
          <w:szCs w:val="18"/>
          <w:lang w:val="en-GB"/>
        </w:rPr>
        <w:t>Regulation on ensuring the safety of NPPs</w:t>
      </w:r>
      <w:r>
        <w:rPr>
          <w:szCs w:val="18"/>
          <w:lang w:val="en-GB"/>
        </w:rPr>
        <w:t>”</w:t>
      </w:r>
      <w:r w:rsidR="00B73858" w:rsidRPr="00C70893">
        <w:rPr>
          <w:szCs w:val="18"/>
          <w:lang w:val="en-GB"/>
        </w:rPr>
        <w:t xml:space="preserve">, </w:t>
      </w:r>
      <w:r w:rsidR="00B73858" w:rsidRPr="00C70893">
        <w:rPr>
          <w:szCs w:val="18"/>
          <w:lang w:val="en-GB" w:eastAsia="bg-BG"/>
        </w:rPr>
        <w:t>Published SG No.</w:t>
      </w:r>
      <w:r w:rsidR="00FA3BDC" w:rsidRPr="00C70893">
        <w:rPr>
          <w:szCs w:val="18"/>
          <w:lang w:val="en-GB" w:eastAsia="bg-BG"/>
        </w:rPr>
        <w:t> </w:t>
      </w:r>
      <w:r w:rsidR="00B73858" w:rsidRPr="00C70893">
        <w:rPr>
          <w:szCs w:val="18"/>
          <w:lang w:val="en-GB" w:eastAsia="bg-BG"/>
        </w:rPr>
        <w:t>66 of 30 July 2004,</w:t>
      </w:r>
      <w:r w:rsidR="00B73858" w:rsidRPr="00C70893">
        <w:rPr>
          <w:szCs w:val="18"/>
          <w:lang w:val="en-GB"/>
        </w:rPr>
        <w:t xml:space="preserve"> amended SG No. 46 of 12 June</w:t>
      </w:r>
      <w:r w:rsidR="00FA3BDC" w:rsidRPr="00C70893">
        <w:rPr>
          <w:szCs w:val="18"/>
          <w:lang w:val="en-GB"/>
        </w:rPr>
        <w:t xml:space="preserve"> 2007, amended SG No. 53 of 10 June 2008, and amended SG No. 5 of 19 January 2010 (in Bulgarian)</w:t>
      </w:r>
      <w:bookmarkEnd w:id="1579"/>
    </w:p>
    <w:p w:rsidR="00551712" w:rsidRPr="00C70893" w:rsidRDefault="00FA3BDC" w:rsidP="00E62976">
      <w:pPr>
        <w:numPr>
          <w:ilvl w:val="0"/>
          <w:numId w:val="10"/>
        </w:numPr>
        <w:ind w:left="567" w:hanging="567"/>
        <w:rPr>
          <w:lang w:val="en-GB"/>
        </w:rPr>
      </w:pPr>
      <w:bookmarkStart w:id="1580" w:name="_Ref418680476"/>
      <w:r w:rsidRPr="00C70893">
        <w:rPr>
          <w:szCs w:val="18"/>
          <w:lang w:val="en-GB"/>
        </w:rPr>
        <w:t xml:space="preserve">BNRA, </w:t>
      </w:r>
      <w:r w:rsidR="004F4763">
        <w:rPr>
          <w:szCs w:val="18"/>
          <w:lang w:val="en-GB"/>
        </w:rPr>
        <w:t>“</w:t>
      </w:r>
      <w:r w:rsidRPr="00C70893">
        <w:rPr>
          <w:szCs w:val="18"/>
          <w:lang w:val="en-GB"/>
        </w:rPr>
        <w:t xml:space="preserve">Safety Guide, Probabilistic </w:t>
      </w:r>
      <w:r w:rsidR="009E43CB">
        <w:rPr>
          <w:szCs w:val="18"/>
          <w:lang w:val="en-GB"/>
        </w:rPr>
        <w:t>S</w:t>
      </w:r>
      <w:r w:rsidRPr="00C70893">
        <w:rPr>
          <w:szCs w:val="18"/>
          <w:lang w:val="en-GB"/>
        </w:rPr>
        <w:t>afety Analysis of Nuclear Power Plants</w:t>
      </w:r>
      <w:r w:rsidR="004F4763">
        <w:rPr>
          <w:szCs w:val="18"/>
          <w:lang w:val="en-GB"/>
        </w:rPr>
        <w:t>”</w:t>
      </w:r>
      <w:r w:rsidRPr="00C70893">
        <w:rPr>
          <w:szCs w:val="18"/>
          <w:lang w:val="en-GB"/>
        </w:rPr>
        <w:t>, PP-7/2010 (in Bulgarian)</w:t>
      </w:r>
      <w:bookmarkEnd w:id="1580"/>
      <w:r w:rsidRPr="00C70893">
        <w:rPr>
          <w:szCs w:val="18"/>
          <w:lang w:val="en-GB"/>
        </w:rPr>
        <w:t xml:space="preserve"> </w:t>
      </w:r>
    </w:p>
    <w:p w:rsidR="001A4941" w:rsidRPr="00C70893" w:rsidRDefault="001A4941" w:rsidP="00E62976">
      <w:pPr>
        <w:numPr>
          <w:ilvl w:val="0"/>
          <w:numId w:val="10"/>
        </w:numPr>
        <w:ind w:left="567" w:hanging="567"/>
        <w:rPr>
          <w:szCs w:val="18"/>
          <w:lang w:val="en-GB"/>
        </w:rPr>
      </w:pPr>
      <w:bookmarkStart w:id="1581" w:name="_Ref418687543"/>
      <w:bookmarkStart w:id="1582" w:name="_Ref450740465"/>
      <w:r w:rsidRPr="00C70893">
        <w:rPr>
          <w:szCs w:val="18"/>
          <w:lang w:val="en-GB"/>
        </w:rPr>
        <w:t xml:space="preserve">Knochenhauer, M., P. Louko, </w:t>
      </w:r>
      <w:r w:rsidR="00551712" w:rsidRPr="00C70893">
        <w:rPr>
          <w:szCs w:val="18"/>
          <w:lang w:val="en-GB"/>
        </w:rPr>
        <w:t>“</w:t>
      </w:r>
      <w:r w:rsidRPr="00C70893">
        <w:rPr>
          <w:szCs w:val="18"/>
          <w:lang w:val="en-GB"/>
        </w:rPr>
        <w:t>Guidance for External Event Analysis</w:t>
      </w:r>
      <w:r w:rsidR="00551712" w:rsidRPr="00C70893">
        <w:rPr>
          <w:szCs w:val="18"/>
          <w:lang w:val="en-GB"/>
        </w:rPr>
        <w:t>”</w:t>
      </w:r>
      <w:r w:rsidRPr="00C70893">
        <w:rPr>
          <w:szCs w:val="18"/>
          <w:lang w:val="en-GB"/>
        </w:rPr>
        <w:t>, SKI Report 02-27, February</w:t>
      </w:r>
      <w:r w:rsidR="00551712" w:rsidRPr="00C70893">
        <w:rPr>
          <w:szCs w:val="18"/>
          <w:lang w:val="en-GB"/>
        </w:rPr>
        <w:t xml:space="preserve"> 2013</w:t>
      </w:r>
      <w:bookmarkEnd w:id="1581"/>
      <w:bookmarkEnd w:id="1582"/>
    </w:p>
    <w:p w:rsidR="001A4941" w:rsidRPr="00C70893" w:rsidRDefault="00B57F2E" w:rsidP="00E62976">
      <w:pPr>
        <w:numPr>
          <w:ilvl w:val="0"/>
          <w:numId w:val="10"/>
        </w:numPr>
        <w:ind w:left="567" w:hanging="567"/>
        <w:rPr>
          <w:szCs w:val="18"/>
          <w:lang w:val="en-GB"/>
        </w:rPr>
      </w:pPr>
      <w:bookmarkStart w:id="1583" w:name="_Ref418687566"/>
      <w:r w:rsidRPr="00E20701">
        <w:rPr>
          <w:lang w:val="en-GB"/>
        </w:rPr>
        <w:t>International Atomic Energy Agency (IAEA)</w:t>
      </w:r>
      <w:r w:rsidR="001A4941" w:rsidRPr="00C70893">
        <w:rPr>
          <w:szCs w:val="18"/>
          <w:lang w:val="en-GB"/>
        </w:rPr>
        <w:t>, “</w:t>
      </w:r>
      <w:r w:rsidR="001A4941" w:rsidRPr="00C70893">
        <w:rPr>
          <w:lang w:val="en-GB"/>
        </w:rPr>
        <w:t>External Man-Induced Events in Relation to Nuclear Power Plants”, Safety Series 50-</w:t>
      </w:r>
      <w:r w:rsidR="0006161D">
        <w:rPr>
          <w:lang w:val="en-GB"/>
        </w:rPr>
        <w:t>SG-D5</w:t>
      </w:r>
      <w:r w:rsidR="001A4941" w:rsidRPr="00C70893">
        <w:rPr>
          <w:lang w:val="en-GB"/>
        </w:rPr>
        <w:t>, 1996</w:t>
      </w:r>
      <w:bookmarkEnd w:id="1583"/>
    </w:p>
    <w:p w:rsidR="001A4941" w:rsidRPr="00C70893" w:rsidRDefault="00B57F2E" w:rsidP="00E62976">
      <w:pPr>
        <w:numPr>
          <w:ilvl w:val="0"/>
          <w:numId w:val="10"/>
        </w:numPr>
        <w:ind w:left="567" w:hanging="567"/>
        <w:rPr>
          <w:szCs w:val="18"/>
          <w:lang w:val="en-GB"/>
        </w:rPr>
      </w:pPr>
      <w:bookmarkStart w:id="1584" w:name="_Ref418687586"/>
      <w:r w:rsidRPr="00E20701">
        <w:rPr>
          <w:lang w:val="en-GB"/>
        </w:rPr>
        <w:t>International Atomic Energy Agency (IAEA)</w:t>
      </w:r>
      <w:r w:rsidR="001A4941" w:rsidRPr="00C70893">
        <w:rPr>
          <w:szCs w:val="18"/>
          <w:lang w:val="en-GB"/>
        </w:rPr>
        <w:t>, “</w:t>
      </w:r>
      <w:r w:rsidR="001A4941" w:rsidRPr="00C70893">
        <w:rPr>
          <w:lang w:val="en-GB"/>
        </w:rPr>
        <w:t>Meteorological Events in Site Evaluation of Nuclear Power Plants”, Safety Guide NS-G-3.4, May 2003</w:t>
      </w:r>
      <w:bookmarkEnd w:id="1584"/>
    </w:p>
    <w:p w:rsidR="001A4941" w:rsidRPr="00C70893" w:rsidRDefault="001A4941" w:rsidP="00E62976">
      <w:pPr>
        <w:numPr>
          <w:ilvl w:val="0"/>
          <w:numId w:val="10"/>
        </w:numPr>
        <w:ind w:left="567" w:hanging="567"/>
        <w:rPr>
          <w:szCs w:val="18"/>
          <w:lang w:val="en-GB"/>
        </w:rPr>
      </w:pPr>
      <w:bookmarkStart w:id="1585" w:name="_Ref418687617"/>
      <w:r w:rsidRPr="00C70893">
        <w:rPr>
          <w:szCs w:val="18"/>
          <w:lang w:val="en-GB"/>
        </w:rPr>
        <w:t>Kimura, C. Y., R. J. Budnitz, “Evaluation of External Hazards to Nuclear Power Plants in the United States”, December 1987</w:t>
      </w:r>
      <w:bookmarkEnd w:id="1585"/>
      <w:r w:rsidR="00560FC0">
        <w:rPr>
          <w:szCs w:val="18"/>
          <w:lang w:val="en-GB"/>
        </w:rPr>
        <w:t>, NUREG/CR-5042.</w:t>
      </w:r>
    </w:p>
    <w:p w:rsidR="00B73858" w:rsidRPr="00C70893" w:rsidRDefault="00D611D8" w:rsidP="00E62976">
      <w:pPr>
        <w:numPr>
          <w:ilvl w:val="0"/>
          <w:numId w:val="10"/>
        </w:numPr>
        <w:ind w:left="567" w:hanging="567"/>
        <w:rPr>
          <w:szCs w:val="18"/>
          <w:lang w:val="en-GB"/>
        </w:rPr>
      </w:pPr>
      <w:bookmarkStart w:id="1586" w:name="_Ref418687720"/>
      <w:bookmarkStart w:id="1587" w:name="_Ref450740600"/>
      <w:r w:rsidRPr="00C70893">
        <w:rPr>
          <w:szCs w:val="18"/>
          <w:lang w:val="en-GB"/>
        </w:rPr>
        <w:t xml:space="preserve">Chen, J. T. et al., </w:t>
      </w:r>
      <w:r w:rsidR="002C271A" w:rsidRPr="00C70893">
        <w:rPr>
          <w:szCs w:val="18"/>
          <w:lang w:val="en-GB"/>
        </w:rPr>
        <w:t>“</w:t>
      </w:r>
      <w:r w:rsidRPr="00C70893">
        <w:rPr>
          <w:szCs w:val="18"/>
          <w:lang w:val="en-GB"/>
        </w:rPr>
        <w:t>Procedural and Submittal Guidance for the Individual Plant Examination of External Events (IPEEE) for Severe Accident Vulnerabilities”, US NRC, NUREG</w:t>
      </w:r>
      <w:bookmarkEnd w:id="1586"/>
      <w:r w:rsidRPr="00C70893">
        <w:rPr>
          <w:szCs w:val="18"/>
          <w:lang w:val="en-GB"/>
        </w:rPr>
        <w:t>-1407, June 1991</w:t>
      </w:r>
      <w:bookmarkEnd w:id="1587"/>
    </w:p>
    <w:p w:rsidR="00F654BD" w:rsidRPr="00943D20" w:rsidRDefault="00B60A9F" w:rsidP="00E62976">
      <w:pPr>
        <w:numPr>
          <w:ilvl w:val="0"/>
          <w:numId w:val="10"/>
        </w:numPr>
        <w:ind w:left="567" w:hanging="567"/>
        <w:rPr>
          <w:szCs w:val="18"/>
          <w:lang w:val="de-DE"/>
        </w:rPr>
      </w:pPr>
      <w:bookmarkStart w:id="1588" w:name="_Ref418689856"/>
      <w:r w:rsidRPr="00C70893">
        <w:rPr>
          <w:szCs w:val="18"/>
          <w:lang w:val="de-DE"/>
        </w:rPr>
        <w:t>BMUB, “Sicherheitsanforderungen an Kernkraftwerke vom 22 November 2012”</w:t>
      </w:r>
      <w:r w:rsidR="00432EC4" w:rsidRPr="00FA7763">
        <w:rPr>
          <w:szCs w:val="18"/>
          <w:lang w:val="de-DE"/>
        </w:rPr>
        <w:t>, version of 3 March 2015, BAnz AT 30.03.2015 B2</w:t>
      </w:r>
      <w:bookmarkEnd w:id="1588"/>
    </w:p>
    <w:p w:rsidR="00432EC4" w:rsidRPr="00C70893" w:rsidRDefault="00432EC4" w:rsidP="00E62976">
      <w:pPr>
        <w:numPr>
          <w:ilvl w:val="0"/>
          <w:numId w:val="10"/>
        </w:numPr>
        <w:ind w:left="567" w:hanging="567"/>
        <w:rPr>
          <w:szCs w:val="18"/>
          <w:lang w:val="en-GB"/>
        </w:rPr>
      </w:pPr>
      <w:bookmarkStart w:id="1589" w:name="_Ref418689857"/>
      <w:r w:rsidRPr="00FA7763">
        <w:rPr>
          <w:szCs w:val="18"/>
          <w:lang w:val="de-DE"/>
        </w:rPr>
        <w:t>BMUB,</w:t>
      </w:r>
      <w:r w:rsidR="00B07FC4" w:rsidRPr="00FA7763">
        <w:rPr>
          <w:szCs w:val="18"/>
          <w:lang w:val="de-DE"/>
        </w:rPr>
        <w:t xml:space="preserve"> “</w:t>
      </w:r>
      <w:r w:rsidRPr="00FA7763">
        <w:rPr>
          <w:szCs w:val="18"/>
          <w:lang w:val="de-DE"/>
        </w:rPr>
        <w:t xml:space="preserve">Interpretationen zu den Sicherheitsanforderungen an KKW vom 22. </w:t>
      </w:r>
      <w:r w:rsidRPr="00C70893">
        <w:rPr>
          <w:szCs w:val="18"/>
          <w:lang w:val="en-GB"/>
        </w:rPr>
        <w:t xml:space="preserve">November 2012“, version </w:t>
      </w:r>
      <w:r w:rsidR="00C0086D" w:rsidRPr="00C70893">
        <w:rPr>
          <w:szCs w:val="18"/>
          <w:lang w:val="en-GB"/>
        </w:rPr>
        <w:t xml:space="preserve">of </w:t>
      </w:r>
      <w:r w:rsidRPr="00C70893">
        <w:rPr>
          <w:szCs w:val="18"/>
          <w:lang w:val="en-GB"/>
        </w:rPr>
        <w:t>3 March 2015, BAnz AT 30.03.2015 B3</w:t>
      </w:r>
      <w:bookmarkEnd w:id="1589"/>
    </w:p>
    <w:p w:rsidR="00432EC4" w:rsidRPr="00C70893" w:rsidRDefault="00C0086D" w:rsidP="00E62976">
      <w:pPr>
        <w:numPr>
          <w:ilvl w:val="0"/>
          <w:numId w:val="10"/>
        </w:numPr>
        <w:ind w:left="567" w:hanging="567"/>
        <w:rPr>
          <w:szCs w:val="18"/>
          <w:lang w:val="en-GB"/>
        </w:rPr>
      </w:pPr>
      <w:bookmarkStart w:id="1590" w:name="_Ref418600965"/>
      <w:r w:rsidRPr="00C70893">
        <w:rPr>
          <w:lang w:val="en-GB"/>
        </w:rPr>
        <w:t>Bundesamt für Strahlenschutz (BfS), “Safety Review for Nuclear Power Plants pursuant to §19a of the Atomic Energy Act – Guide Probabilistic Safety Analysis” of 30 August 2005</w:t>
      </w:r>
      <w:bookmarkEnd w:id="1590"/>
    </w:p>
    <w:p w:rsidR="00C0086D" w:rsidRPr="00FA7763" w:rsidRDefault="00C0086D" w:rsidP="00E62976">
      <w:pPr>
        <w:numPr>
          <w:ilvl w:val="0"/>
          <w:numId w:val="10"/>
        </w:numPr>
        <w:ind w:left="567" w:hanging="567"/>
        <w:rPr>
          <w:szCs w:val="18"/>
          <w:lang w:val="de-DE"/>
        </w:rPr>
      </w:pPr>
      <w:bookmarkStart w:id="1591" w:name="_Ref418689860"/>
      <w:r w:rsidRPr="00FA7763">
        <w:rPr>
          <w:lang w:val="de-DE"/>
        </w:rPr>
        <w:t>Facharbeitskreis (FAK) Probabilistische Sicherheitsanalyse für Kernkraftwerke,</w:t>
      </w:r>
      <w:r w:rsidR="00B07FC4" w:rsidRPr="00FA7763">
        <w:rPr>
          <w:lang w:val="de-DE"/>
        </w:rPr>
        <w:t xml:space="preserve"> “</w:t>
      </w:r>
      <w:r w:rsidRPr="00C51CDA">
        <w:rPr>
          <w:lang w:val="de-DE"/>
        </w:rPr>
        <w:t>Methoden zur probabilistischen Sicherheitsanalyse für Kernkraftwerke</w:t>
      </w:r>
      <w:r w:rsidR="00C3044B" w:rsidRPr="00943D20">
        <w:rPr>
          <w:lang w:val="de-DE"/>
        </w:rPr>
        <w:t>“</w:t>
      </w:r>
      <w:r w:rsidRPr="00FA7763">
        <w:rPr>
          <w:lang w:val="de-DE"/>
        </w:rPr>
        <w:t xml:space="preserve">, </w:t>
      </w:r>
      <w:r w:rsidR="00C3044B" w:rsidRPr="00FA7763">
        <w:rPr>
          <w:lang w:val="de-DE"/>
        </w:rPr>
        <w:t>Revision</w:t>
      </w:r>
      <w:r w:rsidRPr="00FA7763">
        <w:rPr>
          <w:lang w:val="de-DE"/>
        </w:rPr>
        <w:t>: August 2005, BfS-SCHR-37/05, October 2005</w:t>
      </w:r>
      <w:bookmarkEnd w:id="1591"/>
    </w:p>
    <w:p w:rsidR="00C3044B" w:rsidRPr="00FA7763" w:rsidRDefault="00C3044B" w:rsidP="00E62976">
      <w:pPr>
        <w:numPr>
          <w:ilvl w:val="0"/>
          <w:numId w:val="10"/>
        </w:numPr>
        <w:ind w:left="567" w:hanging="567"/>
        <w:rPr>
          <w:szCs w:val="18"/>
          <w:lang w:val="de-DE"/>
        </w:rPr>
      </w:pPr>
      <w:bookmarkStart w:id="1592" w:name="_Ref418691091"/>
      <w:bookmarkStart w:id="1593" w:name="_Ref464306838"/>
      <w:bookmarkStart w:id="1594" w:name="_Ref469067140"/>
      <w:r w:rsidRPr="00FA7763">
        <w:rPr>
          <w:lang w:val="de-DE"/>
        </w:rPr>
        <w:t xml:space="preserve">Methoden und Daten zur probabilistischen Sicherheitsanalyse für Kernkraftwerke“, </w:t>
      </w:r>
      <w:r w:rsidR="005F1EF2">
        <w:rPr>
          <w:lang w:val="de-DE"/>
        </w:rPr>
        <w:t>Mai</w:t>
      </w:r>
      <w:r w:rsidRPr="00FA7763">
        <w:rPr>
          <w:lang w:val="de-DE"/>
        </w:rPr>
        <w:t xml:space="preserve"> </w:t>
      </w:r>
      <w:bookmarkEnd w:id="1592"/>
      <w:bookmarkEnd w:id="1593"/>
      <w:bookmarkEnd w:id="1594"/>
      <w:r w:rsidR="005F1EF2" w:rsidRPr="00FA7763">
        <w:rPr>
          <w:lang w:val="de-DE"/>
        </w:rPr>
        <w:t>201</w:t>
      </w:r>
      <w:r w:rsidR="005F1EF2">
        <w:rPr>
          <w:lang w:val="de-DE"/>
        </w:rPr>
        <w:t>5, BfS-SCHR-61/16</w:t>
      </w:r>
    </w:p>
    <w:p w:rsidR="00547BDD" w:rsidRPr="00C70893" w:rsidRDefault="00547BDD" w:rsidP="00E62976">
      <w:pPr>
        <w:numPr>
          <w:ilvl w:val="0"/>
          <w:numId w:val="10"/>
        </w:numPr>
        <w:ind w:left="567" w:hanging="567"/>
        <w:rPr>
          <w:szCs w:val="18"/>
          <w:lang w:val="en-GB"/>
        </w:rPr>
      </w:pPr>
      <w:bookmarkStart w:id="1595" w:name="_Ref418859213"/>
      <w:r w:rsidRPr="00C70893">
        <w:rPr>
          <w:lang w:val="en-GB"/>
        </w:rPr>
        <w:t>Kerntechnischer Ausschuss (KTA),“Design of Nuclear Power Plants against Seismic Events Part 1: Principles“, KTA 2201.1, November 2011</w:t>
      </w:r>
      <w:bookmarkEnd w:id="1595"/>
    </w:p>
    <w:p w:rsidR="00547BDD" w:rsidRPr="00C70893" w:rsidRDefault="00BB0F30" w:rsidP="00E62976">
      <w:pPr>
        <w:numPr>
          <w:ilvl w:val="0"/>
          <w:numId w:val="10"/>
        </w:numPr>
        <w:ind w:left="567" w:hanging="567"/>
        <w:rPr>
          <w:szCs w:val="18"/>
          <w:lang w:val="en-GB"/>
        </w:rPr>
      </w:pPr>
      <w:bookmarkStart w:id="1596" w:name="_Ref418855768"/>
      <w:r w:rsidRPr="00C70893">
        <w:rPr>
          <w:lang w:val="en-GB"/>
        </w:rPr>
        <w:t>Kerntechnischer Ausschuss (KTA),“Flood Protection for Nuclear Power Plants“, KTA 2207, November 2004</w:t>
      </w:r>
      <w:bookmarkEnd w:id="1596"/>
    </w:p>
    <w:p w:rsidR="002E1E89" w:rsidRPr="00C70893" w:rsidRDefault="00263F2D" w:rsidP="00E62976">
      <w:pPr>
        <w:numPr>
          <w:ilvl w:val="0"/>
          <w:numId w:val="10"/>
        </w:numPr>
        <w:ind w:left="567" w:hanging="567"/>
        <w:rPr>
          <w:szCs w:val="18"/>
          <w:lang w:val="en-GB"/>
        </w:rPr>
      </w:pPr>
      <w:bookmarkStart w:id="1597" w:name="_Ref418780179"/>
      <w:r w:rsidRPr="00C70893">
        <w:rPr>
          <w:lang w:val="en-GB"/>
        </w:rPr>
        <w:t>Kerntechnischer Ausschuss (KTA),“Design of Nuclear Power Plants against Damaging Effects from Lightning</w:t>
      </w:r>
      <w:r w:rsidR="004F4763">
        <w:rPr>
          <w:lang w:val="en-GB"/>
        </w:rPr>
        <w:t>"</w:t>
      </w:r>
      <w:r w:rsidR="004F4763" w:rsidRPr="00C70893">
        <w:rPr>
          <w:lang w:val="en-GB"/>
        </w:rPr>
        <w:t xml:space="preserve">, </w:t>
      </w:r>
      <w:r w:rsidRPr="00C70893">
        <w:rPr>
          <w:lang w:val="en-GB"/>
        </w:rPr>
        <w:t>KTA 2206, November 2009</w:t>
      </w:r>
      <w:bookmarkEnd w:id="1597"/>
    </w:p>
    <w:p w:rsidR="00330708" w:rsidRPr="00FA7763" w:rsidRDefault="00330708" w:rsidP="00E62976">
      <w:pPr>
        <w:numPr>
          <w:ilvl w:val="0"/>
          <w:numId w:val="10"/>
        </w:numPr>
        <w:ind w:left="567" w:hanging="567"/>
        <w:rPr>
          <w:szCs w:val="18"/>
          <w:lang w:val="de-DE"/>
        </w:rPr>
      </w:pPr>
      <w:bookmarkStart w:id="1598" w:name="_Ref418782507"/>
      <w:r w:rsidRPr="00FA7763">
        <w:rPr>
          <w:lang w:val="de-DE"/>
        </w:rPr>
        <w:t>Facharbeitskreis (FAK) Probabilistische Sicherheitsanalyse für Kernkraftwerke, “Daten zur probabilistischen Sicherheitsanalyse für Kernkraftwerke“, Revision: August 2005, BfS-SCHR-3</w:t>
      </w:r>
      <w:r w:rsidRPr="00943D20">
        <w:rPr>
          <w:lang w:val="de-DE"/>
        </w:rPr>
        <w:t>8</w:t>
      </w:r>
      <w:r w:rsidRPr="00FA7763">
        <w:rPr>
          <w:lang w:val="de-DE"/>
        </w:rPr>
        <w:t>/05, October 2005</w:t>
      </w:r>
      <w:bookmarkEnd w:id="1598"/>
    </w:p>
    <w:p w:rsidR="009C6EAC" w:rsidRPr="00C70893" w:rsidRDefault="009C6EAC" w:rsidP="00E62976">
      <w:pPr>
        <w:numPr>
          <w:ilvl w:val="0"/>
          <w:numId w:val="10"/>
        </w:numPr>
        <w:ind w:left="567" w:hanging="567"/>
        <w:rPr>
          <w:szCs w:val="18"/>
          <w:lang w:val="en-GB"/>
        </w:rPr>
      </w:pPr>
      <w:bookmarkStart w:id="1599" w:name="_Ref422241723"/>
      <w:r w:rsidRPr="00C70893">
        <w:rPr>
          <w:lang w:val="en-GB"/>
        </w:rPr>
        <w:t xml:space="preserve">IAEA, </w:t>
      </w:r>
      <w:r w:rsidR="004F4763">
        <w:rPr>
          <w:lang w:val="en-GB"/>
        </w:rPr>
        <w:t>“</w:t>
      </w:r>
      <w:r w:rsidRPr="00C70893">
        <w:rPr>
          <w:lang w:val="en-GB"/>
        </w:rPr>
        <w:t>Treatment of Internal Fires in Probabilistic Safety Assessment for Nuclear Power Plants</w:t>
      </w:r>
      <w:r w:rsidR="004F4763">
        <w:rPr>
          <w:lang w:val="en-GB"/>
        </w:rPr>
        <w:t>”</w:t>
      </w:r>
      <w:r w:rsidRPr="00C70893">
        <w:rPr>
          <w:lang w:val="en-GB"/>
        </w:rPr>
        <w:t>, Safety Reports Series No. 10, September 1998</w:t>
      </w:r>
      <w:bookmarkEnd w:id="1599"/>
    </w:p>
    <w:p w:rsidR="00263F2D" w:rsidRDefault="002E4F29" w:rsidP="00E62976">
      <w:pPr>
        <w:numPr>
          <w:ilvl w:val="0"/>
          <w:numId w:val="10"/>
        </w:numPr>
        <w:ind w:left="567" w:hanging="567"/>
        <w:rPr>
          <w:szCs w:val="18"/>
          <w:lang w:val="en-GB"/>
        </w:rPr>
      </w:pPr>
      <w:bookmarkStart w:id="1600" w:name="_Ref422842679"/>
      <w:r>
        <w:rPr>
          <w:szCs w:val="18"/>
          <w:lang w:val="en-GB"/>
        </w:rPr>
        <w:t xml:space="preserve">ASAMPSA_E, “Lessons </w:t>
      </w:r>
      <w:r w:rsidR="00D45CAD">
        <w:rPr>
          <w:szCs w:val="18"/>
          <w:lang w:val="en-GB"/>
        </w:rPr>
        <w:t>o</w:t>
      </w:r>
      <w:r>
        <w:rPr>
          <w:szCs w:val="18"/>
          <w:lang w:val="en-GB"/>
        </w:rPr>
        <w:t>f the Fukushima Dai-ichi accident for PSA”, ASAMPSA_E D30.2</w:t>
      </w:r>
      <w:r w:rsidR="00494D47" w:rsidRPr="00494D47">
        <w:rPr>
          <w:szCs w:val="18"/>
          <w:lang w:val="en-GB"/>
        </w:rPr>
        <w:t>D30.2/2017-32</w:t>
      </w:r>
      <w:r>
        <w:rPr>
          <w:szCs w:val="18"/>
          <w:lang w:val="en-GB"/>
        </w:rPr>
        <w:t>.</w:t>
      </w:r>
      <w:r w:rsidR="00494D47">
        <w:rPr>
          <w:szCs w:val="18"/>
          <w:lang w:val="en-GB"/>
        </w:rPr>
        <w:t xml:space="preserve"> IRSN-</w:t>
      </w:r>
      <w:r w:rsidR="00494D47" w:rsidRPr="00494D47">
        <w:rPr>
          <w:szCs w:val="18"/>
          <w:lang w:val="en-GB"/>
        </w:rPr>
        <w:t>PSN-RES/SAG/2017-00021</w:t>
      </w:r>
      <w:bookmarkEnd w:id="1600"/>
      <w:r>
        <w:rPr>
          <w:szCs w:val="18"/>
          <w:lang w:val="en-GB"/>
        </w:rPr>
        <w:t xml:space="preserve"> </w:t>
      </w:r>
    </w:p>
    <w:p w:rsidR="002E4F29" w:rsidRDefault="00A14643" w:rsidP="00E62976">
      <w:pPr>
        <w:numPr>
          <w:ilvl w:val="0"/>
          <w:numId w:val="10"/>
        </w:numPr>
        <w:ind w:left="567" w:hanging="567"/>
        <w:rPr>
          <w:szCs w:val="18"/>
          <w:lang w:val="en-GB"/>
        </w:rPr>
      </w:pPr>
      <w:bookmarkStart w:id="1601" w:name="_Ref423092269"/>
      <w:bookmarkStart w:id="1602" w:name="_Ref469063850"/>
      <w:r>
        <w:rPr>
          <w:szCs w:val="18"/>
          <w:lang w:val="en-GB"/>
        </w:rPr>
        <w:t xml:space="preserve">ASAMPSA_E, “Risk Metrics and Measures for an Extended PSA”, </w:t>
      </w:r>
      <w:r w:rsidR="00494D47" w:rsidRPr="00494D47">
        <w:rPr>
          <w:szCs w:val="18"/>
          <w:lang w:val="en-GB"/>
        </w:rPr>
        <w:t>ASAMPSA_E/WP30/D30.7/2017-31 volume 3</w:t>
      </w:r>
      <w:r w:rsidR="00494D47">
        <w:rPr>
          <w:szCs w:val="18"/>
          <w:lang w:val="en-GB"/>
        </w:rPr>
        <w:t>, IRSN/</w:t>
      </w:r>
      <w:r w:rsidR="00494D47" w:rsidRPr="00494D47">
        <w:rPr>
          <w:szCs w:val="18"/>
          <w:lang w:val="en-GB"/>
        </w:rPr>
        <w:t>PSN-RES/SAG/2017-00019</w:t>
      </w:r>
      <w:bookmarkEnd w:id="1601"/>
      <w:bookmarkEnd w:id="1602"/>
    </w:p>
    <w:p w:rsidR="00A14643" w:rsidRDefault="00B57F2E" w:rsidP="00E62976">
      <w:pPr>
        <w:numPr>
          <w:ilvl w:val="0"/>
          <w:numId w:val="10"/>
        </w:numPr>
        <w:ind w:left="567" w:hanging="567"/>
        <w:rPr>
          <w:szCs w:val="18"/>
          <w:lang w:val="en-GB"/>
        </w:rPr>
      </w:pPr>
      <w:bookmarkStart w:id="1603" w:name="_Ref423961229"/>
      <w:r w:rsidRPr="00E62976">
        <w:rPr>
          <w:szCs w:val="18"/>
          <w:lang w:val="en-GB"/>
        </w:rPr>
        <w:t>International Atomic Energy Agency (IAEA)</w:t>
      </w:r>
      <w:r w:rsidR="00A827BC">
        <w:rPr>
          <w:szCs w:val="18"/>
          <w:lang w:val="en-GB"/>
        </w:rPr>
        <w:t xml:space="preserve">, </w:t>
      </w:r>
      <w:r w:rsidR="004F4763">
        <w:rPr>
          <w:szCs w:val="18"/>
          <w:lang w:val="en-GB"/>
        </w:rPr>
        <w:t>“</w:t>
      </w:r>
      <w:r w:rsidR="00A827BC">
        <w:rPr>
          <w:szCs w:val="18"/>
          <w:lang w:val="en-GB"/>
        </w:rPr>
        <w:t>INES The International Nuclear and Radiological Event Scale</w:t>
      </w:r>
      <w:r w:rsidR="004F4763">
        <w:rPr>
          <w:szCs w:val="18"/>
          <w:lang w:val="en-GB"/>
        </w:rPr>
        <w:t>”</w:t>
      </w:r>
      <w:r w:rsidR="00A827BC">
        <w:rPr>
          <w:szCs w:val="18"/>
          <w:lang w:val="en-GB"/>
        </w:rPr>
        <w:t>, User’s Manual, 2008 Edition, March 2013</w:t>
      </w:r>
      <w:bookmarkEnd w:id="1603"/>
      <w:r w:rsidR="00A827BC">
        <w:rPr>
          <w:szCs w:val="18"/>
          <w:lang w:val="en-GB"/>
        </w:rPr>
        <w:t xml:space="preserve"> </w:t>
      </w:r>
    </w:p>
    <w:p w:rsidR="00653C2B" w:rsidRPr="001B7918" w:rsidRDefault="00653C2B" w:rsidP="00E62976">
      <w:pPr>
        <w:numPr>
          <w:ilvl w:val="0"/>
          <w:numId w:val="10"/>
        </w:numPr>
        <w:ind w:left="567" w:hanging="567"/>
        <w:rPr>
          <w:szCs w:val="18"/>
          <w:lang w:val="en-GB"/>
        </w:rPr>
      </w:pPr>
      <w:bookmarkStart w:id="1604" w:name="_Ref427682783"/>
      <w:r>
        <w:rPr>
          <w:rFonts w:cs="Arial"/>
          <w:szCs w:val="18"/>
        </w:rPr>
        <w:t xml:space="preserve">CNCAN, </w:t>
      </w:r>
      <w:r w:rsidR="004F4763">
        <w:rPr>
          <w:rFonts w:cs="Arial"/>
          <w:szCs w:val="18"/>
        </w:rPr>
        <w:t>« </w:t>
      </w:r>
      <w:r>
        <w:rPr>
          <w:rFonts w:cs="Arial"/>
          <w:szCs w:val="18"/>
        </w:rPr>
        <w:t>Normele de securitate nucleară privind protecţia instalaţiilor nucleare împotriva evenimentelor externe de origine naturala</w:t>
      </w:r>
      <w:r w:rsidR="004F4763">
        <w:rPr>
          <w:rFonts w:cs="Arial"/>
          <w:szCs w:val="18"/>
        </w:rPr>
        <w:t> »</w:t>
      </w:r>
      <w:r>
        <w:rPr>
          <w:rFonts w:cs="Arial"/>
          <w:szCs w:val="18"/>
        </w:rPr>
        <w:t>, 15.01. 2015</w:t>
      </w:r>
      <w:bookmarkEnd w:id="1604"/>
    </w:p>
    <w:p w:rsidR="008E031B" w:rsidRPr="001B7918" w:rsidRDefault="008E031B" w:rsidP="00E62976">
      <w:pPr>
        <w:numPr>
          <w:ilvl w:val="0"/>
          <w:numId w:val="10"/>
        </w:numPr>
        <w:shd w:val="clear" w:color="auto" w:fill="FFFFFF" w:themeFill="background1"/>
        <w:ind w:left="567" w:hanging="567"/>
        <w:rPr>
          <w:szCs w:val="18"/>
          <w:lang w:val="en-GB"/>
        </w:rPr>
      </w:pPr>
      <w:bookmarkStart w:id="1605" w:name="_Ref430099424"/>
      <w:r w:rsidRPr="001B7918">
        <w:rPr>
          <w:szCs w:val="18"/>
          <w:lang w:val="en-GB" w:eastAsia="ja-JP"/>
        </w:rPr>
        <w:t xml:space="preserve">Fleming </w:t>
      </w:r>
      <w:r w:rsidR="00AC727A">
        <w:rPr>
          <w:szCs w:val="18"/>
          <w:lang w:val="en-GB" w:eastAsia="ja-JP"/>
        </w:rPr>
        <w:t>K. N.</w:t>
      </w:r>
      <w:r w:rsidRPr="001B7918">
        <w:rPr>
          <w:szCs w:val="18"/>
          <w:lang w:val="en-GB" w:eastAsia="ja-JP"/>
        </w:rPr>
        <w:t xml:space="preserve">, </w:t>
      </w:r>
      <w:r w:rsidR="004F4763">
        <w:rPr>
          <w:szCs w:val="18"/>
          <w:lang w:val="en-GB" w:eastAsia="ja-JP"/>
        </w:rPr>
        <w:t>“</w:t>
      </w:r>
      <w:r w:rsidRPr="001B7918">
        <w:rPr>
          <w:szCs w:val="18"/>
          <w:lang w:val="en-GB" w:eastAsia="ja-JP"/>
        </w:rPr>
        <w:t>Motivation and Challenges for Multi-Unit PRAs</w:t>
      </w:r>
      <w:r w:rsidR="004F4763">
        <w:rPr>
          <w:szCs w:val="18"/>
          <w:lang w:val="en-GB" w:eastAsia="ja-JP"/>
        </w:rPr>
        <w:t>”</w:t>
      </w:r>
      <w:r w:rsidRPr="001B7918">
        <w:rPr>
          <w:szCs w:val="18"/>
          <w:lang w:val="en-GB" w:eastAsia="ja-JP"/>
        </w:rPr>
        <w:t xml:space="preserve">, </w:t>
      </w:r>
      <w:r w:rsidRPr="008E031B">
        <w:rPr>
          <w:rFonts w:eastAsia="Batang" w:cs="TimesNewRomanPS-ItalicMT"/>
          <w:iCs/>
          <w:szCs w:val="18"/>
          <w:lang w:val="en-GB" w:eastAsia="ja-JP"/>
        </w:rPr>
        <w:t xml:space="preserve">ANS PSA 2013 International Topical Meeting on Probabilistic Safety Assessment and Analysis </w:t>
      </w:r>
      <w:r w:rsidRPr="008E031B">
        <w:rPr>
          <w:rFonts w:eastAsia="Batang" w:cs="TimesNewRomanPSMT"/>
          <w:szCs w:val="18"/>
          <w:lang w:val="en-GB" w:eastAsia="ja-JP"/>
        </w:rPr>
        <w:t>Columbia, SC, September 22-26, 2013</w:t>
      </w:r>
      <w:bookmarkEnd w:id="1605"/>
    </w:p>
    <w:p w:rsidR="00FF5DA7" w:rsidRPr="00AC727A" w:rsidRDefault="00FF5DA7" w:rsidP="00E62976">
      <w:pPr>
        <w:numPr>
          <w:ilvl w:val="0"/>
          <w:numId w:val="10"/>
        </w:numPr>
        <w:shd w:val="clear" w:color="auto" w:fill="FFFFFF" w:themeFill="background1"/>
        <w:ind w:left="567" w:hanging="567"/>
        <w:rPr>
          <w:szCs w:val="18"/>
          <w:lang w:val="en-GB"/>
        </w:rPr>
      </w:pPr>
      <w:bookmarkStart w:id="1606" w:name="_Ref430100558"/>
      <w:r w:rsidRPr="001B7918">
        <w:rPr>
          <w:bCs/>
          <w:lang w:val="en-US"/>
        </w:rPr>
        <w:t>Stutzke</w:t>
      </w:r>
      <w:r w:rsidR="00AC727A">
        <w:rPr>
          <w:bCs/>
          <w:lang w:val="en-US"/>
        </w:rPr>
        <w:t xml:space="preserve">, </w:t>
      </w:r>
      <w:r w:rsidR="00AC727A" w:rsidRPr="002960AB">
        <w:rPr>
          <w:bCs/>
          <w:lang w:val="en-US"/>
        </w:rPr>
        <w:t>Martin A.</w:t>
      </w:r>
      <w:r w:rsidRPr="001B7918">
        <w:rPr>
          <w:bCs/>
          <w:lang w:val="en-US"/>
        </w:rPr>
        <w:t xml:space="preserve">, </w:t>
      </w:r>
      <w:r w:rsidR="001E2EDC">
        <w:rPr>
          <w:bCs/>
          <w:lang w:val="en-US"/>
        </w:rPr>
        <w:t>“</w:t>
      </w:r>
      <w:r w:rsidRPr="001B7918">
        <w:rPr>
          <w:bCs/>
          <w:lang w:val="en-US"/>
        </w:rPr>
        <w:t>Scoping Estimates of Multiunit accident Risk</w:t>
      </w:r>
      <w:r w:rsidR="001E2EDC">
        <w:rPr>
          <w:bCs/>
          <w:lang w:val="en-US"/>
        </w:rPr>
        <w:t>”</w:t>
      </w:r>
      <w:r w:rsidRPr="001B7918">
        <w:rPr>
          <w:bCs/>
          <w:lang w:val="en-US"/>
        </w:rPr>
        <w:t xml:space="preserve">, </w:t>
      </w:r>
      <w:r w:rsidRPr="001B7918">
        <w:rPr>
          <w:lang w:val="en-GB" w:eastAsia="ja-JP"/>
        </w:rPr>
        <w:t>Probabilistic Safety Assessment and Management PSAM 12, June 2014, Honolulu, Hawaii</w:t>
      </w:r>
      <w:bookmarkEnd w:id="1606"/>
    </w:p>
    <w:p w:rsidR="008E031B" w:rsidRPr="00AC727A" w:rsidRDefault="00AC727A" w:rsidP="00E62976">
      <w:pPr>
        <w:numPr>
          <w:ilvl w:val="0"/>
          <w:numId w:val="10"/>
        </w:numPr>
        <w:ind w:left="567" w:hanging="567"/>
        <w:rPr>
          <w:szCs w:val="18"/>
          <w:lang w:val="en-GB"/>
        </w:rPr>
      </w:pPr>
      <w:bookmarkStart w:id="1607" w:name="_Ref430594829"/>
      <w:r w:rsidRPr="001B7918">
        <w:rPr>
          <w:lang w:val="en-US"/>
        </w:rPr>
        <w:t>Modarres</w:t>
      </w:r>
      <w:r>
        <w:rPr>
          <w:lang w:val="en-US"/>
        </w:rPr>
        <w:t xml:space="preserve"> M.</w:t>
      </w:r>
      <w:r w:rsidRPr="001B7918">
        <w:rPr>
          <w:lang w:val="en-US"/>
        </w:rPr>
        <w:t xml:space="preserve">, </w:t>
      </w:r>
      <w:r w:rsidRPr="001B7918">
        <w:rPr>
          <w:lang w:val="en-GB" w:eastAsia="ja-JP"/>
        </w:rPr>
        <w:t xml:space="preserve">S. Schroer, </w:t>
      </w:r>
      <w:r w:rsidR="001E2EDC">
        <w:rPr>
          <w:lang w:val="en-GB" w:eastAsia="ja-JP"/>
        </w:rPr>
        <w:t>“</w:t>
      </w:r>
      <w:r w:rsidRPr="001B7918">
        <w:rPr>
          <w:lang w:val="en-GB" w:eastAsia="ja-JP"/>
        </w:rPr>
        <w:t>An Event Classification Schema for Evaluating Site Risk in a Multi-Unit Nuclear Power Plant Probabilistic Risk Assessment</w:t>
      </w:r>
      <w:r w:rsidR="001E2EDC">
        <w:rPr>
          <w:lang w:val="en-GB" w:eastAsia="ja-JP"/>
        </w:rPr>
        <w:t>”</w:t>
      </w:r>
      <w:r w:rsidRPr="001B7918">
        <w:rPr>
          <w:lang w:val="en-US"/>
        </w:rPr>
        <w:t xml:space="preserve">, </w:t>
      </w:r>
      <w:r w:rsidRPr="001B7918">
        <w:rPr>
          <w:iCs/>
          <w:lang w:val="en-GB"/>
        </w:rPr>
        <w:t xml:space="preserve">ANS PSA 2013 International Topical Meeting on Probabilistic Safety Assessment and Analysis, </w:t>
      </w:r>
      <w:r w:rsidRPr="001B7918">
        <w:rPr>
          <w:lang w:val="en-GB"/>
        </w:rPr>
        <w:t>Columbia, SC, September 22-26, 2013</w:t>
      </w:r>
      <w:bookmarkEnd w:id="1607"/>
    </w:p>
    <w:p w:rsidR="00AC727A" w:rsidRPr="00E5571F" w:rsidRDefault="00E5571F" w:rsidP="00E62976">
      <w:pPr>
        <w:numPr>
          <w:ilvl w:val="0"/>
          <w:numId w:val="10"/>
        </w:numPr>
        <w:ind w:left="567" w:hanging="567"/>
        <w:rPr>
          <w:szCs w:val="18"/>
          <w:lang w:val="en-GB"/>
        </w:rPr>
      </w:pPr>
      <w:bookmarkStart w:id="1608" w:name="_Ref432774597"/>
      <w:r w:rsidRPr="00AD54D7">
        <w:rPr>
          <w:lang w:val="en-GB"/>
        </w:rPr>
        <w:t>International Atomic Energy Agency (IAEA), “</w:t>
      </w:r>
      <w:r>
        <w:rPr>
          <w:lang w:val="en-GB"/>
        </w:rPr>
        <w:t>Safety Assessment for Facilities and Activities”, General Safety Requirements Part 4 No GSR Part 4, May 200</w:t>
      </w:r>
      <w:bookmarkEnd w:id="1608"/>
      <w:r w:rsidR="00FB056B">
        <w:rPr>
          <w:lang w:val="en-GB"/>
        </w:rPr>
        <w:t>9</w:t>
      </w:r>
    </w:p>
    <w:p w:rsidR="00E5571F" w:rsidRDefault="00422E6A" w:rsidP="00E62976">
      <w:pPr>
        <w:numPr>
          <w:ilvl w:val="0"/>
          <w:numId w:val="10"/>
        </w:numPr>
        <w:ind w:left="567" w:hanging="567"/>
        <w:rPr>
          <w:szCs w:val="18"/>
          <w:lang w:val="en-GB"/>
        </w:rPr>
      </w:pPr>
      <w:bookmarkStart w:id="1609" w:name="_Ref432950672"/>
      <w:r>
        <w:rPr>
          <w:szCs w:val="18"/>
          <w:lang w:val="en-GB"/>
        </w:rPr>
        <w:t xml:space="preserve">Decker, K., H. Brinkmann, </w:t>
      </w:r>
      <w:r w:rsidR="001E2EDC">
        <w:rPr>
          <w:szCs w:val="18"/>
          <w:lang w:val="en-GB"/>
        </w:rPr>
        <w:t>“</w:t>
      </w:r>
      <w:r>
        <w:rPr>
          <w:szCs w:val="18"/>
          <w:lang w:val="en-GB"/>
        </w:rPr>
        <w:t>List of External Hazards to be Considered in Extended PSA</w:t>
      </w:r>
      <w:r w:rsidR="001E2EDC">
        <w:rPr>
          <w:szCs w:val="18"/>
          <w:lang w:val="en-GB"/>
        </w:rPr>
        <w:t>”</w:t>
      </w:r>
      <w:r>
        <w:rPr>
          <w:szCs w:val="18"/>
          <w:lang w:val="en-GB"/>
        </w:rPr>
        <w:t>, ASAMPSA_E D21.2, December 2014</w:t>
      </w:r>
      <w:bookmarkEnd w:id="1609"/>
    </w:p>
    <w:p w:rsidR="00422E6A" w:rsidRPr="001B7918" w:rsidRDefault="00D75065" w:rsidP="00E62976">
      <w:pPr>
        <w:numPr>
          <w:ilvl w:val="0"/>
          <w:numId w:val="10"/>
        </w:numPr>
        <w:ind w:left="567" w:hanging="567"/>
        <w:rPr>
          <w:szCs w:val="18"/>
          <w:lang w:val="en-GB"/>
        </w:rPr>
      </w:pPr>
      <w:bookmarkStart w:id="1610" w:name="_Ref433374378"/>
      <w:r w:rsidRPr="000945B2">
        <w:rPr>
          <w:rFonts w:cs="Arial"/>
          <w:szCs w:val="18"/>
          <w:lang w:val="en-US"/>
        </w:rPr>
        <w:t>International Workshop on Multi-unit Probabilistic Safety Assessment (PSA), Ottawa, ONT (Canada), November 17-20, 2014</w:t>
      </w:r>
      <w:bookmarkEnd w:id="1610"/>
    </w:p>
    <w:p w:rsidR="00D75065" w:rsidRPr="00C42BA5" w:rsidRDefault="00C42BA5" w:rsidP="00E62976">
      <w:pPr>
        <w:numPr>
          <w:ilvl w:val="0"/>
          <w:numId w:val="10"/>
        </w:numPr>
        <w:rPr>
          <w:szCs w:val="18"/>
          <w:lang w:val="en-GB"/>
        </w:rPr>
      </w:pPr>
      <w:bookmarkStart w:id="1611" w:name="_Ref433376606"/>
      <w:r>
        <w:rPr>
          <w:bCs/>
          <w:szCs w:val="18"/>
          <w:lang w:val="en-US"/>
        </w:rPr>
        <w:t>ASAMPSA_E,</w:t>
      </w:r>
      <w:r w:rsidRPr="00C42BA5">
        <w:rPr>
          <w:bCs/>
          <w:szCs w:val="18"/>
          <w:lang w:val="en-US"/>
        </w:rPr>
        <w:t xml:space="preserve"> </w:t>
      </w:r>
      <w:r>
        <w:rPr>
          <w:bCs/>
          <w:szCs w:val="18"/>
          <w:lang w:val="en-US"/>
        </w:rPr>
        <w:t>“</w:t>
      </w:r>
      <w:r w:rsidRPr="00C42BA5">
        <w:rPr>
          <w:bCs/>
          <w:szCs w:val="18"/>
          <w:lang w:val="en-US"/>
        </w:rPr>
        <w:t>Summary report of already existing guidance on the implementation of External Hazards in extended Level 1 PSA</w:t>
      </w:r>
      <w:r>
        <w:rPr>
          <w:bCs/>
          <w:szCs w:val="18"/>
          <w:lang w:val="en-US"/>
        </w:rPr>
        <w:t xml:space="preserve">”, </w:t>
      </w:r>
      <w:r w:rsidR="00494D47" w:rsidRPr="00494D47">
        <w:rPr>
          <w:bCs/>
          <w:szCs w:val="18"/>
          <w:lang w:val="en-US"/>
        </w:rPr>
        <w:t>ASAMPSA_E/WP22/D22.1/2015-11</w:t>
      </w:r>
      <w:r>
        <w:rPr>
          <w:bCs/>
          <w:szCs w:val="18"/>
          <w:lang w:val="en-US"/>
        </w:rPr>
        <w:t xml:space="preserve">, </w:t>
      </w:r>
      <w:r w:rsidR="00494D47" w:rsidRPr="00494D47">
        <w:rPr>
          <w:bCs/>
          <w:szCs w:val="18"/>
          <w:lang w:val="en-US"/>
        </w:rPr>
        <w:t>I</w:t>
      </w:r>
      <w:r w:rsidR="00494D47">
        <w:rPr>
          <w:bCs/>
          <w:szCs w:val="18"/>
          <w:lang w:val="en-US"/>
        </w:rPr>
        <w:t>R</w:t>
      </w:r>
      <w:r w:rsidR="00494D47" w:rsidRPr="00494D47">
        <w:rPr>
          <w:bCs/>
          <w:szCs w:val="18"/>
          <w:lang w:val="en-US"/>
        </w:rPr>
        <w:t>SN-PSN-RES-SAG-2015-00235</w:t>
      </w:r>
      <w:r w:rsidR="00494D47">
        <w:rPr>
          <w:bCs/>
          <w:szCs w:val="18"/>
          <w:lang w:val="en-US"/>
        </w:rPr>
        <w:t xml:space="preserve">, </w:t>
      </w:r>
      <w:r w:rsidR="00500042">
        <w:rPr>
          <w:bCs/>
          <w:szCs w:val="18"/>
          <w:lang w:val="en-US"/>
        </w:rPr>
        <w:t>August 2015</w:t>
      </w:r>
      <w:bookmarkEnd w:id="1611"/>
    </w:p>
    <w:p w:rsidR="00055452" w:rsidRPr="004B3DA1" w:rsidRDefault="00055452" w:rsidP="00E62976">
      <w:pPr>
        <w:numPr>
          <w:ilvl w:val="0"/>
          <w:numId w:val="10"/>
        </w:numPr>
        <w:ind w:left="567" w:hanging="567"/>
        <w:rPr>
          <w:bCs/>
          <w:szCs w:val="18"/>
          <w:lang w:val="en-US"/>
        </w:rPr>
      </w:pPr>
      <w:bookmarkStart w:id="1612" w:name="_Ref444888634"/>
      <w:r w:rsidRPr="004B3DA1">
        <w:rPr>
          <w:bCs/>
          <w:szCs w:val="18"/>
          <w:lang w:val="en-US"/>
        </w:rPr>
        <w:t>Atomic Energy Society of Japan, “Implementation Standard Concerning the Risk Assessment Methodology Selection for the External Hazards” (in Japanese), AESJ-SC-RK008</w:t>
      </w:r>
      <w:r w:rsidR="00647C94" w:rsidRPr="004B3DA1">
        <w:rPr>
          <w:bCs/>
          <w:szCs w:val="18"/>
          <w:lang w:val="en-US"/>
        </w:rPr>
        <w:t xml:space="preserve">, </w:t>
      </w:r>
      <w:r w:rsidRPr="004B3DA1">
        <w:rPr>
          <w:bCs/>
          <w:szCs w:val="18"/>
          <w:lang w:val="en-US"/>
        </w:rPr>
        <w:t>2014</w:t>
      </w:r>
      <w:bookmarkEnd w:id="1612"/>
    </w:p>
    <w:p w:rsidR="0038254F" w:rsidRPr="004B3DA1" w:rsidRDefault="00D9206F" w:rsidP="00E62976">
      <w:pPr>
        <w:numPr>
          <w:ilvl w:val="0"/>
          <w:numId w:val="10"/>
        </w:numPr>
        <w:ind w:left="567" w:hanging="567"/>
        <w:rPr>
          <w:bCs/>
          <w:szCs w:val="18"/>
          <w:lang w:val="en-US"/>
        </w:rPr>
      </w:pPr>
      <w:bookmarkStart w:id="1613" w:name="_Ref444888650"/>
      <w:r w:rsidRPr="004B3DA1">
        <w:rPr>
          <w:bCs/>
          <w:szCs w:val="18"/>
          <w:lang w:val="en-US"/>
        </w:rPr>
        <w:t>T. Kuramoto, A. Yamaguchi, et.al, “Development of Implementation Standard Concerning the Risk Evaluation Methodology Selection for the External Hazards”, PSAM12, Honolulu, Hawaii, June 2014</w:t>
      </w:r>
      <w:bookmarkEnd w:id="1613"/>
    </w:p>
    <w:p w:rsidR="00B31756" w:rsidRPr="00B31756" w:rsidRDefault="00B31756" w:rsidP="00E62976">
      <w:pPr>
        <w:numPr>
          <w:ilvl w:val="0"/>
          <w:numId w:val="10"/>
        </w:numPr>
        <w:rPr>
          <w:szCs w:val="18"/>
          <w:lang w:val="en-GB"/>
        </w:rPr>
      </w:pPr>
      <w:bookmarkStart w:id="1614" w:name="_Ref445151133"/>
      <w:r>
        <w:rPr>
          <w:szCs w:val="18"/>
          <w:lang w:val="en-GB"/>
        </w:rPr>
        <w:t>ASAMPSA_E, “</w:t>
      </w:r>
      <w:r w:rsidRPr="00B31756">
        <w:rPr>
          <w:lang w:val="en-GB"/>
        </w:rPr>
        <w:t>Report on external hazards with high amplitude that have affected NPP in operation (in Europe or in other countries)</w:t>
      </w:r>
      <w:r>
        <w:rPr>
          <w:lang w:val="en-GB"/>
        </w:rPr>
        <w:t xml:space="preserve">”, </w:t>
      </w:r>
      <w:r w:rsidR="006315D4" w:rsidRPr="006315D4">
        <w:rPr>
          <w:lang w:val="en-GB"/>
        </w:rPr>
        <w:t>ASAMPSA_E/WP10/D10.3/2016-16</w:t>
      </w:r>
      <w:r>
        <w:rPr>
          <w:lang w:val="en-GB"/>
        </w:rPr>
        <w:t xml:space="preserve">, </w:t>
      </w:r>
      <w:r w:rsidR="006315D4" w:rsidRPr="006315D4">
        <w:rPr>
          <w:lang w:val="en-GB"/>
        </w:rPr>
        <w:t>IRSN PSN/RES/SAG/ 2016-00031</w:t>
      </w:r>
      <w:r w:rsidR="006315D4">
        <w:rPr>
          <w:lang w:val="en-GB"/>
        </w:rPr>
        <w:t xml:space="preserve">, </w:t>
      </w:r>
      <w:r>
        <w:rPr>
          <w:lang w:val="en-GB"/>
        </w:rPr>
        <w:t>January 2016</w:t>
      </w:r>
      <w:bookmarkEnd w:id="1614"/>
    </w:p>
    <w:p w:rsidR="00D9206F" w:rsidRDefault="000F550F" w:rsidP="00E62976">
      <w:pPr>
        <w:numPr>
          <w:ilvl w:val="0"/>
          <w:numId w:val="10"/>
        </w:numPr>
        <w:ind w:left="567" w:hanging="567"/>
        <w:rPr>
          <w:szCs w:val="18"/>
          <w:lang w:val="en-GB"/>
        </w:rPr>
      </w:pPr>
      <w:bookmarkStart w:id="1615" w:name="_Ref445305953"/>
      <w:r w:rsidRPr="005079A3">
        <w:rPr>
          <w:szCs w:val="18"/>
          <w:lang w:val="en-GB"/>
        </w:rPr>
        <w:t xml:space="preserve">Türschmann, M., M. Röwekamp, S. Babst, “Concept for Comprehensive Hazards PSA and Fire PSA Application”, Progress in Nuclear Energy, </w:t>
      </w:r>
      <w:r w:rsidR="008C3F7D" w:rsidRPr="00EE18E6">
        <w:rPr>
          <w:szCs w:val="18"/>
          <w:lang w:val="en-GB"/>
        </w:rPr>
        <w:t xml:space="preserve">Volume 84, </w:t>
      </w:r>
      <w:r w:rsidR="008C3F7D">
        <w:rPr>
          <w:szCs w:val="18"/>
          <w:lang w:val="en-GB"/>
        </w:rPr>
        <w:t>pp.</w:t>
      </w:r>
      <w:r w:rsidR="008C3F7D" w:rsidRPr="00EE18E6">
        <w:rPr>
          <w:szCs w:val="18"/>
          <w:lang w:val="en-GB"/>
        </w:rPr>
        <w:t xml:space="preserve"> 36–40</w:t>
      </w:r>
      <w:r w:rsidR="008C3F7D">
        <w:rPr>
          <w:szCs w:val="18"/>
          <w:lang w:val="en-GB"/>
        </w:rPr>
        <w:t>,</w:t>
      </w:r>
      <w:r w:rsidR="008C3F7D" w:rsidRPr="00EE18E6">
        <w:rPr>
          <w:szCs w:val="18"/>
          <w:lang w:val="en-GB"/>
        </w:rPr>
        <w:t xml:space="preserve"> </w:t>
      </w:r>
      <w:r w:rsidRPr="005079A3">
        <w:rPr>
          <w:szCs w:val="18"/>
          <w:lang w:val="en-GB"/>
        </w:rPr>
        <w:t>2015</w:t>
      </w:r>
      <w:r w:rsidR="00B31756" w:rsidRPr="00080288">
        <w:rPr>
          <w:szCs w:val="18"/>
          <w:lang w:val="en-GB"/>
        </w:rPr>
        <w:t>.</w:t>
      </w:r>
      <w:bookmarkEnd w:id="1615"/>
    </w:p>
    <w:p w:rsidR="00DE24B0" w:rsidRPr="009803F6" w:rsidRDefault="00DE24B0" w:rsidP="00E62976">
      <w:pPr>
        <w:numPr>
          <w:ilvl w:val="0"/>
          <w:numId w:val="10"/>
        </w:numPr>
        <w:ind w:left="567" w:hanging="567"/>
        <w:rPr>
          <w:szCs w:val="18"/>
          <w:lang w:val="en-US"/>
        </w:rPr>
      </w:pPr>
      <w:bookmarkStart w:id="1616" w:name="_Ref450740292"/>
      <w:r w:rsidRPr="009803F6">
        <w:rPr>
          <w:szCs w:val="18"/>
          <w:lang w:val="en-GB"/>
        </w:rPr>
        <w:t>NUREG-2122, “Glossary of Risk-Related Terms in Support of Risk-Informed Decision</w:t>
      </w:r>
      <w:r w:rsidR="00281A20">
        <w:rPr>
          <w:szCs w:val="18"/>
          <w:lang w:val="en-GB"/>
        </w:rPr>
        <w:t xml:space="preserve"> </w:t>
      </w:r>
      <w:r w:rsidRPr="009803F6">
        <w:rPr>
          <w:szCs w:val="18"/>
          <w:lang w:val="en-GB"/>
        </w:rPr>
        <w:t>making,” U.S. Nuclear Regulatory Commission, Washington, DC, May 2013.</w:t>
      </w:r>
      <w:bookmarkEnd w:id="1616"/>
    </w:p>
    <w:p w:rsidR="00DE24B0" w:rsidRPr="009803F6" w:rsidRDefault="00DE24B0" w:rsidP="00E62976">
      <w:pPr>
        <w:numPr>
          <w:ilvl w:val="0"/>
          <w:numId w:val="10"/>
        </w:numPr>
        <w:ind w:left="567" w:hanging="567"/>
        <w:rPr>
          <w:szCs w:val="18"/>
          <w:lang w:val="en-US"/>
        </w:rPr>
      </w:pPr>
      <w:bookmarkStart w:id="1617" w:name="_Ref450740311"/>
      <w:r w:rsidRPr="009803F6">
        <w:rPr>
          <w:szCs w:val="18"/>
          <w:lang w:val="en-GB"/>
        </w:rPr>
        <w:t>NUREG-1855, “Guidance on the Treatment of Uncertainties Associated with PRAs in Risk-Informed Decision</w:t>
      </w:r>
      <w:r w:rsidR="009B35B6">
        <w:rPr>
          <w:szCs w:val="18"/>
          <w:lang w:val="en-GB"/>
        </w:rPr>
        <w:t xml:space="preserve"> </w:t>
      </w:r>
      <w:r w:rsidRPr="009803F6">
        <w:rPr>
          <w:szCs w:val="18"/>
          <w:lang w:val="en-GB"/>
        </w:rPr>
        <w:t>making”</w:t>
      </w:r>
      <w:r w:rsidR="001E2EDC">
        <w:rPr>
          <w:szCs w:val="18"/>
          <w:lang w:val="en-GB"/>
        </w:rPr>
        <w:t>,</w:t>
      </w:r>
      <w:r w:rsidRPr="009803F6">
        <w:rPr>
          <w:szCs w:val="18"/>
          <w:lang w:val="en-GB"/>
        </w:rPr>
        <w:t xml:space="preserve"> U.S. Nuclear Regulatory Commission, Washington, DC, March 2013.</w:t>
      </w:r>
      <w:bookmarkEnd w:id="1617"/>
    </w:p>
    <w:p w:rsidR="005D58D0" w:rsidRPr="00A64C8E" w:rsidRDefault="00DE24B0" w:rsidP="00E62976">
      <w:pPr>
        <w:numPr>
          <w:ilvl w:val="0"/>
          <w:numId w:val="10"/>
        </w:numPr>
        <w:ind w:left="567" w:hanging="567"/>
        <w:rPr>
          <w:lang w:val="en-GB"/>
        </w:rPr>
      </w:pPr>
      <w:bookmarkStart w:id="1618" w:name="_Ref450740329"/>
      <w:r w:rsidRPr="009803F6">
        <w:rPr>
          <w:szCs w:val="18"/>
          <w:lang w:val="en-GB"/>
        </w:rPr>
        <w:t>RG 1.200, “An Approach for Determining the Technical Adequacy of Probabilistic Risk Assessment Results for Risk-Informed Activities”</w:t>
      </w:r>
      <w:r w:rsidR="00290485">
        <w:rPr>
          <w:szCs w:val="18"/>
          <w:lang w:val="en-GB"/>
        </w:rPr>
        <w:t>,</w:t>
      </w:r>
      <w:r w:rsidRPr="009803F6">
        <w:rPr>
          <w:szCs w:val="18"/>
          <w:lang w:val="en-GB"/>
        </w:rPr>
        <w:t xml:space="preserve"> Revision 2, U.S. Nuclear Regulatory Commission, Washington, DC, March 2009.</w:t>
      </w:r>
      <w:bookmarkStart w:id="1619" w:name="_Toc274672416"/>
      <w:bookmarkStart w:id="1620" w:name="_Toc279080504"/>
      <w:bookmarkStart w:id="1621" w:name="_Toc279080506"/>
      <w:bookmarkStart w:id="1622" w:name="_Toc279080507"/>
      <w:bookmarkEnd w:id="1618"/>
      <w:bookmarkEnd w:id="1619"/>
      <w:bookmarkEnd w:id="1620"/>
      <w:bookmarkEnd w:id="1621"/>
      <w:bookmarkEnd w:id="1622"/>
    </w:p>
    <w:p w:rsidR="00A64C8E" w:rsidRDefault="00A64C8E" w:rsidP="00E62976">
      <w:pPr>
        <w:numPr>
          <w:ilvl w:val="0"/>
          <w:numId w:val="10"/>
        </w:numPr>
        <w:ind w:left="567" w:hanging="567"/>
        <w:rPr>
          <w:lang w:val="en-GB"/>
        </w:rPr>
      </w:pPr>
      <w:bookmarkStart w:id="1623" w:name="_Ref467515860"/>
      <w:r w:rsidRPr="00A64C8E">
        <w:rPr>
          <w:lang w:val="en-GB"/>
        </w:rPr>
        <w:t>Mitsubishi Heavy Industries, Ltd., Design Control Document for the U.S. APWR Mitsubishi Heavy Industries Ltd., MUAP-DC001, Chapter 15, Rev. 1, Aug. 2008.</w:t>
      </w:r>
      <w:bookmarkEnd w:id="1623"/>
    </w:p>
    <w:p w:rsidR="004A1884" w:rsidRDefault="004A1884" w:rsidP="00E62976">
      <w:pPr>
        <w:numPr>
          <w:ilvl w:val="0"/>
          <w:numId w:val="10"/>
        </w:numPr>
        <w:ind w:left="567" w:hanging="567"/>
        <w:rPr>
          <w:lang w:val="en-GB"/>
        </w:rPr>
      </w:pPr>
      <w:bookmarkStart w:id="1624" w:name="_Ref469064187"/>
      <w:r w:rsidRPr="00AD54D7">
        <w:rPr>
          <w:lang w:val="en-GB"/>
        </w:rPr>
        <w:t>International Atomic Energy Agency (IAEA),</w:t>
      </w:r>
      <w:r>
        <w:rPr>
          <w:lang w:val="en-GB"/>
        </w:rPr>
        <w:t xml:space="preserve"> “</w:t>
      </w:r>
      <w:r w:rsidRPr="004A1884">
        <w:rPr>
          <w:lang w:val="en-GB"/>
        </w:rPr>
        <w:t>Best Practices in Identifying, Reporting and Screening Operating Experience at Nuclear Power Plants</w:t>
      </w:r>
      <w:r>
        <w:rPr>
          <w:lang w:val="en-GB"/>
        </w:rPr>
        <w:t xml:space="preserve">”, </w:t>
      </w:r>
      <w:r w:rsidRPr="004A1884">
        <w:rPr>
          <w:lang w:val="en-GB"/>
        </w:rPr>
        <w:t>IAEA TECDOC No. 1581</w:t>
      </w:r>
      <w:r>
        <w:rPr>
          <w:lang w:val="en-GB"/>
        </w:rPr>
        <w:t>, 2008.</w:t>
      </w:r>
      <w:bookmarkEnd w:id="1624"/>
    </w:p>
    <w:p w:rsidR="00AF60EA" w:rsidRPr="002F25DB" w:rsidRDefault="00AF60EA" w:rsidP="00E62976">
      <w:pPr>
        <w:numPr>
          <w:ilvl w:val="0"/>
          <w:numId w:val="10"/>
        </w:numPr>
        <w:ind w:left="567" w:hanging="567"/>
        <w:rPr>
          <w:bCs/>
          <w:iCs/>
          <w:szCs w:val="18"/>
          <w:lang w:val="en-GB"/>
        </w:rPr>
      </w:pPr>
      <w:bookmarkStart w:id="1625" w:name="_Ref467064389"/>
      <w:r w:rsidRPr="002F25DB">
        <w:rPr>
          <w:lang w:val="en-GB"/>
        </w:rPr>
        <w:t>US</w:t>
      </w:r>
      <w:r w:rsidRPr="002F25DB">
        <w:rPr>
          <w:bCs/>
          <w:iCs/>
          <w:szCs w:val="18"/>
          <w:lang w:val="en-GB"/>
        </w:rPr>
        <w:t xml:space="preserve"> Nuclear Regulatory Commission, </w:t>
      </w:r>
      <w:r w:rsidR="002F25DB" w:rsidRPr="002F25DB">
        <w:rPr>
          <w:lang w:val="en-GB"/>
        </w:rPr>
        <w:t>“</w:t>
      </w:r>
      <w:r w:rsidRPr="002F25DB">
        <w:rPr>
          <w:bCs/>
          <w:iCs/>
          <w:szCs w:val="18"/>
          <w:lang w:val="en-GB"/>
        </w:rPr>
        <w:t>PRA Procedure Guide: A Guide to the performance of Probabilistic Risk Assessments for Nuclear Power Plants</w:t>
      </w:r>
      <w:r w:rsidR="002F25DB" w:rsidRPr="002F25DB">
        <w:rPr>
          <w:bCs/>
          <w:iCs/>
          <w:szCs w:val="18"/>
          <w:lang w:val="en-GB"/>
        </w:rPr>
        <w:t> »</w:t>
      </w:r>
      <w:r w:rsidRPr="002F25DB">
        <w:rPr>
          <w:bCs/>
          <w:iCs/>
          <w:szCs w:val="18"/>
          <w:lang w:val="en-GB"/>
        </w:rPr>
        <w:t>, NUREG/CR-2300, 1983.</w:t>
      </w:r>
      <w:bookmarkEnd w:id="1625"/>
    </w:p>
    <w:p w:rsidR="002F25DB" w:rsidRDefault="002F25DB" w:rsidP="00E62976">
      <w:pPr>
        <w:numPr>
          <w:ilvl w:val="0"/>
          <w:numId w:val="10"/>
        </w:numPr>
        <w:ind w:left="567" w:hanging="567"/>
        <w:rPr>
          <w:bCs/>
          <w:iCs/>
          <w:szCs w:val="18"/>
          <w:lang w:val="en-GB"/>
        </w:rPr>
      </w:pPr>
      <w:bookmarkStart w:id="1626" w:name="_Ref469068081"/>
      <w:r w:rsidRPr="002F25DB">
        <w:rPr>
          <w:bCs/>
          <w:iCs/>
          <w:szCs w:val="18"/>
          <w:lang w:val="en-GB"/>
        </w:rPr>
        <w:t xml:space="preserve">I-boken, </w:t>
      </w:r>
      <w:r w:rsidRPr="002F25DB">
        <w:rPr>
          <w:lang w:val="en-GB"/>
        </w:rPr>
        <w:t>“</w:t>
      </w:r>
      <w:r w:rsidRPr="002F25DB">
        <w:rPr>
          <w:bCs/>
          <w:iCs/>
          <w:szCs w:val="18"/>
          <w:lang w:val="en-GB"/>
        </w:rPr>
        <w:t>Initiating Events at Nordic Nuclear Power Plants</w:t>
      </w:r>
      <w:r w:rsidRPr="002F25DB">
        <w:rPr>
          <w:lang w:val="en-GB"/>
        </w:rPr>
        <w:t>”</w:t>
      </w:r>
      <w:r w:rsidRPr="002F25DB">
        <w:rPr>
          <w:bCs/>
          <w:iCs/>
          <w:szCs w:val="18"/>
          <w:lang w:val="en-GB"/>
        </w:rPr>
        <w:t>, version 2, 1994. SKI Report 94:12, ISSN 1104-1374</w:t>
      </w:r>
      <w:r w:rsidRPr="005262CB">
        <w:rPr>
          <w:bCs/>
          <w:iCs/>
          <w:szCs w:val="18"/>
          <w:lang w:val="en-GB"/>
        </w:rPr>
        <w:t>, ISRN SKI-94/1-SE.</w:t>
      </w:r>
      <w:bookmarkEnd w:id="1626"/>
    </w:p>
    <w:p w:rsidR="00E22F24" w:rsidRDefault="00E22F24" w:rsidP="00E62976">
      <w:pPr>
        <w:numPr>
          <w:ilvl w:val="0"/>
          <w:numId w:val="10"/>
        </w:numPr>
        <w:ind w:left="567" w:hanging="567"/>
        <w:rPr>
          <w:bCs/>
          <w:iCs/>
          <w:szCs w:val="18"/>
          <w:lang w:val="en-GB"/>
        </w:rPr>
      </w:pPr>
      <w:bookmarkStart w:id="1627" w:name="_Ref469068336"/>
      <w:r w:rsidRPr="00E22F24">
        <w:rPr>
          <w:bCs/>
          <w:iCs/>
          <w:szCs w:val="18"/>
          <w:lang w:val="en-GB"/>
        </w:rPr>
        <w:t>Hellstroem, Per, Comparison of SKIFS 2004:1 and Tillsynshandbok PSA against the ASME PRA Standard and European requirements on PSA, Swedish Nuclear Power Inspectorate, Stockholm (Sweden)</w:t>
      </w:r>
      <w:bookmarkEnd w:id="1627"/>
    </w:p>
    <w:p w:rsidR="00CD59AE" w:rsidRPr="00CD59AE" w:rsidRDefault="00CD59AE" w:rsidP="00E62976">
      <w:pPr>
        <w:numPr>
          <w:ilvl w:val="0"/>
          <w:numId w:val="10"/>
        </w:numPr>
        <w:rPr>
          <w:bCs/>
          <w:iCs/>
          <w:szCs w:val="18"/>
        </w:rPr>
      </w:pPr>
      <w:bookmarkStart w:id="1628" w:name="_Ref469069703"/>
      <w:r w:rsidRPr="00CD59AE">
        <w:rPr>
          <w:bCs/>
          <w:iCs/>
          <w:szCs w:val="18"/>
        </w:rPr>
        <w:t xml:space="preserve">ASAMPSA_E, “The link between the Defence-in-Depth Concept and Extended PSA”, Technical report </w:t>
      </w:r>
      <w:r w:rsidR="006315D4" w:rsidRPr="006315D4">
        <w:rPr>
          <w:bCs/>
          <w:iCs/>
          <w:szCs w:val="18"/>
        </w:rPr>
        <w:t>ASAMPSA_E/WP30/D30.7/2017-31 volume 4</w:t>
      </w:r>
      <w:r w:rsidRPr="00CD59AE">
        <w:rPr>
          <w:bCs/>
          <w:iCs/>
          <w:szCs w:val="18"/>
        </w:rPr>
        <w:t xml:space="preserve">, IRSN </w:t>
      </w:r>
      <w:r w:rsidR="006315D4" w:rsidRPr="006315D4">
        <w:rPr>
          <w:bCs/>
          <w:iCs/>
          <w:szCs w:val="18"/>
        </w:rPr>
        <w:t>PSN-RES/SAG/2017-00019</w:t>
      </w:r>
      <w:r w:rsidRPr="00CD59AE">
        <w:rPr>
          <w:bCs/>
          <w:iCs/>
          <w:szCs w:val="18"/>
        </w:rPr>
        <w:t>.</w:t>
      </w:r>
      <w:bookmarkStart w:id="1629" w:name="_GoBack"/>
      <w:bookmarkEnd w:id="1628"/>
      <w:bookmarkEnd w:id="1629"/>
    </w:p>
    <w:sectPr w:rsidR="00CD59AE" w:rsidRPr="00CD59AE" w:rsidSect="001C5C9D">
      <w:pgSz w:w="11907" w:h="16840" w:code="9"/>
      <w:pgMar w:top="1304" w:right="1134" w:bottom="1588" w:left="567" w:header="567" w:footer="0" w:gutter="851"/>
      <w:cols w:space="380"/>
      <w:noEndnote/>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8F40BB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7B29" w:rsidRDefault="000E7B29">
      <w:r>
        <w:separator/>
      </w:r>
    </w:p>
    <w:p w:rsidR="000E7B29" w:rsidRDefault="000E7B29"/>
  </w:endnote>
  <w:endnote w:type="continuationSeparator" w:id="0">
    <w:p w:rsidR="000E7B29" w:rsidRDefault="000E7B29">
      <w:r>
        <w:continuationSeparator/>
      </w:r>
    </w:p>
    <w:p w:rsidR="000E7B29" w:rsidRDefault="000E7B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mbolMT">
    <w:altName w:val="Arial Unicode MS"/>
    <w:panose1 w:val="00000000000000000000"/>
    <w:charset w:val="80"/>
    <w:family w:val="auto"/>
    <w:notTrueType/>
    <w:pitch w:val="default"/>
    <w:sig w:usb0="00000001" w:usb1="08070000" w:usb2="00000010" w:usb3="00000000" w:csb0="00020000" w:csb1="00000000"/>
  </w:font>
  <w:font w:name="Trebuchet MS">
    <w:panose1 w:val="020B0603020202020204"/>
    <w:charset w:val="00"/>
    <w:family w:val="swiss"/>
    <w:pitch w:val="variable"/>
    <w:sig w:usb0="00000287" w:usb1="00000000" w:usb2="00000000" w:usb3="00000000" w:csb0="0000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Ten">
    <w:altName w:val="Times New Roman"/>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onsolas">
    <w:panose1 w:val="020B0609020204030204"/>
    <w:charset w:val="00"/>
    <w:family w:val="modern"/>
    <w:pitch w:val="fixed"/>
    <w:sig w:usb0="E10002FF" w:usb1="4000FCFF" w:usb2="00000009"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Bold">
    <w:altName w:val="Times New Roman"/>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rial-ItalicMT">
    <w:altName w:val="Arial"/>
    <w:panose1 w:val="00000000000000000000"/>
    <w:charset w:val="00"/>
    <w:family w:val="swiss"/>
    <w:notTrueType/>
    <w:pitch w:val="default"/>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MS PGothic">
    <w:panose1 w:val="020B0600070205080204"/>
    <w:charset w:val="80"/>
    <w:family w:val="swiss"/>
    <w:pitch w:val="variable"/>
    <w:sig w:usb0="E00002FF" w:usb1="6AC7FDFB" w:usb2="00000012" w:usb3="00000000" w:csb0="0002009F" w:csb1="00000000"/>
  </w:font>
  <w:font w:name="tt3871o00">
    <w:panose1 w:val="00000000000000000000"/>
    <w:charset w:val="00"/>
    <w:family w:val="roman"/>
    <w:notTrueType/>
    <w:pitch w:val="default"/>
  </w:font>
  <w:font w:name="tt385ao00">
    <w:panose1 w:val="00000000000000000000"/>
    <w:charset w:val="00"/>
    <w:family w:val="roman"/>
    <w:notTrueType/>
    <w:pitch w:val="default"/>
  </w:font>
  <w:font w:name="tt385co00">
    <w:panose1 w:val="00000000000000000000"/>
    <w:charset w:val="00"/>
    <w:family w:val="roman"/>
    <w:notTrueType/>
    <w:pitch w:val="default"/>
  </w:font>
  <w:font w:name="Century">
    <w:panose1 w:val="02040604050505020304"/>
    <w:charset w:val="00"/>
    <w:family w:val="roman"/>
    <w:pitch w:val="variable"/>
    <w:sig w:usb0="00000287" w:usb1="00000000" w:usb2="00000000" w:usb3="00000000" w:csb0="0000009F" w:csb1="00000000"/>
  </w:font>
  <w:font w:name="tt385bo00">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TimesNewRomanPS-ItalicMT">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70" w:type="dxa"/>
      <w:tblLayout w:type="fixed"/>
      <w:tblCellMar>
        <w:left w:w="70" w:type="dxa"/>
        <w:right w:w="70" w:type="dxa"/>
      </w:tblCellMar>
      <w:tblLook w:val="0000" w:firstRow="0" w:lastRow="0" w:firstColumn="0" w:lastColumn="0" w:noHBand="0" w:noVBand="0"/>
    </w:tblPr>
    <w:tblGrid>
      <w:gridCol w:w="3898"/>
      <w:gridCol w:w="4561"/>
      <w:gridCol w:w="1011"/>
    </w:tblGrid>
    <w:tr w:rsidR="000E7B29" w:rsidTr="00E62976">
      <w:tc>
        <w:tcPr>
          <w:tcW w:w="3898" w:type="dxa"/>
          <w:tcBorders>
            <w:top w:val="single" w:sz="4" w:space="0" w:color="auto"/>
          </w:tcBorders>
        </w:tcPr>
        <w:p w:rsidR="000E7B29" w:rsidRPr="007F6486" w:rsidRDefault="007F6486">
          <w:r w:rsidRPr="00E62976">
            <w:rPr>
              <w:bCs/>
              <w:lang w:val="en-GB"/>
            </w:rPr>
            <w:t>ASAMPSA_E/WP30/D30.7/2017-31 volume 2</w:t>
          </w:r>
        </w:p>
      </w:tc>
      <w:tc>
        <w:tcPr>
          <w:tcW w:w="4561" w:type="dxa"/>
          <w:tcBorders>
            <w:top w:val="single" w:sz="4" w:space="0" w:color="auto"/>
            <w:left w:val="nil"/>
          </w:tcBorders>
        </w:tcPr>
        <w:p w:rsidR="000E7B29" w:rsidRDefault="007F6486">
          <w:pPr>
            <w:jc w:val="center"/>
            <w:rPr>
              <w:rFonts w:ascii="Garamond" w:hAnsi="Garamond"/>
              <w:sz w:val="16"/>
            </w:rPr>
          </w:pPr>
          <w:r w:rsidRPr="00E62976">
            <w:rPr>
              <w:bCs/>
              <w:lang w:val="en-GB"/>
            </w:rPr>
            <w:t>IRSN/PSN-RES/SAG/2017-00019</w:t>
          </w:r>
        </w:p>
      </w:tc>
      <w:tc>
        <w:tcPr>
          <w:tcW w:w="1011" w:type="dxa"/>
          <w:tcBorders>
            <w:top w:val="single" w:sz="4" w:space="0" w:color="auto"/>
          </w:tcBorders>
        </w:tcPr>
        <w:p w:rsidR="000E7B29" w:rsidRDefault="000E7B29" w:rsidP="00C9763C">
          <w:pPr>
            <w:jc w:val="right"/>
            <w:rPr>
              <w:vertAlign w:val="subscript"/>
            </w:rPr>
          </w:pPr>
          <w:r>
            <w:rPr>
              <w:rStyle w:val="Numrodepage"/>
            </w:rPr>
            <w:fldChar w:fldCharType="begin"/>
          </w:r>
          <w:r>
            <w:rPr>
              <w:rStyle w:val="Numrodepage"/>
            </w:rPr>
            <w:instrText xml:space="preserve"> PAGE </w:instrText>
          </w:r>
          <w:r>
            <w:rPr>
              <w:rStyle w:val="Numrodepage"/>
            </w:rPr>
            <w:fldChar w:fldCharType="separate"/>
          </w:r>
          <w:r w:rsidR="00EF6E08">
            <w:rPr>
              <w:rStyle w:val="Numrodepage"/>
              <w:noProof/>
            </w:rPr>
            <w:t>4</w:t>
          </w:r>
          <w:r>
            <w:rPr>
              <w:rStyle w:val="Numrodepage"/>
            </w:rPr>
            <w:fldChar w:fldCharType="end"/>
          </w:r>
          <w:r>
            <w:t>/</w:t>
          </w:r>
          <w:r>
            <w:rPr>
              <w:rStyle w:val="Numrodepage"/>
            </w:rPr>
            <w:fldChar w:fldCharType="begin"/>
          </w:r>
          <w:r>
            <w:rPr>
              <w:rStyle w:val="Numrodepage"/>
            </w:rPr>
            <w:instrText xml:space="preserve"> NUMPAGES   \* MERGEFORMAT </w:instrText>
          </w:r>
          <w:r>
            <w:rPr>
              <w:rStyle w:val="Numrodepage"/>
            </w:rPr>
            <w:fldChar w:fldCharType="separate"/>
          </w:r>
          <w:r w:rsidR="00EF6E08">
            <w:rPr>
              <w:rStyle w:val="Numrodepage"/>
              <w:noProof/>
            </w:rPr>
            <w:t>128</w:t>
          </w:r>
          <w:r>
            <w:rPr>
              <w:rStyle w:val="Numrodepage"/>
            </w:rPr>
            <w:fldChar w:fldCharType="end"/>
          </w:r>
        </w:p>
      </w:tc>
    </w:tr>
  </w:tbl>
  <w:p w:rsidR="000E7B29" w:rsidRDefault="000E7B2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B29" w:rsidRDefault="000E7B29">
    <w:pPr>
      <w:spacing w:line="204" w:lineRule="exact"/>
      <w:ind w:left="-301"/>
      <w:rPr>
        <w:b/>
        <w:bCs/>
        <w:sz w:val="15"/>
      </w:rPr>
    </w:pPr>
    <w:r>
      <w:rPr>
        <w:b/>
        <w:bCs/>
        <w:sz w:val="15"/>
      </w:rPr>
      <w:t>Siège social - 77, av. du Général-de-Gaulle - 92140 Clamart - Standard +33 (0)1 58 35 88 88 - RCS Nanterre B 440 546 018</w:t>
    </w:r>
  </w:p>
  <w:p w:rsidR="000E7B29" w:rsidRDefault="000E7B29">
    <w:pPr>
      <w:spacing w:line="204" w:lineRule="exact"/>
      <w:ind w:left="-301"/>
      <w:rPr>
        <w:b/>
        <w:bCs/>
        <w:sz w:val="15"/>
      </w:rPr>
    </w:pPr>
  </w:p>
  <w:p w:rsidR="000E7B29" w:rsidRDefault="000E7B29">
    <w:pPr>
      <w:spacing w:line="204" w:lineRule="exact"/>
      <w:ind w:left="-301"/>
      <w:rPr>
        <w:b/>
        <w:bCs/>
        <w:sz w:val="15"/>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47"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4077"/>
      <w:gridCol w:w="5670"/>
    </w:tblGrid>
    <w:tr w:rsidR="000E7B29" w:rsidRPr="00B2386E" w:rsidTr="00E62976">
      <w:tc>
        <w:tcPr>
          <w:tcW w:w="4077" w:type="dxa"/>
          <w:shd w:val="clear" w:color="auto" w:fill="auto"/>
        </w:tcPr>
        <w:p w:rsidR="000E7B29" w:rsidRPr="00B2386E" w:rsidRDefault="007F6486" w:rsidP="00FE1BA6">
          <w:pPr>
            <w:pStyle w:val="Pieddepage"/>
            <w:rPr>
              <w:i/>
              <w:lang w:val="en-GB"/>
            </w:rPr>
          </w:pPr>
          <w:r w:rsidRPr="004819BA">
            <w:rPr>
              <w:bCs/>
              <w:lang w:val="en-GB"/>
            </w:rPr>
            <w:t>ASAMPSA_E/WP30/D30.7/2017-31 volume 2</w:t>
          </w:r>
        </w:p>
      </w:tc>
      <w:tc>
        <w:tcPr>
          <w:tcW w:w="5670" w:type="dxa"/>
          <w:shd w:val="clear" w:color="auto" w:fill="auto"/>
        </w:tcPr>
        <w:p w:rsidR="000E7B29" w:rsidRPr="00B2386E" w:rsidRDefault="007F6486" w:rsidP="00E62976">
          <w:pPr>
            <w:pStyle w:val="Pieddepage"/>
            <w:ind w:right="450"/>
            <w:rPr>
              <w:i/>
            </w:rPr>
          </w:pPr>
          <w:r w:rsidRPr="004819BA">
            <w:rPr>
              <w:bCs/>
              <w:lang w:val="en-GB"/>
            </w:rPr>
            <w:t>IRSN/PSN-RES/SAG/2017-00019</w:t>
          </w:r>
          <w:r>
            <w:rPr>
              <w:rStyle w:val="Numrodepage"/>
            </w:rPr>
            <w:t xml:space="preserve"> </w:t>
          </w:r>
          <w:r>
            <w:rPr>
              <w:rStyle w:val="Numrodepage"/>
            </w:rPr>
            <w:tab/>
          </w:r>
          <w:r w:rsidR="00E62976">
            <w:rPr>
              <w:rStyle w:val="Numrodepage"/>
            </w:rPr>
            <w:fldChar w:fldCharType="begin"/>
          </w:r>
          <w:r w:rsidR="00E62976">
            <w:rPr>
              <w:rStyle w:val="Numrodepage"/>
            </w:rPr>
            <w:instrText xml:space="preserve"> PAGE   \* MERGEFORMAT </w:instrText>
          </w:r>
          <w:r w:rsidR="00E62976">
            <w:rPr>
              <w:rStyle w:val="Numrodepage"/>
            </w:rPr>
            <w:fldChar w:fldCharType="separate"/>
          </w:r>
          <w:r w:rsidR="00EF6E08">
            <w:rPr>
              <w:rStyle w:val="Numrodepage"/>
              <w:noProof/>
            </w:rPr>
            <w:t>128</w:t>
          </w:r>
          <w:r w:rsidR="00E62976">
            <w:rPr>
              <w:rStyle w:val="Numrodepage"/>
            </w:rPr>
            <w:fldChar w:fldCharType="end"/>
          </w:r>
          <w:r w:rsidR="00E62976">
            <w:rPr>
              <w:rStyle w:val="Numrodepage"/>
            </w:rPr>
            <w:t>/</w:t>
          </w:r>
          <w:r>
            <w:rPr>
              <w:rStyle w:val="Numrodepage"/>
            </w:rPr>
            <w:fldChar w:fldCharType="begin"/>
          </w:r>
          <w:r>
            <w:rPr>
              <w:rStyle w:val="Numrodepage"/>
            </w:rPr>
            <w:instrText xml:space="preserve"> NUMPAGES   \* MERGEFORMAT </w:instrText>
          </w:r>
          <w:r>
            <w:rPr>
              <w:rStyle w:val="Numrodepage"/>
            </w:rPr>
            <w:fldChar w:fldCharType="separate"/>
          </w:r>
          <w:r w:rsidR="00EF6E08">
            <w:rPr>
              <w:rStyle w:val="Numrodepage"/>
              <w:noProof/>
            </w:rPr>
            <w:t>128</w:t>
          </w:r>
          <w:r>
            <w:rPr>
              <w:rStyle w:val="Numrodepage"/>
            </w:rPr>
            <w:fldChar w:fldCharType="end"/>
          </w:r>
        </w:p>
      </w:tc>
    </w:tr>
  </w:tbl>
  <w:p w:rsidR="000E7B29" w:rsidRPr="00E66FD9" w:rsidRDefault="000E7B29" w:rsidP="0063672A">
    <w:pPr>
      <w:pStyle w:val="Pieddepage"/>
    </w:pPr>
  </w:p>
  <w:p w:rsidR="000E7B29" w:rsidRDefault="000E7B2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7B29" w:rsidRDefault="000E7B29">
      <w:r>
        <w:separator/>
      </w:r>
    </w:p>
    <w:p w:rsidR="000E7B29" w:rsidRDefault="000E7B29"/>
  </w:footnote>
  <w:footnote w:type="continuationSeparator" w:id="0">
    <w:p w:rsidR="000E7B29" w:rsidRDefault="000E7B29">
      <w:r>
        <w:continuationSeparator/>
      </w:r>
    </w:p>
    <w:p w:rsidR="000E7B29" w:rsidRDefault="000E7B29"/>
  </w:footnote>
  <w:footnote w:id="1">
    <w:p w:rsidR="000E7B29" w:rsidRPr="00D6282B" w:rsidRDefault="000E7B29">
      <w:pPr>
        <w:pStyle w:val="Notedebasdepage"/>
        <w:rPr>
          <w:sz w:val="18"/>
          <w:szCs w:val="18"/>
          <w:lang w:val="en-GB"/>
        </w:rPr>
      </w:pPr>
      <w:r w:rsidRPr="00D6282B">
        <w:rPr>
          <w:rStyle w:val="Appelnotedebasdep"/>
          <w:lang w:val="en-GB"/>
        </w:rPr>
        <w:footnoteRef/>
      </w:r>
      <w:r w:rsidRPr="00D6282B">
        <w:rPr>
          <w:lang w:val="en-GB"/>
        </w:rPr>
        <w:t xml:space="preserve"> </w:t>
      </w:r>
      <w:r w:rsidRPr="00D6282B">
        <w:rPr>
          <w:sz w:val="18"/>
          <w:szCs w:val="18"/>
          <w:lang w:val="en-GB"/>
        </w:rPr>
        <w:t xml:space="preserve">On the definition of hazard scenario, see </w:t>
      </w:r>
      <w:r>
        <w:rPr>
          <w:sz w:val="18"/>
          <w:szCs w:val="18"/>
          <w:lang w:val="en-GB"/>
        </w:rPr>
        <w:t>the glossary</w:t>
      </w:r>
      <w:r w:rsidRPr="00D6282B">
        <w:rPr>
          <w:sz w:val="18"/>
          <w:szCs w:val="18"/>
          <w:lang w:val="en-GB"/>
        </w:rPr>
        <w:t xml:space="preserve">. It should be noted that it is consistent with the usage of the term “scenario” in </w:t>
      </w:r>
      <w:r>
        <w:fldChar w:fldCharType="begin"/>
      </w:r>
      <w:r>
        <w:rPr>
          <w:sz w:val="18"/>
          <w:szCs w:val="18"/>
          <w:lang w:val="en-GB"/>
        </w:rPr>
        <w:instrText xml:space="preserve"> REF _Ref432773062 \w \h </w:instrText>
      </w:r>
      <w:r>
        <w:fldChar w:fldCharType="separate"/>
      </w:r>
      <w:r>
        <w:rPr>
          <w:sz w:val="18"/>
          <w:szCs w:val="18"/>
          <w:lang w:val="en-GB"/>
        </w:rPr>
        <w:t>[6]</w:t>
      </w:r>
      <w:r>
        <w:fldChar w:fldCharType="end"/>
      </w:r>
      <w:r w:rsidRPr="00D6282B">
        <w:rPr>
          <w:sz w:val="18"/>
          <w:szCs w:val="18"/>
          <w:lang w:val="en-GB"/>
        </w:rPr>
        <w:t>.</w:t>
      </w:r>
    </w:p>
  </w:footnote>
  <w:footnote w:id="2">
    <w:p w:rsidR="000E7B29" w:rsidRPr="00C84308" w:rsidRDefault="000E7B29" w:rsidP="00A33C9F">
      <w:pPr>
        <w:pStyle w:val="Notedebasdepage"/>
        <w:rPr>
          <w:sz w:val="18"/>
          <w:szCs w:val="18"/>
          <w:lang w:val="en-GB"/>
        </w:rPr>
      </w:pPr>
      <w:r w:rsidRPr="00D7692A">
        <w:rPr>
          <w:rStyle w:val="Appelnotedebasdep"/>
          <w:lang w:val="en-GB"/>
        </w:rPr>
        <w:footnoteRef/>
      </w:r>
      <w:r w:rsidRPr="00D7692A">
        <w:rPr>
          <w:lang w:val="en-GB"/>
        </w:rPr>
        <w:t xml:space="preserve"> </w:t>
      </w:r>
      <w:r w:rsidRPr="00C84308">
        <w:rPr>
          <w:sz w:val="18"/>
          <w:szCs w:val="18"/>
          <w:lang w:val="en-GB"/>
        </w:rPr>
        <w:t xml:space="preserve">With regard to determining the frequency of occurrence, this procedure requires that all scenarios, which are combined into an initiating event group, are contributing to its frequency. </w:t>
      </w:r>
    </w:p>
  </w:footnote>
  <w:footnote w:id="3">
    <w:p w:rsidR="000E7B29" w:rsidRPr="00C9037C" w:rsidRDefault="000E7B29">
      <w:pPr>
        <w:pStyle w:val="Notedebasdepage"/>
        <w:rPr>
          <w:sz w:val="18"/>
          <w:szCs w:val="18"/>
          <w:lang w:val="en-GB"/>
        </w:rPr>
      </w:pPr>
      <w:r>
        <w:rPr>
          <w:rStyle w:val="Appelnotedebasdep"/>
        </w:rPr>
        <w:footnoteRef/>
      </w:r>
      <w:r w:rsidRPr="001B7918">
        <w:rPr>
          <w:lang w:val="en-US"/>
        </w:rPr>
        <w:t xml:space="preserve"> </w:t>
      </w:r>
      <w:r w:rsidRPr="00C9037C">
        <w:rPr>
          <w:sz w:val="18"/>
          <w:szCs w:val="18"/>
          <w:lang w:val="en-GB"/>
        </w:rPr>
        <w:t xml:space="preserve">Subdivisions would typically be defined by ranges of hazard impact parameter(s), like e.g. peak ground acceleration between 0.1g and 0.5g. </w:t>
      </w:r>
    </w:p>
  </w:footnote>
  <w:footnote w:id="4">
    <w:p w:rsidR="000E7B29" w:rsidRPr="00C84308" w:rsidRDefault="000E7B29" w:rsidP="00A33C9F">
      <w:pPr>
        <w:pStyle w:val="Notedebasdepage"/>
        <w:rPr>
          <w:sz w:val="18"/>
          <w:szCs w:val="18"/>
          <w:lang w:val="en-GB"/>
        </w:rPr>
      </w:pPr>
      <w:r w:rsidRPr="00C84308">
        <w:rPr>
          <w:rStyle w:val="Appelnotedebasdep"/>
          <w:sz w:val="18"/>
          <w:szCs w:val="18"/>
        </w:rPr>
        <w:footnoteRef/>
      </w:r>
      <w:r w:rsidRPr="001B7918">
        <w:rPr>
          <w:sz w:val="18"/>
          <w:szCs w:val="18"/>
          <w:lang w:val="en-US"/>
        </w:rPr>
        <w:t xml:space="preserve"> </w:t>
      </w:r>
      <w:r>
        <w:rPr>
          <w:sz w:val="18"/>
          <w:szCs w:val="18"/>
          <w:lang w:val="en-GB"/>
        </w:rPr>
        <w:t>SSG-3 gives no clear definition of “not applicable”</w:t>
      </w:r>
      <w:r w:rsidRPr="00C84308">
        <w:rPr>
          <w:sz w:val="18"/>
          <w:szCs w:val="18"/>
          <w:lang w:val="en-GB"/>
        </w:rPr>
        <w:t xml:space="preserve"> for this purpose. If it is physically impossible for an event to occur at a plant/site, this is clearly fulfilled. In some cases, however, the likelihood of the phenomenon to significantly affect the plant is merely judged to be very small (i.e. not reasonably possible). In this latter case, combinations with other (hazard) events would need to be removed from furth</w:t>
      </w:r>
      <w:r>
        <w:rPr>
          <w:sz w:val="18"/>
          <w:szCs w:val="18"/>
          <w:lang w:val="en-GB"/>
        </w:rPr>
        <w:t>er consideration separately (see</w:t>
      </w:r>
      <w:r w:rsidRPr="00C84308">
        <w:rPr>
          <w:sz w:val="18"/>
          <w:szCs w:val="18"/>
          <w:lang w:val="en-GB"/>
        </w:rPr>
        <w:t xml:space="preserve"> </w:t>
      </w:r>
      <w:r>
        <w:fldChar w:fldCharType="begin"/>
      </w:r>
      <w:r w:rsidRPr="009803F6">
        <w:rPr>
          <w:lang w:val="en-US"/>
        </w:rPr>
        <w:instrText xml:space="preserve"> REF _Ref384386913 \r \h  \* MERGEFORMAT </w:instrText>
      </w:r>
      <w:r>
        <w:fldChar w:fldCharType="separate"/>
      </w:r>
      <w:r w:rsidRPr="00B65580">
        <w:rPr>
          <w:sz w:val="18"/>
          <w:szCs w:val="18"/>
          <w:lang w:val="en-US"/>
        </w:rPr>
        <w:t>[4]</w:t>
      </w:r>
      <w:r>
        <w:fldChar w:fldCharType="end"/>
      </w:r>
      <w:r w:rsidRPr="00C84308">
        <w:rPr>
          <w:sz w:val="18"/>
          <w:szCs w:val="18"/>
          <w:lang w:val="en-US"/>
        </w:rPr>
        <w:t>, p.64).</w:t>
      </w:r>
      <w:r w:rsidRPr="00C84308">
        <w:rPr>
          <w:sz w:val="18"/>
          <w:szCs w:val="18"/>
          <w:lang w:val="en-GB"/>
        </w:rPr>
        <w:t xml:space="preserve"> </w:t>
      </w:r>
    </w:p>
  </w:footnote>
  <w:footnote w:id="5">
    <w:p w:rsidR="000E7B29" w:rsidRPr="00C84308" w:rsidRDefault="000E7B29" w:rsidP="00A33C9F">
      <w:pPr>
        <w:pStyle w:val="Notedebasdepage"/>
        <w:rPr>
          <w:sz w:val="18"/>
          <w:szCs w:val="18"/>
          <w:lang w:val="en-GB"/>
        </w:rPr>
      </w:pPr>
      <w:r w:rsidRPr="001D3C93">
        <w:rPr>
          <w:rStyle w:val="Appelnotedebasdep"/>
          <w:lang w:val="en-GB"/>
        </w:rPr>
        <w:footnoteRef/>
      </w:r>
      <w:r w:rsidRPr="001D3C93">
        <w:rPr>
          <w:lang w:val="en-GB"/>
        </w:rPr>
        <w:t xml:space="preserve"> </w:t>
      </w:r>
      <w:r w:rsidRPr="00C84308">
        <w:rPr>
          <w:sz w:val="18"/>
          <w:szCs w:val="18"/>
          <w:lang w:val="en-GB"/>
        </w:rPr>
        <w:t>If there are subcategories for the hazard event, this applies to them as well.</w:t>
      </w:r>
    </w:p>
  </w:footnote>
  <w:footnote w:id="6">
    <w:p w:rsidR="000E7B29" w:rsidRPr="00C84308" w:rsidRDefault="000E7B29" w:rsidP="00A33C9F">
      <w:pPr>
        <w:pStyle w:val="Notedebasdepage"/>
        <w:rPr>
          <w:sz w:val="18"/>
          <w:szCs w:val="18"/>
          <w:lang w:val="en-GB"/>
        </w:rPr>
      </w:pPr>
      <w:r w:rsidRPr="00C84308">
        <w:rPr>
          <w:rStyle w:val="Appelnotedebasdep"/>
          <w:sz w:val="18"/>
          <w:szCs w:val="18"/>
        </w:rPr>
        <w:footnoteRef/>
      </w:r>
      <w:r w:rsidRPr="001B7918">
        <w:rPr>
          <w:sz w:val="18"/>
          <w:szCs w:val="18"/>
          <w:lang w:val="en-US"/>
        </w:rPr>
        <w:t xml:space="preserve"> </w:t>
      </w:r>
      <w:r w:rsidRPr="00C84308">
        <w:rPr>
          <w:sz w:val="18"/>
          <w:szCs w:val="18"/>
          <w:lang w:val="en-GB"/>
        </w:rPr>
        <w:t xml:space="preserve">SSG-3 does not make a similar same statement </w:t>
      </w:r>
      <w:r>
        <w:rPr>
          <w:sz w:val="18"/>
          <w:szCs w:val="18"/>
          <w:lang w:val="en-GB"/>
        </w:rPr>
        <w:t>for</w:t>
      </w:r>
      <w:r w:rsidRPr="00C84308">
        <w:rPr>
          <w:sz w:val="18"/>
          <w:szCs w:val="18"/>
          <w:lang w:val="en-GB"/>
        </w:rPr>
        <w:t xml:space="preserve"> internal events. However, the PSA results and/or target should be taken into consideration for the whole screening process.</w:t>
      </w:r>
    </w:p>
  </w:footnote>
  <w:footnote w:id="7">
    <w:p w:rsidR="000E7B29" w:rsidRPr="00101DFF" w:rsidRDefault="000E7B29" w:rsidP="00A33C9F">
      <w:pPr>
        <w:pStyle w:val="Notedebasdepage"/>
        <w:rPr>
          <w:sz w:val="18"/>
          <w:szCs w:val="18"/>
          <w:lang w:val="en-GB"/>
        </w:rPr>
      </w:pPr>
      <w:r>
        <w:rPr>
          <w:rStyle w:val="Appelnotedebasdep"/>
        </w:rPr>
        <w:footnoteRef/>
      </w:r>
      <w:r w:rsidRPr="001B7918">
        <w:rPr>
          <w:lang w:val="en-US"/>
        </w:rPr>
        <w:t xml:space="preserve"> </w:t>
      </w:r>
      <w:r w:rsidRPr="00101DFF">
        <w:rPr>
          <w:sz w:val="18"/>
          <w:szCs w:val="18"/>
          <w:lang w:val="en-GB"/>
        </w:rPr>
        <w:t>While not discussed in SSG-4, the initiating event screening for an extended PSA could be done in light of PSA level 2 risk metrics, which might be appropriate for high impact events.</w:t>
      </w:r>
    </w:p>
  </w:footnote>
  <w:footnote w:id="8">
    <w:p w:rsidR="000E7B29" w:rsidRPr="001B7918" w:rsidRDefault="000E7B29">
      <w:pPr>
        <w:pStyle w:val="Notedebasdepage"/>
        <w:rPr>
          <w:lang w:val="en-US"/>
        </w:rPr>
      </w:pPr>
      <w:r>
        <w:rPr>
          <w:rStyle w:val="Appelnotedebasdep"/>
        </w:rPr>
        <w:footnoteRef/>
      </w:r>
      <w:r w:rsidRPr="001B7918">
        <w:rPr>
          <w:lang w:val="en-US"/>
        </w:rPr>
        <w:t xml:space="preserve"> </w:t>
      </w:r>
      <w:r w:rsidRPr="001B7918">
        <w:rPr>
          <w:sz w:val="18"/>
          <w:szCs w:val="18"/>
          <w:lang w:val="en-GB"/>
        </w:rPr>
        <w:t>Not explicitly mentioned in SSG-9 are other seismic phenomena directly affecting the site, like fault displacement, liquefaction, subsidence, etc., for which similar frequency and/or conditional probability curves should be generated.</w:t>
      </w:r>
    </w:p>
  </w:footnote>
  <w:footnote w:id="9">
    <w:p w:rsidR="000E7B29" w:rsidRPr="00CE09C2" w:rsidRDefault="000E7B29">
      <w:pPr>
        <w:pStyle w:val="Notedebasdepage"/>
        <w:rPr>
          <w:sz w:val="18"/>
          <w:szCs w:val="18"/>
          <w:lang w:val="en-GB"/>
        </w:rPr>
      </w:pPr>
      <w:r>
        <w:rPr>
          <w:rStyle w:val="Appelnotedebasdep"/>
        </w:rPr>
        <w:footnoteRef/>
      </w:r>
      <w:r w:rsidRPr="001B7918">
        <w:rPr>
          <w:lang w:val="en-US"/>
        </w:rPr>
        <w:t xml:space="preserve"> </w:t>
      </w:r>
      <w:r w:rsidRPr="00CE09C2">
        <w:rPr>
          <w:sz w:val="18"/>
          <w:szCs w:val="18"/>
          <w:lang w:val="en-GB"/>
        </w:rPr>
        <w:t xml:space="preserve">SSG-18 used the term </w:t>
      </w:r>
      <w:r>
        <w:rPr>
          <w:sz w:val="18"/>
          <w:szCs w:val="18"/>
          <w:lang w:val="en-GB"/>
        </w:rPr>
        <w:t xml:space="preserve">“return period”. Since one recommendation of the ASAMPSA_E project is to discourage the use of “return period” when referring to non-periodic events, the term “inverse frequency” is used instead, while frequency is understood to designate an “annual probability”. </w:t>
      </w:r>
    </w:p>
  </w:footnote>
  <w:footnote w:id="10">
    <w:p w:rsidR="000E7B29" w:rsidRPr="004B3DA1" w:rsidRDefault="000E7B29">
      <w:pPr>
        <w:pStyle w:val="Notedebasdepage"/>
        <w:rPr>
          <w:sz w:val="18"/>
          <w:szCs w:val="18"/>
          <w:lang w:val="en-GB"/>
        </w:rPr>
      </w:pPr>
      <w:r>
        <w:rPr>
          <w:rStyle w:val="Appelnotedebasdep"/>
        </w:rPr>
        <w:footnoteRef/>
      </w:r>
      <w:r w:rsidRPr="004B3DA1">
        <w:rPr>
          <w:sz w:val="18"/>
          <w:szCs w:val="18"/>
          <w:lang w:val="en-GB"/>
        </w:rPr>
        <w:t xml:space="preserve"> As pyroclastic flows, lava flows, debris impact and landslides, lahars, opening of vents, missiles, volcanogenic tsunamis and flooding, ground deformation, and groundwater anomalies are exclusion criteria during siting [27], p. 8f, and as areas affected by such activities are rather well known, NPP should be located outside of the zone of influence of such phenomena. They should, therefore, not be relevant for an extended PSA for an NPP.</w:t>
      </w:r>
    </w:p>
  </w:footnote>
  <w:footnote w:id="11">
    <w:p w:rsidR="000E7B29" w:rsidRPr="00B87F04" w:rsidRDefault="000E7B29" w:rsidP="00A33C9F">
      <w:pPr>
        <w:pStyle w:val="Notedebasdepage"/>
        <w:rPr>
          <w:sz w:val="18"/>
          <w:szCs w:val="18"/>
          <w:lang w:val="en-GB"/>
        </w:rPr>
      </w:pPr>
      <w:r w:rsidRPr="00B87F04">
        <w:rPr>
          <w:rStyle w:val="Appelnotedebasdep"/>
          <w:sz w:val="18"/>
          <w:szCs w:val="18"/>
          <w:lang w:val="en-GB"/>
        </w:rPr>
        <w:footnoteRef/>
      </w:r>
      <w:r w:rsidRPr="00B87F04">
        <w:rPr>
          <w:sz w:val="18"/>
          <w:szCs w:val="18"/>
          <w:lang w:val="en-GB"/>
        </w:rPr>
        <w:t xml:space="preserve"> </w:t>
      </w:r>
      <w:r>
        <w:rPr>
          <w:sz w:val="18"/>
          <w:szCs w:val="18"/>
          <w:lang w:val="en-GB"/>
        </w:rPr>
        <w:t>C</w:t>
      </w:r>
      <w:r w:rsidRPr="00B87F04">
        <w:rPr>
          <w:sz w:val="18"/>
          <w:szCs w:val="18"/>
          <w:lang w:val="en-GB"/>
        </w:rPr>
        <w:t>onservative (simplified) approaches to the modelling of the plant</w:t>
      </w:r>
      <w:r>
        <w:rPr>
          <w:sz w:val="18"/>
          <w:szCs w:val="18"/>
          <w:lang w:val="en-GB"/>
        </w:rPr>
        <w:t xml:space="preserve"> response have been used in PSA not only for initiating events but in the development of accident sequences as well. If the likelihood of a failure sequence is very small, it might be treated conservatively as e.g. “core damage” even if there would be further resources available to control the scenario.</w:t>
      </w:r>
    </w:p>
  </w:footnote>
  <w:footnote w:id="12">
    <w:p w:rsidR="000E7B29" w:rsidRPr="00CB7352" w:rsidRDefault="000E7B29" w:rsidP="00A33C9F">
      <w:pPr>
        <w:pStyle w:val="Notedebasdepage"/>
        <w:rPr>
          <w:sz w:val="18"/>
          <w:szCs w:val="18"/>
          <w:lang w:val="en-GB"/>
        </w:rPr>
      </w:pPr>
      <w:r>
        <w:rPr>
          <w:rStyle w:val="Appelnotedebasdep"/>
        </w:rPr>
        <w:footnoteRef/>
      </w:r>
      <w:r w:rsidRPr="001B7918">
        <w:rPr>
          <w:lang w:val="en-US"/>
        </w:rPr>
        <w:t xml:space="preserve"> </w:t>
      </w:r>
      <w:r w:rsidRPr="00CB7352">
        <w:rPr>
          <w:sz w:val="18"/>
          <w:szCs w:val="18"/>
          <w:lang w:val="en-GB"/>
        </w:rPr>
        <w:t xml:space="preserve">SSG-3 only mentions core damage frequency as risk metric. The screening should apply the risk metric(s) that have been selected for the purpose of the PSA. For a PSA level 2, this could relate </w:t>
      </w:r>
      <w:r>
        <w:rPr>
          <w:sz w:val="18"/>
          <w:szCs w:val="18"/>
          <w:lang w:val="en-GB"/>
        </w:rPr>
        <w:t xml:space="preserve">e.g. </w:t>
      </w:r>
      <w:r w:rsidRPr="00CB7352">
        <w:rPr>
          <w:sz w:val="18"/>
          <w:szCs w:val="18"/>
          <w:lang w:val="en-GB"/>
        </w:rPr>
        <w:t xml:space="preserve">to a total release risk metric, for a PSA level 3, </w:t>
      </w:r>
      <w:r>
        <w:rPr>
          <w:sz w:val="18"/>
          <w:szCs w:val="18"/>
          <w:lang w:val="en-GB"/>
        </w:rPr>
        <w:t>it could relate e.g.</w:t>
      </w:r>
      <w:r w:rsidRPr="00CB7352">
        <w:rPr>
          <w:sz w:val="18"/>
          <w:szCs w:val="18"/>
          <w:lang w:val="en-GB"/>
        </w:rPr>
        <w:t xml:space="preserve"> to the long-term loss of land due to contamination.</w:t>
      </w:r>
    </w:p>
  </w:footnote>
  <w:footnote w:id="13">
    <w:p w:rsidR="000E7B29" w:rsidRPr="004B4DA1" w:rsidRDefault="000E7B29" w:rsidP="00A33C9F">
      <w:pPr>
        <w:pStyle w:val="Notedebasdepage"/>
        <w:rPr>
          <w:sz w:val="18"/>
          <w:szCs w:val="18"/>
          <w:lang w:val="en-GB"/>
        </w:rPr>
      </w:pPr>
      <w:r>
        <w:rPr>
          <w:rStyle w:val="Appelnotedebasdep"/>
        </w:rPr>
        <w:footnoteRef/>
      </w:r>
      <w:r w:rsidRPr="001B7918">
        <w:rPr>
          <w:lang w:val="en-US"/>
        </w:rPr>
        <w:t xml:space="preserve"> </w:t>
      </w:r>
      <w:r w:rsidRPr="004B4DA1">
        <w:rPr>
          <w:sz w:val="18"/>
          <w:szCs w:val="18"/>
          <w:lang w:val="en-GB"/>
        </w:rPr>
        <w:t xml:space="preserve">While this statement in SSG-3 is only made with reference to external hazards, it is implied in the internal hazards section and should be </w:t>
      </w:r>
      <w:r>
        <w:rPr>
          <w:sz w:val="18"/>
          <w:szCs w:val="18"/>
          <w:lang w:val="en-GB"/>
        </w:rPr>
        <w:t>applied</w:t>
      </w:r>
      <w:r w:rsidRPr="004B4DA1">
        <w:rPr>
          <w:sz w:val="18"/>
          <w:szCs w:val="18"/>
          <w:lang w:val="en-GB"/>
        </w:rPr>
        <w:t xml:space="preserve"> for internal events.</w:t>
      </w:r>
    </w:p>
  </w:footnote>
  <w:footnote w:id="14">
    <w:p w:rsidR="000E7B29" w:rsidRPr="004B3DA1" w:rsidRDefault="000E7B29">
      <w:pPr>
        <w:pStyle w:val="Notedebasdepage"/>
        <w:rPr>
          <w:sz w:val="18"/>
          <w:szCs w:val="18"/>
          <w:lang w:val="en-GB"/>
        </w:rPr>
      </w:pPr>
      <w:r>
        <w:rPr>
          <w:rStyle w:val="Appelnotedebasdep"/>
        </w:rPr>
        <w:footnoteRef/>
      </w:r>
      <w:r w:rsidRPr="004B3DA1">
        <w:rPr>
          <w:sz w:val="18"/>
          <w:szCs w:val="18"/>
          <w:lang w:val="en-GB"/>
        </w:rPr>
        <w:t xml:space="preserve"> The ENSI-A05 </w:t>
      </w:r>
      <w:r w:rsidRPr="004B3DA1">
        <w:rPr>
          <w:sz w:val="18"/>
          <w:szCs w:val="18"/>
          <w:lang w:val="en-GB"/>
        </w:rPr>
        <w:fldChar w:fldCharType="begin"/>
      </w:r>
      <w:r w:rsidRPr="004B3DA1">
        <w:rPr>
          <w:sz w:val="18"/>
          <w:szCs w:val="18"/>
          <w:lang w:val="en-GB"/>
        </w:rPr>
        <w:instrText xml:space="preserve"> REF _Ref406515529 \w \h </w:instrText>
      </w:r>
      <w:r>
        <w:rPr>
          <w:sz w:val="18"/>
          <w:szCs w:val="18"/>
          <w:lang w:val="en-GB"/>
        </w:rPr>
        <w:instrText xml:space="preserve"> \* MERGEFORMAT </w:instrText>
      </w:r>
      <w:r w:rsidRPr="004B3DA1">
        <w:rPr>
          <w:sz w:val="18"/>
          <w:szCs w:val="18"/>
          <w:lang w:val="en-GB"/>
        </w:rPr>
      </w:r>
      <w:r w:rsidRPr="004B3DA1">
        <w:rPr>
          <w:sz w:val="18"/>
          <w:szCs w:val="18"/>
          <w:lang w:val="en-GB"/>
        </w:rPr>
        <w:fldChar w:fldCharType="separate"/>
      </w:r>
      <w:r w:rsidRPr="004B3DA1">
        <w:rPr>
          <w:sz w:val="18"/>
          <w:szCs w:val="18"/>
          <w:lang w:val="en-GB"/>
        </w:rPr>
        <w:t>[40]</w:t>
      </w:r>
      <w:r w:rsidRPr="004B3DA1">
        <w:rPr>
          <w:sz w:val="18"/>
          <w:szCs w:val="18"/>
          <w:lang w:val="en-GB"/>
        </w:rPr>
        <w:fldChar w:fldCharType="end"/>
      </w:r>
      <w:r w:rsidRPr="004B3DA1">
        <w:rPr>
          <w:sz w:val="18"/>
          <w:szCs w:val="18"/>
          <w:lang w:val="en-GB"/>
        </w:rPr>
        <w:t xml:space="preserve"> differs from the ASAMPSA_E recommendation in D30.5 </w:t>
      </w:r>
      <w:r w:rsidRPr="004B3DA1">
        <w:rPr>
          <w:sz w:val="18"/>
          <w:szCs w:val="18"/>
          <w:lang w:val="en-GB"/>
        </w:rPr>
        <w:fldChar w:fldCharType="begin"/>
      </w:r>
      <w:r w:rsidRPr="004B3DA1">
        <w:rPr>
          <w:sz w:val="18"/>
          <w:szCs w:val="18"/>
          <w:lang w:val="en-GB"/>
        </w:rPr>
        <w:instrText xml:space="preserve"> REF _Ref423092269 \w \h </w:instrText>
      </w:r>
      <w:r>
        <w:rPr>
          <w:sz w:val="18"/>
          <w:szCs w:val="18"/>
          <w:lang w:val="en-GB"/>
        </w:rPr>
        <w:instrText xml:space="preserve"> \* MERGEFORMAT </w:instrText>
      </w:r>
      <w:r w:rsidRPr="004B3DA1">
        <w:rPr>
          <w:sz w:val="18"/>
          <w:szCs w:val="18"/>
          <w:lang w:val="en-GB"/>
        </w:rPr>
      </w:r>
      <w:r w:rsidRPr="004B3DA1">
        <w:rPr>
          <w:sz w:val="18"/>
          <w:szCs w:val="18"/>
          <w:lang w:val="en-GB"/>
        </w:rPr>
        <w:fldChar w:fldCharType="separate"/>
      </w:r>
      <w:r w:rsidRPr="004B3DA1">
        <w:rPr>
          <w:sz w:val="18"/>
          <w:szCs w:val="18"/>
          <w:lang w:val="en-GB"/>
        </w:rPr>
        <w:t>[87]</w:t>
      </w:r>
      <w:r w:rsidRPr="004B3DA1">
        <w:rPr>
          <w:sz w:val="18"/>
          <w:szCs w:val="18"/>
          <w:lang w:val="en-GB"/>
        </w:rPr>
        <w:fldChar w:fldCharType="end"/>
      </w:r>
      <w:r w:rsidRPr="004B3DA1">
        <w:rPr>
          <w:sz w:val="18"/>
          <w:szCs w:val="18"/>
          <w:lang w:val="en-GB"/>
        </w:rPr>
        <w:t>. CDF relates to fuel damage in the core during full power operation while FDF relates to fuel damage during non-full power operation for fuel in the core or the SFP.</w:t>
      </w:r>
    </w:p>
  </w:footnote>
  <w:footnote w:id="15">
    <w:p w:rsidR="000E7B29" w:rsidRPr="004B3DA1" w:rsidRDefault="000E7B29" w:rsidP="00DE0075">
      <w:pPr>
        <w:pStyle w:val="Notedebasdepage"/>
        <w:rPr>
          <w:sz w:val="18"/>
          <w:szCs w:val="18"/>
          <w:lang w:val="en-GB"/>
        </w:rPr>
      </w:pPr>
      <w:r>
        <w:rPr>
          <w:rStyle w:val="Appelnotedebasdep"/>
        </w:rPr>
        <w:footnoteRef/>
      </w:r>
      <w:r w:rsidRPr="004B3DA1">
        <w:rPr>
          <w:sz w:val="18"/>
          <w:szCs w:val="18"/>
          <w:lang w:val="en-GB"/>
        </w:rPr>
        <w:t xml:space="preserve"> Conceptually, the check is then against peak FDF(t), LRF(t), and ERF(t). However, an explicit calculation of time-dependent risk measures is not recommended, since this needs to rely on detailed models. For additional discussion on time-dependent risk measures, see D30.5.</w:t>
      </w:r>
    </w:p>
  </w:footnote>
  <w:footnote w:id="16">
    <w:p w:rsidR="000E7B29" w:rsidRPr="001B7918" w:rsidRDefault="000E7B29" w:rsidP="0070142A">
      <w:pPr>
        <w:pStyle w:val="Notedebasdepage"/>
        <w:rPr>
          <w:lang w:val="en-US"/>
        </w:rPr>
      </w:pPr>
      <w:r>
        <w:rPr>
          <w:rStyle w:val="Appelnotedebasdep"/>
        </w:rPr>
        <w:footnoteRef/>
      </w:r>
      <w:r w:rsidRPr="001B7918">
        <w:rPr>
          <w:lang w:val="en-US"/>
        </w:rPr>
        <w:t xml:space="preserve"> See [D21.3] for a more comprehensive list.</w:t>
      </w:r>
    </w:p>
  </w:footnote>
  <w:footnote w:id="17">
    <w:p w:rsidR="000E7B29" w:rsidRPr="004B3DA1" w:rsidRDefault="000E7B29">
      <w:pPr>
        <w:pStyle w:val="Notedebasdepage"/>
        <w:rPr>
          <w:sz w:val="18"/>
          <w:szCs w:val="18"/>
          <w:lang w:val="en-GB"/>
        </w:rPr>
      </w:pPr>
      <w:r w:rsidRPr="005079A3">
        <w:rPr>
          <w:rStyle w:val="Appelnotedebasdep"/>
          <w:rFonts w:ascii="Trebuchet MS" w:hAnsi="Trebuchet MS"/>
          <w:sz w:val="18"/>
          <w:szCs w:val="18"/>
        </w:rPr>
        <w:footnoteRef/>
      </w:r>
      <w:r w:rsidRPr="004B3DA1">
        <w:rPr>
          <w:sz w:val="18"/>
          <w:szCs w:val="18"/>
          <w:lang w:val="en-GB"/>
        </w:rPr>
        <w:t xml:space="preserve"> It is noted that this impact magnitude might have been defined as maximum credible impact based on practical </w:t>
      </w:r>
      <w:r w:rsidRPr="005079A3">
        <w:rPr>
          <w:rFonts w:ascii="Trebuchet MS" w:eastAsiaTheme="minorHAnsi" w:hAnsi="Trebuchet MS"/>
          <w:sz w:val="18"/>
          <w:szCs w:val="18"/>
          <w:lang w:val="en-GB" w:eastAsia="en-US"/>
        </w:rPr>
        <w:t xml:space="preserve">elimination </w:t>
      </w:r>
      <w:r w:rsidRPr="004B3DA1">
        <w:rPr>
          <w:sz w:val="18"/>
          <w:szCs w:val="18"/>
          <w:lang w:val="en-GB"/>
        </w:rPr>
        <w:t>reasoning in deterministic safety analysis.</w:t>
      </w:r>
    </w:p>
  </w:footnote>
  <w:footnote w:id="18">
    <w:p w:rsidR="000E7B29" w:rsidRPr="004B3DA1" w:rsidRDefault="000E7B29">
      <w:pPr>
        <w:pStyle w:val="Notedebasdepage"/>
        <w:rPr>
          <w:sz w:val="18"/>
          <w:szCs w:val="18"/>
          <w:lang w:val="en-GB"/>
        </w:rPr>
      </w:pPr>
      <w:r w:rsidRPr="005079A3">
        <w:rPr>
          <w:rStyle w:val="Appelnotedebasdep"/>
          <w:rFonts w:ascii="Trebuchet MS" w:hAnsi="Trebuchet MS"/>
          <w:sz w:val="18"/>
          <w:szCs w:val="18"/>
        </w:rPr>
        <w:footnoteRef/>
      </w:r>
      <w:r w:rsidRPr="004B3DA1">
        <w:rPr>
          <w:sz w:val="18"/>
          <w:szCs w:val="18"/>
          <w:lang w:val="en-GB"/>
        </w:rPr>
        <w:t xml:space="preserve"> This situation might arise if external hazard initiators or conditional probabilities are already considered in the (internal events) PSA model, e.g. via initiating event fault trees.</w:t>
      </w:r>
    </w:p>
  </w:footnote>
  <w:footnote w:id="19">
    <w:p w:rsidR="000E7B29" w:rsidRPr="00E62976" w:rsidRDefault="000E7B29" w:rsidP="005A747B">
      <w:pPr>
        <w:pStyle w:val="Notedebasdepage"/>
        <w:rPr>
          <w:rFonts w:ascii="Trebuchet MS" w:hAnsi="Trebuchet MS"/>
          <w:sz w:val="18"/>
          <w:szCs w:val="18"/>
          <w:lang w:val="en-GB"/>
        </w:rPr>
      </w:pPr>
      <w:r w:rsidRPr="00E62976">
        <w:rPr>
          <w:rStyle w:val="Appelnotedebasdep"/>
          <w:rFonts w:ascii="Trebuchet MS" w:hAnsi="Trebuchet MS"/>
        </w:rPr>
        <w:footnoteRef/>
      </w:r>
      <w:r w:rsidRPr="00E62976">
        <w:rPr>
          <w:rFonts w:ascii="Trebuchet MS" w:hAnsi="Trebuchet MS"/>
          <w:sz w:val="18"/>
          <w:szCs w:val="18"/>
          <w:lang w:val="en-GB"/>
        </w:rPr>
        <w:t xml:space="preserve"> It should be noted that simplified probabilistic assessment approaches are already covered under bounding assessment as described in section </w:t>
      </w:r>
      <w:r w:rsidRPr="00E62976">
        <w:rPr>
          <w:rFonts w:ascii="Trebuchet MS" w:hAnsi="Trebuchet MS"/>
          <w:sz w:val="18"/>
          <w:szCs w:val="18"/>
          <w:lang w:val="en-GB"/>
        </w:rPr>
        <w:fldChar w:fldCharType="begin"/>
      </w:r>
      <w:r w:rsidRPr="00E62976">
        <w:rPr>
          <w:rFonts w:ascii="Trebuchet MS" w:hAnsi="Trebuchet MS"/>
          <w:sz w:val="18"/>
          <w:szCs w:val="18"/>
          <w:lang w:val="en-GB"/>
        </w:rPr>
        <w:instrText xml:space="preserve"> REF _Ref445134178 \r \h  \* MERGEFORMAT </w:instrText>
      </w:r>
      <w:r w:rsidRPr="00E62976">
        <w:rPr>
          <w:rFonts w:ascii="Trebuchet MS" w:hAnsi="Trebuchet MS"/>
          <w:sz w:val="18"/>
          <w:szCs w:val="18"/>
          <w:lang w:val="en-GB"/>
        </w:rPr>
      </w:r>
      <w:r w:rsidRPr="00E62976">
        <w:rPr>
          <w:rFonts w:ascii="Trebuchet MS" w:hAnsi="Trebuchet MS"/>
          <w:sz w:val="18"/>
          <w:szCs w:val="18"/>
          <w:lang w:val="en-GB"/>
        </w:rPr>
        <w:fldChar w:fldCharType="separate"/>
      </w:r>
      <w:r w:rsidRPr="00E62976">
        <w:rPr>
          <w:rFonts w:ascii="Trebuchet MS" w:hAnsi="Trebuchet MS"/>
          <w:sz w:val="18"/>
          <w:szCs w:val="18"/>
          <w:lang w:val="en-GB"/>
        </w:rPr>
        <w:t>6.3</w:t>
      </w:r>
      <w:r w:rsidRPr="00E62976">
        <w:rPr>
          <w:rFonts w:ascii="Trebuchet MS" w:hAnsi="Trebuchet MS"/>
          <w:sz w:val="18"/>
          <w:szCs w:val="18"/>
          <w:lang w:val="en-GB"/>
        </w:rPr>
        <w:fldChar w:fldCharType="end"/>
      </w:r>
      <w:r w:rsidRPr="00E62976">
        <w:rPr>
          <w:rFonts w:ascii="Trebuchet MS" w:hAnsi="Trebuchet MS"/>
          <w:sz w:val="18"/>
          <w:szCs w:val="18"/>
          <w:lang w:val="en-GB"/>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5"/>
      <w:gridCol w:w="3165"/>
      <w:gridCol w:w="3165"/>
    </w:tblGrid>
    <w:tr w:rsidR="000E7B29" w:rsidRPr="00B2386E" w:rsidTr="00B2386E">
      <w:trPr>
        <w:trHeight w:val="1073"/>
      </w:trPr>
      <w:tc>
        <w:tcPr>
          <w:tcW w:w="3165" w:type="dxa"/>
          <w:shd w:val="clear" w:color="auto" w:fill="auto"/>
        </w:tcPr>
        <w:p w:rsidR="000E7B29" w:rsidRDefault="000E7B29" w:rsidP="00B2386E">
          <w:pPr>
            <w:tabs>
              <w:tab w:val="center" w:pos="4536"/>
              <w:tab w:val="right" w:pos="9072"/>
            </w:tabs>
            <w:rPr>
              <w:noProof/>
            </w:rPr>
          </w:pPr>
          <w:r>
            <w:rPr>
              <w:noProof/>
            </w:rPr>
            <w:drawing>
              <wp:anchor distT="0" distB="0" distL="114300" distR="114300" simplePos="0" relativeHeight="251646976" behindDoc="0" locked="0" layoutInCell="1" allowOverlap="1" wp14:anchorId="748DA115" wp14:editId="78698DEC">
                <wp:simplePos x="0" y="0"/>
                <wp:positionH relativeFrom="column">
                  <wp:posOffset>420370</wp:posOffset>
                </wp:positionH>
                <wp:positionV relativeFrom="paragraph">
                  <wp:posOffset>35560</wp:posOffset>
                </wp:positionV>
                <wp:extent cx="974090" cy="695325"/>
                <wp:effectExtent l="0" t="0" r="0" b="9525"/>
                <wp:wrapNone/>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4090" cy="695325"/>
                        </a:xfrm>
                        <a:prstGeom prst="rect">
                          <a:avLst/>
                        </a:prstGeom>
                        <a:noFill/>
                        <a:ln>
                          <a:noFill/>
                        </a:ln>
                      </pic:spPr>
                    </pic:pic>
                  </a:graphicData>
                </a:graphic>
              </wp:anchor>
            </w:drawing>
          </w:r>
        </w:p>
      </w:tc>
      <w:tc>
        <w:tcPr>
          <w:tcW w:w="3165" w:type="dxa"/>
          <w:shd w:val="clear" w:color="auto" w:fill="auto"/>
          <w:vAlign w:val="center"/>
        </w:tcPr>
        <w:p w:rsidR="000E7B29" w:rsidRPr="00B2386E" w:rsidRDefault="000E7B29" w:rsidP="00B2386E">
          <w:pPr>
            <w:tabs>
              <w:tab w:val="center" w:pos="4536"/>
              <w:tab w:val="right" w:pos="9072"/>
            </w:tabs>
            <w:jc w:val="center"/>
            <w:rPr>
              <w:noProof/>
              <w:lang w:val="en-GB"/>
            </w:rPr>
          </w:pPr>
          <w:r w:rsidRPr="00B2386E">
            <w:rPr>
              <w:b/>
              <w:bCs/>
              <w:color w:val="000000"/>
              <w:szCs w:val="18"/>
              <w:lang w:val="en-GB"/>
            </w:rPr>
            <w:t>Advanced Safety Assessment Methodologies: extended PSA</w:t>
          </w:r>
        </w:p>
      </w:tc>
      <w:tc>
        <w:tcPr>
          <w:tcW w:w="3165" w:type="dxa"/>
          <w:shd w:val="clear" w:color="auto" w:fill="auto"/>
        </w:tcPr>
        <w:p w:rsidR="000E7B29" w:rsidRPr="00B2386E" w:rsidRDefault="000E7B29" w:rsidP="00B2386E">
          <w:pPr>
            <w:tabs>
              <w:tab w:val="center" w:pos="4536"/>
              <w:tab w:val="right" w:pos="9072"/>
            </w:tabs>
            <w:jc w:val="right"/>
            <w:rPr>
              <w:noProof/>
              <w:lang w:val="en-GB"/>
            </w:rPr>
          </w:pPr>
          <w:r>
            <w:rPr>
              <w:noProof/>
            </w:rPr>
            <w:drawing>
              <wp:inline distT="0" distB="0" distL="0" distR="0" wp14:anchorId="04769B23" wp14:editId="552A3FB1">
                <wp:extent cx="1550670" cy="795020"/>
                <wp:effectExtent l="0" t="0" r="0" b="508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0670" cy="795020"/>
                        </a:xfrm>
                        <a:prstGeom prst="rect">
                          <a:avLst/>
                        </a:prstGeom>
                        <a:noFill/>
                        <a:ln>
                          <a:noFill/>
                        </a:ln>
                      </pic:spPr>
                    </pic:pic>
                  </a:graphicData>
                </a:graphic>
              </wp:inline>
            </w:drawing>
          </w:r>
        </w:p>
      </w:tc>
    </w:tr>
  </w:tbl>
  <w:p w:rsidR="000E7B29" w:rsidRPr="00E33133" w:rsidRDefault="000E7B29">
    <w:pPr>
      <w:rPr>
        <w:noProof/>
        <w:lang w:val="en-G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B29" w:rsidRDefault="000E7B29">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3165"/>
      <w:gridCol w:w="3165"/>
      <w:gridCol w:w="3165"/>
    </w:tblGrid>
    <w:tr w:rsidR="000E7B29" w:rsidRPr="00B2386E" w:rsidTr="00B2386E">
      <w:trPr>
        <w:trHeight w:val="1073"/>
      </w:trPr>
      <w:tc>
        <w:tcPr>
          <w:tcW w:w="3165" w:type="dxa"/>
          <w:shd w:val="clear" w:color="auto" w:fill="auto"/>
        </w:tcPr>
        <w:p w:rsidR="000E7B29" w:rsidRDefault="000E7B29" w:rsidP="00B2386E">
          <w:pPr>
            <w:tabs>
              <w:tab w:val="center" w:pos="4536"/>
              <w:tab w:val="right" w:pos="9072"/>
            </w:tabs>
            <w:rPr>
              <w:noProof/>
            </w:rPr>
          </w:pPr>
          <w:r>
            <w:rPr>
              <w:noProof/>
            </w:rPr>
            <w:drawing>
              <wp:anchor distT="0" distB="0" distL="114300" distR="114300" simplePos="0" relativeHeight="251648000" behindDoc="0" locked="0" layoutInCell="1" allowOverlap="1" wp14:anchorId="6D043AE4" wp14:editId="56543743">
                <wp:simplePos x="0" y="0"/>
                <wp:positionH relativeFrom="column">
                  <wp:posOffset>429895</wp:posOffset>
                </wp:positionH>
                <wp:positionV relativeFrom="paragraph">
                  <wp:posOffset>60960</wp:posOffset>
                </wp:positionV>
                <wp:extent cx="974090" cy="695325"/>
                <wp:effectExtent l="0" t="0" r="0" b="9525"/>
                <wp:wrapNone/>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4090" cy="695325"/>
                        </a:xfrm>
                        <a:prstGeom prst="rect">
                          <a:avLst/>
                        </a:prstGeom>
                        <a:noFill/>
                        <a:ln>
                          <a:noFill/>
                        </a:ln>
                      </pic:spPr>
                    </pic:pic>
                  </a:graphicData>
                </a:graphic>
              </wp:anchor>
            </w:drawing>
          </w:r>
        </w:p>
      </w:tc>
      <w:tc>
        <w:tcPr>
          <w:tcW w:w="3165" w:type="dxa"/>
          <w:shd w:val="clear" w:color="auto" w:fill="auto"/>
          <w:vAlign w:val="center"/>
        </w:tcPr>
        <w:p w:rsidR="000E7B29" w:rsidRPr="00B2386E" w:rsidRDefault="000E7B29" w:rsidP="00B2386E">
          <w:pPr>
            <w:tabs>
              <w:tab w:val="center" w:pos="4536"/>
              <w:tab w:val="right" w:pos="9072"/>
            </w:tabs>
            <w:jc w:val="center"/>
            <w:rPr>
              <w:noProof/>
              <w:szCs w:val="18"/>
              <w:lang w:val="en-GB"/>
            </w:rPr>
          </w:pPr>
          <w:r w:rsidRPr="00B2386E">
            <w:rPr>
              <w:b/>
              <w:bCs/>
              <w:color w:val="000000"/>
              <w:szCs w:val="18"/>
              <w:lang w:val="en-GB"/>
            </w:rPr>
            <w:t>Advanced Safety Assessment Methodologies: extended PSA</w:t>
          </w:r>
        </w:p>
      </w:tc>
      <w:tc>
        <w:tcPr>
          <w:tcW w:w="3165" w:type="dxa"/>
          <w:shd w:val="clear" w:color="auto" w:fill="auto"/>
        </w:tcPr>
        <w:p w:rsidR="000E7B29" w:rsidRPr="00B2386E" w:rsidRDefault="000E7B29" w:rsidP="00B2386E">
          <w:pPr>
            <w:tabs>
              <w:tab w:val="center" w:pos="4536"/>
              <w:tab w:val="right" w:pos="9072"/>
            </w:tabs>
            <w:jc w:val="right"/>
            <w:rPr>
              <w:noProof/>
              <w:lang w:val="en-GB"/>
            </w:rPr>
          </w:pPr>
          <w:r>
            <w:rPr>
              <w:noProof/>
            </w:rPr>
            <w:drawing>
              <wp:inline distT="0" distB="0" distL="0" distR="0" wp14:anchorId="77D8D7AF" wp14:editId="54D74650">
                <wp:extent cx="1550670" cy="795020"/>
                <wp:effectExtent l="0" t="0" r="0" b="5080"/>
                <wp:docPr id="10"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0670" cy="795020"/>
                        </a:xfrm>
                        <a:prstGeom prst="rect">
                          <a:avLst/>
                        </a:prstGeom>
                        <a:noFill/>
                        <a:ln>
                          <a:noFill/>
                        </a:ln>
                      </pic:spPr>
                    </pic:pic>
                  </a:graphicData>
                </a:graphic>
              </wp:inline>
            </w:drawing>
          </w:r>
        </w:p>
      </w:tc>
    </w:tr>
  </w:tbl>
  <w:p w:rsidR="000E7B29" w:rsidRPr="00E33133" w:rsidRDefault="000E7B29">
    <w:pPr>
      <w:rPr>
        <w:noProof/>
        <w:lang w:val="en-GB"/>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B29" w:rsidRDefault="000E7B29">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B29" w:rsidRDefault="000E7B29"/>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26" w:type="dxa"/>
      <w:tblBorders>
        <w:bottom w:val="single" w:sz="4" w:space="0" w:color="auto"/>
      </w:tblBorders>
      <w:tblLayout w:type="fixed"/>
      <w:tblCellMar>
        <w:left w:w="70" w:type="dxa"/>
        <w:right w:w="70" w:type="dxa"/>
      </w:tblCellMar>
      <w:tblLook w:val="0000" w:firstRow="0" w:lastRow="0" w:firstColumn="0" w:lastColumn="0" w:noHBand="0" w:noVBand="0"/>
    </w:tblPr>
    <w:tblGrid>
      <w:gridCol w:w="1204"/>
      <w:gridCol w:w="7088"/>
      <w:gridCol w:w="1134"/>
    </w:tblGrid>
    <w:tr w:rsidR="000E7B29" w:rsidRPr="00E57E9B" w:rsidTr="007F4C5D">
      <w:trPr>
        <w:trHeight w:val="723"/>
      </w:trPr>
      <w:tc>
        <w:tcPr>
          <w:tcW w:w="1204" w:type="dxa"/>
        </w:tcPr>
        <w:p w:rsidR="000E7B29" w:rsidRDefault="000E7B29">
          <w:pPr>
            <w:rPr>
              <w:noProof/>
              <w:sz w:val="16"/>
              <w:lang w:eastAsia="ja-JP"/>
            </w:rPr>
          </w:pPr>
          <w:r>
            <w:rPr>
              <w:noProof/>
              <w:sz w:val="16"/>
            </w:rPr>
            <w:drawing>
              <wp:anchor distT="0" distB="0" distL="114300" distR="114300" simplePos="0" relativeHeight="251650048" behindDoc="0" locked="0" layoutInCell="1" allowOverlap="1" wp14:anchorId="39B0A674" wp14:editId="48EE9345">
                <wp:simplePos x="0" y="0"/>
                <wp:positionH relativeFrom="column">
                  <wp:posOffset>5715</wp:posOffset>
                </wp:positionH>
                <wp:positionV relativeFrom="paragraph">
                  <wp:posOffset>38735</wp:posOffset>
                </wp:positionV>
                <wp:extent cx="574040" cy="409575"/>
                <wp:effectExtent l="0" t="0" r="0" b="9525"/>
                <wp:wrapNone/>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040" cy="409575"/>
                        </a:xfrm>
                        <a:prstGeom prst="rect">
                          <a:avLst/>
                        </a:prstGeom>
                        <a:noFill/>
                        <a:ln>
                          <a:noFill/>
                        </a:ln>
                      </pic:spPr>
                    </pic:pic>
                  </a:graphicData>
                </a:graphic>
              </wp:anchor>
            </w:drawing>
          </w:r>
        </w:p>
      </w:tc>
      <w:tc>
        <w:tcPr>
          <w:tcW w:w="7088" w:type="dxa"/>
          <w:vAlign w:val="center"/>
        </w:tcPr>
        <w:p w:rsidR="000E7B29" w:rsidRPr="008B67BA" w:rsidRDefault="000E7B29" w:rsidP="002F0B87">
          <w:pPr>
            <w:rPr>
              <w:noProof/>
              <w:sz w:val="16"/>
              <w:lang w:val="en-GB"/>
            </w:rPr>
          </w:pPr>
          <w:r>
            <w:tab/>
          </w:r>
          <w:r>
            <w:rPr>
              <w:i/>
              <w:lang w:val="en-GB"/>
            </w:rPr>
            <w:t>D30.</w:t>
          </w:r>
          <w:r w:rsidR="007325F1">
            <w:rPr>
              <w:i/>
              <w:lang w:val="en-GB"/>
            </w:rPr>
            <w:t>7 vol 2</w:t>
          </w:r>
          <w:r>
            <w:rPr>
              <w:i/>
              <w:lang w:val="en-GB"/>
            </w:rPr>
            <w:t xml:space="preserve"> Selecting Initiating Events for an Extended PSA</w:t>
          </w:r>
        </w:p>
      </w:tc>
      <w:tc>
        <w:tcPr>
          <w:tcW w:w="1134" w:type="dxa"/>
        </w:tcPr>
        <w:p w:rsidR="000E7B29" w:rsidRPr="001B7918" w:rsidRDefault="000E7B29">
          <w:pPr>
            <w:rPr>
              <w:noProof/>
              <w:sz w:val="16"/>
              <w:lang w:val="en-US"/>
            </w:rPr>
          </w:pPr>
          <w:r>
            <w:rPr>
              <w:noProof/>
            </w:rPr>
            <w:drawing>
              <wp:inline distT="0" distB="0" distL="0" distR="0" wp14:anchorId="24A86EC7" wp14:editId="6CAE84E8">
                <wp:extent cx="871020" cy="446567"/>
                <wp:effectExtent l="0" t="0" r="5715" b="0"/>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0076" cy="446083"/>
                        </a:xfrm>
                        <a:prstGeom prst="rect">
                          <a:avLst/>
                        </a:prstGeom>
                        <a:noFill/>
                        <a:ln>
                          <a:noFill/>
                        </a:ln>
                      </pic:spPr>
                    </pic:pic>
                  </a:graphicData>
                </a:graphic>
              </wp:inline>
            </w:drawing>
          </w:r>
        </w:p>
      </w:tc>
    </w:tr>
  </w:tbl>
  <w:p w:rsidR="000E7B29" w:rsidRPr="001B7918" w:rsidRDefault="000E7B29" w:rsidP="00080288">
    <w:pPr>
      <w:rPr>
        <w:lang w:val="en-US"/>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B29" w:rsidRDefault="000E7B29">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16EBD"/>
    <w:multiLevelType w:val="hybridMultilevel"/>
    <w:tmpl w:val="6FE0602E"/>
    <w:lvl w:ilvl="0" w:tplc="C7DE14B8">
      <w:start w:val="1"/>
      <w:numFmt w:val="decimal"/>
      <w:pStyle w:val="Reference"/>
      <w:suff w:val="space"/>
      <w:lvlText w:val="[%1]"/>
      <w:lvlJc w:val="left"/>
      <w:pPr>
        <w:ind w:left="432" w:hanging="432"/>
      </w:pPr>
      <w:rPr>
        <w:rFonts w:cs="Times New Roman" w:hint="default"/>
      </w:rPr>
    </w:lvl>
    <w:lvl w:ilvl="1" w:tplc="3D58B85E" w:tentative="1">
      <w:start w:val="1"/>
      <w:numFmt w:val="lowerLetter"/>
      <w:lvlText w:val="%2."/>
      <w:lvlJc w:val="left"/>
      <w:pPr>
        <w:tabs>
          <w:tab w:val="num" w:pos="1008"/>
        </w:tabs>
        <w:ind w:left="1008" w:hanging="360"/>
      </w:pPr>
      <w:rPr>
        <w:rFonts w:cs="Times New Roman"/>
      </w:rPr>
    </w:lvl>
    <w:lvl w:ilvl="2" w:tplc="A246F09C" w:tentative="1">
      <w:start w:val="1"/>
      <w:numFmt w:val="lowerRoman"/>
      <w:lvlText w:val="%3."/>
      <w:lvlJc w:val="right"/>
      <w:pPr>
        <w:tabs>
          <w:tab w:val="num" w:pos="1728"/>
        </w:tabs>
        <w:ind w:left="1728" w:hanging="180"/>
      </w:pPr>
      <w:rPr>
        <w:rFonts w:cs="Times New Roman"/>
      </w:rPr>
    </w:lvl>
    <w:lvl w:ilvl="3" w:tplc="41CA4A30" w:tentative="1">
      <w:start w:val="1"/>
      <w:numFmt w:val="decimal"/>
      <w:lvlText w:val="%4."/>
      <w:lvlJc w:val="left"/>
      <w:pPr>
        <w:tabs>
          <w:tab w:val="num" w:pos="2448"/>
        </w:tabs>
        <w:ind w:left="2448" w:hanging="360"/>
      </w:pPr>
      <w:rPr>
        <w:rFonts w:cs="Times New Roman"/>
      </w:rPr>
    </w:lvl>
    <w:lvl w:ilvl="4" w:tplc="942A775E" w:tentative="1">
      <w:start w:val="1"/>
      <w:numFmt w:val="lowerLetter"/>
      <w:lvlText w:val="%5."/>
      <w:lvlJc w:val="left"/>
      <w:pPr>
        <w:tabs>
          <w:tab w:val="num" w:pos="3168"/>
        </w:tabs>
        <w:ind w:left="3168" w:hanging="360"/>
      </w:pPr>
      <w:rPr>
        <w:rFonts w:cs="Times New Roman"/>
      </w:rPr>
    </w:lvl>
    <w:lvl w:ilvl="5" w:tplc="CCB84150" w:tentative="1">
      <w:start w:val="1"/>
      <w:numFmt w:val="lowerRoman"/>
      <w:lvlText w:val="%6."/>
      <w:lvlJc w:val="right"/>
      <w:pPr>
        <w:tabs>
          <w:tab w:val="num" w:pos="3888"/>
        </w:tabs>
        <w:ind w:left="3888" w:hanging="180"/>
      </w:pPr>
      <w:rPr>
        <w:rFonts w:cs="Times New Roman"/>
      </w:rPr>
    </w:lvl>
    <w:lvl w:ilvl="6" w:tplc="121C26F4" w:tentative="1">
      <w:start w:val="1"/>
      <w:numFmt w:val="decimal"/>
      <w:lvlText w:val="%7."/>
      <w:lvlJc w:val="left"/>
      <w:pPr>
        <w:tabs>
          <w:tab w:val="num" w:pos="4608"/>
        </w:tabs>
        <w:ind w:left="4608" w:hanging="360"/>
      </w:pPr>
      <w:rPr>
        <w:rFonts w:cs="Times New Roman"/>
      </w:rPr>
    </w:lvl>
    <w:lvl w:ilvl="7" w:tplc="DBCCC0EA" w:tentative="1">
      <w:start w:val="1"/>
      <w:numFmt w:val="lowerLetter"/>
      <w:lvlText w:val="%8."/>
      <w:lvlJc w:val="left"/>
      <w:pPr>
        <w:tabs>
          <w:tab w:val="num" w:pos="5328"/>
        </w:tabs>
        <w:ind w:left="5328" w:hanging="360"/>
      </w:pPr>
      <w:rPr>
        <w:rFonts w:cs="Times New Roman"/>
      </w:rPr>
    </w:lvl>
    <w:lvl w:ilvl="8" w:tplc="882EF556" w:tentative="1">
      <w:start w:val="1"/>
      <w:numFmt w:val="lowerRoman"/>
      <w:lvlText w:val="%9."/>
      <w:lvlJc w:val="right"/>
      <w:pPr>
        <w:tabs>
          <w:tab w:val="num" w:pos="6048"/>
        </w:tabs>
        <w:ind w:left="6048" w:hanging="180"/>
      </w:pPr>
      <w:rPr>
        <w:rFonts w:cs="Times New Roman"/>
      </w:rPr>
    </w:lvl>
  </w:abstractNum>
  <w:abstractNum w:abstractNumId="1">
    <w:nsid w:val="00D33A40"/>
    <w:multiLevelType w:val="hybridMultilevel"/>
    <w:tmpl w:val="838AD1AC"/>
    <w:lvl w:ilvl="0" w:tplc="02D2B1A6">
      <w:start w:val="1"/>
      <w:numFmt w:val="decimal"/>
      <w:lvlText w:val="%1)"/>
      <w:lvlJc w:val="left"/>
      <w:pPr>
        <w:ind w:left="780" w:hanging="360"/>
      </w:pPr>
      <w:rPr>
        <w:rFonts w:ascii="Arial" w:eastAsiaTheme="minorHAnsi" w:hAnsi="Arial" w:cstheme="minorBidi"/>
      </w:rPr>
    </w:lvl>
    <w:lvl w:ilvl="1" w:tplc="04070019">
      <w:start w:val="1"/>
      <w:numFmt w:val="lowerLetter"/>
      <w:lvlText w:val="%2."/>
      <w:lvlJc w:val="left"/>
      <w:pPr>
        <w:ind w:left="1500" w:hanging="360"/>
      </w:pPr>
    </w:lvl>
    <w:lvl w:ilvl="2" w:tplc="0407001B" w:tentative="1">
      <w:start w:val="1"/>
      <w:numFmt w:val="lowerRoman"/>
      <w:lvlText w:val="%3."/>
      <w:lvlJc w:val="right"/>
      <w:pPr>
        <w:ind w:left="2220" w:hanging="180"/>
      </w:pPr>
    </w:lvl>
    <w:lvl w:ilvl="3" w:tplc="0407000F" w:tentative="1">
      <w:start w:val="1"/>
      <w:numFmt w:val="decimal"/>
      <w:lvlText w:val="%4."/>
      <w:lvlJc w:val="left"/>
      <w:pPr>
        <w:ind w:left="2940" w:hanging="360"/>
      </w:pPr>
    </w:lvl>
    <w:lvl w:ilvl="4" w:tplc="04070019" w:tentative="1">
      <w:start w:val="1"/>
      <w:numFmt w:val="lowerLetter"/>
      <w:lvlText w:val="%5."/>
      <w:lvlJc w:val="left"/>
      <w:pPr>
        <w:ind w:left="3660" w:hanging="360"/>
      </w:pPr>
    </w:lvl>
    <w:lvl w:ilvl="5" w:tplc="0407001B" w:tentative="1">
      <w:start w:val="1"/>
      <w:numFmt w:val="lowerRoman"/>
      <w:lvlText w:val="%6."/>
      <w:lvlJc w:val="right"/>
      <w:pPr>
        <w:ind w:left="4380" w:hanging="180"/>
      </w:pPr>
    </w:lvl>
    <w:lvl w:ilvl="6" w:tplc="0407000F" w:tentative="1">
      <w:start w:val="1"/>
      <w:numFmt w:val="decimal"/>
      <w:lvlText w:val="%7."/>
      <w:lvlJc w:val="left"/>
      <w:pPr>
        <w:ind w:left="5100" w:hanging="360"/>
      </w:pPr>
    </w:lvl>
    <w:lvl w:ilvl="7" w:tplc="04070019" w:tentative="1">
      <w:start w:val="1"/>
      <w:numFmt w:val="lowerLetter"/>
      <w:lvlText w:val="%8."/>
      <w:lvlJc w:val="left"/>
      <w:pPr>
        <w:ind w:left="5820" w:hanging="360"/>
      </w:pPr>
    </w:lvl>
    <w:lvl w:ilvl="8" w:tplc="0407001B" w:tentative="1">
      <w:start w:val="1"/>
      <w:numFmt w:val="lowerRoman"/>
      <w:lvlText w:val="%9."/>
      <w:lvlJc w:val="right"/>
      <w:pPr>
        <w:ind w:left="6540" w:hanging="180"/>
      </w:pPr>
    </w:lvl>
  </w:abstractNum>
  <w:abstractNum w:abstractNumId="2">
    <w:nsid w:val="01F36C6C"/>
    <w:multiLevelType w:val="hybridMultilevel"/>
    <w:tmpl w:val="E3700260"/>
    <w:lvl w:ilvl="0" w:tplc="04070011">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4097FD3"/>
    <w:multiLevelType w:val="hybridMultilevel"/>
    <w:tmpl w:val="E3700260"/>
    <w:lvl w:ilvl="0" w:tplc="04070011">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6CB4924"/>
    <w:multiLevelType w:val="hybridMultilevel"/>
    <w:tmpl w:val="6584FB04"/>
    <w:lvl w:ilvl="0" w:tplc="04070017">
      <w:start w:val="1"/>
      <w:numFmt w:val="lowerLetter"/>
      <w:lvlText w:val="%1)"/>
      <w:lvlJc w:val="left"/>
      <w:pPr>
        <w:ind w:left="780" w:hanging="360"/>
      </w:pPr>
    </w:lvl>
    <w:lvl w:ilvl="1" w:tplc="04070019" w:tentative="1">
      <w:start w:val="1"/>
      <w:numFmt w:val="lowerLetter"/>
      <w:lvlText w:val="%2."/>
      <w:lvlJc w:val="left"/>
      <w:pPr>
        <w:ind w:left="1500" w:hanging="360"/>
      </w:pPr>
    </w:lvl>
    <w:lvl w:ilvl="2" w:tplc="0407001B" w:tentative="1">
      <w:start w:val="1"/>
      <w:numFmt w:val="lowerRoman"/>
      <w:lvlText w:val="%3."/>
      <w:lvlJc w:val="right"/>
      <w:pPr>
        <w:ind w:left="2220" w:hanging="180"/>
      </w:pPr>
    </w:lvl>
    <w:lvl w:ilvl="3" w:tplc="0407000F" w:tentative="1">
      <w:start w:val="1"/>
      <w:numFmt w:val="decimal"/>
      <w:lvlText w:val="%4."/>
      <w:lvlJc w:val="left"/>
      <w:pPr>
        <w:ind w:left="2940" w:hanging="360"/>
      </w:pPr>
    </w:lvl>
    <w:lvl w:ilvl="4" w:tplc="04070019" w:tentative="1">
      <w:start w:val="1"/>
      <w:numFmt w:val="lowerLetter"/>
      <w:lvlText w:val="%5."/>
      <w:lvlJc w:val="left"/>
      <w:pPr>
        <w:ind w:left="3660" w:hanging="360"/>
      </w:pPr>
    </w:lvl>
    <w:lvl w:ilvl="5" w:tplc="0407001B" w:tentative="1">
      <w:start w:val="1"/>
      <w:numFmt w:val="lowerRoman"/>
      <w:lvlText w:val="%6."/>
      <w:lvlJc w:val="right"/>
      <w:pPr>
        <w:ind w:left="4380" w:hanging="180"/>
      </w:pPr>
    </w:lvl>
    <w:lvl w:ilvl="6" w:tplc="0407000F" w:tentative="1">
      <w:start w:val="1"/>
      <w:numFmt w:val="decimal"/>
      <w:lvlText w:val="%7."/>
      <w:lvlJc w:val="left"/>
      <w:pPr>
        <w:ind w:left="5100" w:hanging="360"/>
      </w:pPr>
    </w:lvl>
    <w:lvl w:ilvl="7" w:tplc="04070019" w:tentative="1">
      <w:start w:val="1"/>
      <w:numFmt w:val="lowerLetter"/>
      <w:lvlText w:val="%8."/>
      <w:lvlJc w:val="left"/>
      <w:pPr>
        <w:ind w:left="5820" w:hanging="360"/>
      </w:pPr>
    </w:lvl>
    <w:lvl w:ilvl="8" w:tplc="0407001B" w:tentative="1">
      <w:start w:val="1"/>
      <w:numFmt w:val="lowerRoman"/>
      <w:lvlText w:val="%9."/>
      <w:lvlJc w:val="right"/>
      <w:pPr>
        <w:ind w:left="6540" w:hanging="180"/>
      </w:pPr>
    </w:lvl>
  </w:abstractNum>
  <w:abstractNum w:abstractNumId="5">
    <w:nsid w:val="07056F7F"/>
    <w:multiLevelType w:val="hybridMultilevel"/>
    <w:tmpl w:val="311C478A"/>
    <w:lvl w:ilvl="0" w:tplc="040E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07BC5B8D"/>
    <w:multiLevelType w:val="hybridMultilevel"/>
    <w:tmpl w:val="741E192E"/>
    <w:name w:val="WW8Num11"/>
    <w:lvl w:ilvl="0" w:tplc="FFFFFFFF">
      <w:start w:val="1"/>
      <w:numFmt w:val="decimal"/>
      <w:lvlText w:val="Table %1"/>
      <w:lvlJc w:val="left"/>
      <w:pPr>
        <w:tabs>
          <w:tab w:val="num" w:pos="567"/>
        </w:tabs>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7">
    <w:nsid w:val="08DD3AFE"/>
    <w:multiLevelType w:val="hybridMultilevel"/>
    <w:tmpl w:val="838AD1AC"/>
    <w:lvl w:ilvl="0" w:tplc="02D2B1A6">
      <w:start w:val="1"/>
      <w:numFmt w:val="decimal"/>
      <w:lvlText w:val="%1)"/>
      <w:lvlJc w:val="left"/>
      <w:pPr>
        <w:ind w:left="780" w:hanging="360"/>
      </w:pPr>
      <w:rPr>
        <w:rFonts w:ascii="Arial" w:eastAsiaTheme="minorHAnsi" w:hAnsi="Arial" w:cstheme="minorBidi"/>
      </w:rPr>
    </w:lvl>
    <w:lvl w:ilvl="1" w:tplc="04070019" w:tentative="1">
      <w:start w:val="1"/>
      <w:numFmt w:val="lowerLetter"/>
      <w:lvlText w:val="%2."/>
      <w:lvlJc w:val="left"/>
      <w:pPr>
        <w:ind w:left="1500" w:hanging="360"/>
      </w:pPr>
    </w:lvl>
    <w:lvl w:ilvl="2" w:tplc="0407001B" w:tentative="1">
      <w:start w:val="1"/>
      <w:numFmt w:val="lowerRoman"/>
      <w:lvlText w:val="%3."/>
      <w:lvlJc w:val="right"/>
      <w:pPr>
        <w:ind w:left="2220" w:hanging="180"/>
      </w:pPr>
    </w:lvl>
    <w:lvl w:ilvl="3" w:tplc="0407000F" w:tentative="1">
      <w:start w:val="1"/>
      <w:numFmt w:val="decimal"/>
      <w:lvlText w:val="%4."/>
      <w:lvlJc w:val="left"/>
      <w:pPr>
        <w:ind w:left="2940" w:hanging="360"/>
      </w:pPr>
    </w:lvl>
    <w:lvl w:ilvl="4" w:tplc="04070019" w:tentative="1">
      <w:start w:val="1"/>
      <w:numFmt w:val="lowerLetter"/>
      <w:lvlText w:val="%5."/>
      <w:lvlJc w:val="left"/>
      <w:pPr>
        <w:ind w:left="3660" w:hanging="360"/>
      </w:pPr>
    </w:lvl>
    <w:lvl w:ilvl="5" w:tplc="0407001B" w:tentative="1">
      <w:start w:val="1"/>
      <w:numFmt w:val="lowerRoman"/>
      <w:lvlText w:val="%6."/>
      <w:lvlJc w:val="right"/>
      <w:pPr>
        <w:ind w:left="4380" w:hanging="180"/>
      </w:pPr>
    </w:lvl>
    <w:lvl w:ilvl="6" w:tplc="0407000F" w:tentative="1">
      <w:start w:val="1"/>
      <w:numFmt w:val="decimal"/>
      <w:lvlText w:val="%7."/>
      <w:lvlJc w:val="left"/>
      <w:pPr>
        <w:ind w:left="5100" w:hanging="360"/>
      </w:pPr>
    </w:lvl>
    <w:lvl w:ilvl="7" w:tplc="04070019" w:tentative="1">
      <w:start w:val="1"/>
      <w:numFmt w:val="lowerLetter"/>
      <w:lvlText w:val="%8."/>
      <w:lvlJc w:val="left"/>
      <w:pPr>
        <w:ind w:left="5820" w:hanging="360"/>
      </w:pPr>
    </w:lvl>
    <w:lvl w:ilvl="8" w:tplc="0407001B" w:tentative="1">
      <w:start w:val="1"/>
      <w:numFmt w:val="lowerRoman"/>
      <w:lvlText w:val="%9."/>
      <w:lvlJc w:val="right"/>
      <w:pPr>
        <w:ind w:left="6540" w:hanging="180"/>
      </w:pPr>
    </w:lvl>
  </w:abstractNum>
  <w:abstractNum w:abstractNumId="8">
    <w:nsid w:val="08F304CB"/>
    <w:multiLevelType w:val="hybridMultilevel"/>
    <w:tmpl w:val="C4C663E2"/>
    <w:lvl w:ilvl="0" w:tplc="04070001">
      <w:start w:val="1"/>
      <w:numFmt w:val="bullet"/>
      <w:lvlText w:val=""/>
      <w:lvlJc w:val="left"/>
      <w:pPr>
        <w:ind w:left="720" w:hanging="360"/>
      </w:pPr>
      <w:rPr>
        <w:rFonts w:ascii="Symbol" w:hAnsi="Symbol"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090713C3"/>
    <w:multiLevelType w:val="hybridMultilevel"/>
    <w:tmpl w:val="8D72B668"/>
    <w:lvl w:ilvl="0" w:tplc="44CCC1D8">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09953BCA"/>
    <w:multiLevelType w:val="hybridMultilevel"/>
    <w:tmpl w:val="3F1447A4"/>
    <w:lvl w:ilvl="0" w:tplc="0407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09D96C19"/>
    <w:multiLevelType w:val="hybridMultilevel"/>
    <w:tmpl w:val="3D24FF30"/>
    <w:lvl w:ilvl="0" w:tplc="04070011">
      <w:start w:val="1"/>
      <w:numFmt w:val="decimal"/>
      <w:lvlText w:val="%1)"/>
      <w:lvlJc w:val="left"/>
      <w:pPr>
        <w:ind w:left="928"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0B8759D9"/>
    <w:multiLevelType w:val="hybridMultilevel"/>
    <w:tmpl w:val="4710BC0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0BB83C19"/>
    <w:multiLevelType w:val="hybridMultilevel"/>
    <w:tmpl w:val="1FF67D98"/>
    <w:lvl w:ilvl="0" w:tplc="0407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0CC47DDE"/>
    <w:multiLevelType w:val="hybridMultilevel"/>
    <w:tmpl w:val="F56600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ED10784"/>
    <w:multiLevelType w:val="hybridMultilevel"/>
    <w:tmpl w:val="F0E88D0C"/>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6">
    <w:nsid w:val="0FC22706"/>
    <w:multiLevelType w:val="hybridMultilevel"/>
    <w:tmpl w:val="9324509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11F05A7F"/>
    <w:multiLevelType w:val="hybridMultilevel"/>
    <w:tmpl w:val="2156383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477566F"/>
    <w:multiLevelType w:val="hybridMultilevel"/>
    <w:tmpl w:val="E9C6D186"/>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16B70FF4"/>
    <w:multiLevelType w:val="hybridMultilevel"/>
    <w:tmpl w:val="37180782"/>
    <w:lvl w:ilvl="0" w:tplc="4150E7AC">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189B1D81"/>
    <w:multiLevelType w:val="hybridMultilevel"/>
    <w:tmpl w:val="1BA02FDC"/>
    <w:lvl w:ilvl="0" w:tplc="04090005">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190D35D3"/>
    <w:multiLevelType w:val="hybridMultilevel"/>
    <w:tmpl w:val="3F1447A4"/>
    <w:lvl w:ilvl="0" w:tplc="0407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1A4A3A74"/>
    <w:multiLevelType w:val="hybridMultilevel"/>
    <w:tmpl w:val="65667E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1AD92611"/>
    <w:multiLevelType w:val="hybridMultilevel"/>
    <w:tmpl w:val="0E2628A2"/>
    <w:lvl w:ilvl="0" w:tplc="91F0062C">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1C0F2D78"/>
    <w:multiLevelType w:val="hybridMultilevel"/>
    <w:tmpl w:val="6584FB04"/>
    <w:lvl w:ilvl="0" w:tplc="04070017">
      <w:start w:val="1"/>
      <w:numFmt w:val="lowerLetter"/>
      <w:lvlText w:val="%1)"/>
      <w:lvlJc w:val="left"/>
      <w:pPr>
        <w:ind w:left="780" w:hanging="360"/>
      </w:pPr>
    </w:lvl>
    <w:lvl w:ilvl="1" w:tplc="04070019">
      <w:start w:val="1"/>
      <w:numFmt w:val="lowerLetter"/>
      <w:lvlText w:val="%2."/>
      <w:lvlJc w:val="left"/>
      <w:pPr>
        <w:ind w:left="1500" w:hanging="360"/>
      </w:pPr>
    </w:lvl>
    <w:lvl w:ilvl="2" w:tplc="0407001B" w:tentative="1">
      <w:start w:val="1"/>
      <w:numFmt w:val="lowerRoman"/>
      <w:lvlText w:val="%3."/>
      <w:lvlJc w:val="right"/>
      <w:pPr>
        <w:ind w:left="2220" w:hanging="180"/>
      </w:pPr>
    </w:lvl>
    <w:lvl w:ilvl="3" w:tplc="0407000F" w:tentative="1">
      <w:start w:val="1"/>
      <w:numFmt w:val="decimal"/>
      <w:lvlText w:val="%4."/>
      <w:lvlJc w:val="left"/>
      <w:pPr>
        <w:ind w:left="2940" w:hanging="360"/>
      </w:pPr>
    </w:lvl>
    <w:lvl w:ilvl="4" w:tplc="04070019" w:tentative="1">
      <w:start w:val="1"/>
      <w:numFmt w:val="lowerLetter"/>
      <w:lvlText w:val="%5."/>
      <w:lvlJc w:val="left"/>
      <w:pPr>
        <w:ind w:left="3660" w:hanging="360"/>
      </w:pPr>
    </w:lvl>
    <w:lvl w:ilvl="5" w:tplc="0407001B" w:tentative="1">
      <w:start w:val="1"/>
      <w:numFmt w:val="lowerRoman"/>
      <w:lvlText w:val="%6."/>
      <w:lvlJc w:val="right"/>
      <w:pPr>
        <w:ind w:left="4380" w:hanging="180"/>
      </w:pPr>
    </w:lvl>
    <w:lvl w:ilvl="6" w:tplc="0407000F" w:tentative="1">
      <w:start w:val="1"/>
      <w:numFmt w:val="decimal"/>
      <w:lvlText w:val="%7."/>
      <w:lvlJc w:val="left"/>
      <w:pPr>
        <w:ind w:left="5100" w:hanging="360"/>
      </w:pPr>
    </w:lvl>
    <w:lvl w:ilvl="7" w:tplc="04070019" w:tentative="1">
      <w:start w:val="1"/>
      <w:numFmt w:val="lowerLetter"/>
      <w:lvlText w:val="%8."/>
      <w:lvlJc w:val="left"/>
      <w:pPr>
        <w:ind w:left="5820" w:hanging="360"/>
      </w:pPr>
    </w:lvl>
    <w:lvl w:ilvl="8" w:tplc="0407001B" w:tentative="1">
      <w:start w:val="1"/>
      <w:numFmt w:val="lowerRoman"/>
      <w:lvlText w:val="%9."/>
      <w:lvlJc w:val="right"/>
      <w:pPr>
        <w:ind w:left="6540" w:hanging="180"/>
      </w:pPr>
    </w:lvl>
  </w:abstractNum>
  <w:abstractNum w:abstractNumId="25">
    <w:nsid w:val="2118427B"/>
    <w:multiLevelType w:val="multilevel"/>
    <w:tmpl w:val="C218A1CE"/>
    <w:lvl w:ilvl="0">
      <w:start w:val="1"/>
      <w:numFmt w:val="decimal"/>
      <w:pStyle w:val="Titre1"/>
      <w:suff w:val="space"/>
      <w:lvlText w:val="%1"/>
      <w:lvlJc w:val="left"/>
      <w:pPr>
        <w:ind w:left="432" w:hanging="432"/>
      </w:pPr>
      <w:rPr>
        <w:rFonts w:hint="default"/>
      </w:rPr>
    </w:lvl>
    <w:lvl w:ilvl="1">
      <w:start w:val="1"/>
      <w:numFmt w:val="decimal"/>
      <w:pStyle w:val="Titre2"/>
      <w:suff w:val="space"/>
      <w:lvlText w:val="%1.%2"/>
      <w:lvlJc w:val="left"/>
      <w:pPr>
        <w:ind w:left="576" w:hanging="576"/>
      </w:pPr>
      <w:rPr>
        <w:rFonts w:hint="default"/>
      </w:rPr>
    </w:lvl>
    <w:lvl w:ilvl="2">
      <w:start w:val="1"/>
      <w:numFmt w:val="decimal"/>
      <w:pStyle w:val="Titre3"/>
      <w:suff w:val="space"/>
      <w:lvlText w:val="%1.%2.%3"/>
      <w:lvlJc w:val="left"/>
      <w:pPr>
        <w:ind w:left="720" w:hanging="720"/>
      </w:pPr>
      <w:rPr>
        <w:rFonts w:hint="default"/>
      </w:rPr>
    </w:lvl>
    <w:lvl w:ilvl="3">
      <w:start w:val="1"/>
      <w:numFmt w:val="decimal"/>
      <w:pStyle w:val="Titre4"/>
      <w:suff w:val="space"/>
      <w:lvlText w:val="%1.%2.%3.%4"/>
      <w:lvlJc w:val="left"/>
      <w:pPr>
        <w:ind w:left="864" w:hanging="864"/>
      </w:pPr>
      <w:rPr>
        <w:rFonts w:hint="default"/>
      </w:rPr>
    </w:lvl>
    <w:lvl w:ilvl="4">
      <w:start w:val="1"/>
      <w:numFmt w:val="decimal"/>
      <w:pStyle w:val="Titre5"/>
      <w:suff w:val="space"/>
      <w:lvlText w:val="%1.%2.%3.%4.%5"/>
      <w:lvlJc w:val="left"/>
      <w:pPr>
        <w:ind w:left="1008" w:hanging="1008"/>
      </w:pPr>
      <w:rPr>
        <w:rFonts w:hint="default"/>
      </w:rPr>
    </w:lvl>
    <w:lvl w:ilvl="5">
      <w:start w:val="1"/>
      <w:numFmt w:val="decimal"/>
      <w:pStyle w:val="Titre6"/>
      <w:suff w:val="space"/>
      <w:lvlText w:val="%1.%2.%3.%4.%5.%6"/>
      <w:lvlJc w:val="left"/>
      <w:pPr>
        <w:ind w:left="1152" w:hanging="1152"/>
      </w:pPr>
      <w:rPr>
        <w:rFonts w:hint="default"/>
      </w:rPr>
    </w:lvl>
    <w:lvl w:ilvl="6">
      <w:start w:val="1"/>
      <w:numFmt w:val="decimal"/>
      <w:pStyle w:val="Titre7"/>
      <w:suff w:val="space"/>
      <w:lvlText w:val="%1.%2.%3.%4.%5.%6.%7"/>
      <w:lvlJc w:val="left"/>
      <w:pPr>
        <w:ind w:left="1296" w:hanging="1296"/>
      </w:pPr>
      <w:rPr>
        <w:rFonts w:hint="default"/>
      </w:rPr>
    </w:lvl>
    <w:lvl w:ilvl="7">
      <w:start w:val="1"/>
      <w:numFmt w:val="decimal"/>
      <w:pStyle w:val="Titre8"/>
      <w:suff w:val="space"/>
      <w:lvlText w:val="%1.%2.%3.%4.%5.%6.%7.%8"/>
      <w:lvlJc w:val="left"/>
      <w:pPr>
        <w:ind w:left="1440" w:hanging="1440"/>
      </w:pPr>
      <w:rPr>
        <w:rFonts w:hint="default"/>
      </w:rPr>
    </w:lvl>
    <w:lvl w:ilvl="8">
      <w:start w:val="1"/>
      <w:numFmt w:val="decimal"/>
      <w:pStyle w:val="Titre9"/>
      <w:suff w:val="space"/>
      <w:lvlText w:val="%1.%2.%3.%4.%5.%6.%7.%8.%9"/>
      <w:lvlJc w:val="left"/>
      <w:pPr>
        <w:ind w:left="1584" w:hanging="1584"/>
      </w:pPr>
      <w:rPr>
        <w:rFonts w:hint="default"/>
      </w:rPr>
    </w:lvl>
  </w:abstractNum>
  <w:abstractNum w:abstractNumId="26">
    <w:nsid w:val="2380210F"/>
    <w:multiLevelType w:val="hybridMultilevel"/>
    <w:tmpl w:val="D06C38B0"/>
    <w:lvl w:ilvl="0" w:tplc="04070011">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240B04FD"/>
    <w:multiLevelType w:val="hybridMultilevel"/>
    <w:tmpl w:val="935CC45C"/>
    <w:lvl w:ilvl="0" w:tplc="4150E7AC">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nsid w:val="24BA1CA2"/>
    <w:multiLevelType w:val="hybridMultilevel"/>
    <w:tmpl w:val="A0E8832E"/>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25E50D49"/>
    <w:multiLevelType w:val="hybridMultilevel"/>
    <w:tmpl w:val="C4FA2C8E"/>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0">
    <w:nsid w:val="287A7EE7"/>
    <w:multiLevelType w:val="hybridMultilevel"/>
    <w:tmpl w:val="E3700260"/>
    <w:lvl w:ilvl="0" w:tplc="04070011">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294A3202"/>
    <w:multiLevelType w:val="hybridMultilevel"/>
    <w:tmpl w:val="5F6AB9BC"/>
    <w:lvl w:ilvl="0" w:tplc="FA54F890">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29BC5217"/>
    <w:multiLevelType w:val="hybridMultilevel"/>
    <w:tmpl w:val="935CC45C"/>
    <w:lvl w:ilvl="0" w:tplc="4150E7AC">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nsid w:val="29E444AA"/>
    <w:multiLevelType w:val="hybridMultilevel"/>
    <w:tmpl w:val="C3866752"/>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nsid w:val="2C991A66"/>
    <w:multiLevelType w:val="hybridMultilevel"/>
    <w:tmpl w:val="E55217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2D9B535C"/>
    <w:multiLevelType w:val="hybridMultilevel"/>
    <w:tmpl w:val="56FEAE2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6">
    <w:nsid w:val="2E117CED"/>
    <w:multiLevelType w:val="hybridMultilevel"/>
    <w:tmpl w:val="DA6873A6"/>
    <w:lvl w:ilvl="0" w:tplc="A7F27426">
      <w:start w:val="1"/>
      <w:numFmt w:val="decimal"/>
      <w:pStyle w:val="ASAMPSAFigure"/>
      <w:lvlText w:val="Fig. %1"/>
      <w:lvlJc w:val="left"/>
      <w:pPr>
        <w:tabs>
          <w:tab w:val="num" w:pos="567"/>
        </w:tabs>
        <w:ind w:left="737" w:hanging="737"/>
      </w:pPr>
      <w:rPr>
        <w:rFonts w:cs="Times New Roman" w:hint="default"/>
      </w:rPr>
    </w:lvl>
    <w:lvl w:ilvl="1" w:tplc="040C0019">
      <w:start w:val="1"/>
      <w:numFmt w:val="lowerLetter"/>
      <w:lvlText w:val="%2."/>
      <w:lvlJc w:val="left"/>
      <w:pPr>
        <w:tabs>
          <w:tab w:val="num" w:pos="1440"/>
        </w:tabs>
        <w:ind w:left="1440" w:hanging="360"/>
      </w:pPr>
      <w:rPr>
        <w:rFonts w:cs="Times New Roman"/>
      </w:rPr>
    </w:lvl>
    <w:lvl w:ilvl="2" w:tplc="D30E7282">
      <w:start w:val="101"/>
      <w:numFmt w:val="bullet"/>
      <w:lvlText w:val="-"/>
      <w:lvlJc w:val="left"/>
      <w:pPr>
        <w:tabs>
          <w:tab w:val="num" w:pos="2340"/>
        </w:tabs>
        <w:ind w:left="2340" w:hanging="360"/>
      </w:pPr>
      <w:rPr>
        <w:rFonts w:ascii="Arial" w:eastAsia="Times New Roman" w:hAnsi="Arial" w:cs="Arial" w:hint="default"/>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37">
    <w:nsid w:val="2EAE0DED"/>
    <w:multiLevelType w:val="hybridMultilevel"/>
    <w:tmpl w:val="ECD0A6A0"/>
    <w:lvl w:ilvl="0" w:tplc="C0F64A80">
      <w:start w:val="1"/>
      <w:numFmt w:val="decimal"/>
      <w:lvlText w:val="%1)"/>
      <w:lvlJc w:val="left"/>
      <w:pPr>
        <w:ind w:left="928"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nsid w:val="313D38B8"/>
    <w:multiLevelType w:val="hybridMultilevel"/>
    <w:tmpl w:val="3DA652A0"/>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nsid w:val="316A59F4"/>
    <w:multiLevelType w:val="hybridMultilevel"/>
    <w:tmpl w:val="76D89E86"/>
    <w:lvl w:ilvl="0" w:tplc="21CA9472">
      <w:start w:val="1"/>
      <w:numFmt w:val="decimal"/>
      <w:pStyle w:val="Style1"/>
      <w:lvlText w:val="Fig. %1"/>
      <w:lvlJc w:val="left"/>
      <w:pPr>
        <w:tabs>
          <w:tab w:val="num" w:pos="567"/>
        </w:tabs>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40">
    <w:nsid w:val="324408E7"/>
    <w:multiLevelType w:val="hybridMultilevel"/>
    <w:tmpl w:val="1F14C58E"/>
    <w:lvl w:ilvl="0" w:tplc="92D0A512">
      <w:numFmt w:val="bullet"/>
      <w:lvlText w:val="-"/>
      <w:lvlJc w:val="left"/>
      <w:pPr>
        <w:ind w:left="780" w:hanging="360"/>
      </w:pPr>
      <w:rPr>
        <w:rFonts w:ascii="SymbolMT" w:eastAsia="SymbolMT" w:hAnsi="Arial" w:cs="SymbolMT" w:hint="eastAsia"/>
      </w:rPr>
    </w:lvl>
    <w:lvl w:ilvl="1" w:tplc="04070019">
      <w:start w:val="1"/>
      <w:numFmt w:val="lowerLetter"/>
      <w:lvlText w:val="%2."/>
      <w:lvlJc w:val="left"/>
      <w:pPr>
        <w:ind w:left="1500" w:hanging="360"/>
      </w:pPr>
    </w:lvl>
    <w:lvl w:ilvl="2" w:tplc="0407001B" w:tentative="1">
      <w:start w:val="1"/>
      <w:numFmt w:val="lowerRoman"/>
      <w:lvlText w:val="%3."/>
      <w:lvlJc w:val="right"/>
      <w:pPr>
        <w:ind w:left="2220" w:hanging="180"/>
      </w:pPr>
    </w:lvl>
    <w:lvl w:ilvl="3" w:tplc="0407000F" w:tentative="1">
      <w:start w:val="1"/>
      <w:numFmt w:val="decimal"/>
      <w:lvlText w:val="%4."/>
      <w:lvlJc w:val="left"/>
      <w:pPr>
        <w:ind w:left="2940" w:hanging="360"/>
      </w:pPr>
    </w:lvl>
    <w:lvl w:ilvl="4" w:tplc="04070019" w:tentative="1">
      <w:start w:val="1"/>
      <w:numFmt w:val="lowerLetter"/>
      <w:lvlText w:val="%5."/>
      <w:lvlJc w:val="left"/>
      <w:pPr>
        <w:ind w:left="3660" w:hanging="360"/>
      </w:pPr>
    </w:lvl>
    <w:lvl w:ilvl="5" w:tplc="0407001B" w:tentative="1">
      <w:start w:val="1"/>
      <w:numFmt w:val="lowerRoman"/>
      <w:lvlText w:val="%6."/>
      <w:lvlJc w:val="right"/>
      <w:pPr>
        <w:ind w:left="4380" w:hanging="180"/>
      </w:pPr>
    </w:lvl>
    <w:lvl w:ilvl="6" w:tplc="0407000F" w:tentative="1">
      <w:start w:val="1"/>
      <w:numFmt w:val="decimal"/>
      <w:lvlText w:val="%7."/>
      <w:lvlJc w:val="left"/>
      <w:pPr>
        <w:ind w:left="5100" w:hanging="360"/>
      </w:pPr>
    </w:lvl>
    <w:lvl w:ilvl="7" w:tplc="04070019" w:tentative="1">
      <w:start w:val="1"/>
      <w:numFmt w:val="lowerLetter"/>
      <w:lvlText w:val="%8."/>
      <w:lvlJc w:val="left"/>
      <w:pPr>
        <w:ind w:left="5820" w:hanging="360"/>
      </w:pPr>
    </w:lvl>
    <w:lvl w:ilvl="8" w:tplc="0407001B" w:tentative="1">
      <w:start w:val="1"/>
      <w:numFmt w:val="lowerRoman"/>
      <w:lvlText w:val="%9."/>
      <w:lvlJc w:val="right"/>
      <w:pPr>
        <w:ind w:left="6540" w:hanging="180"/>
      </w:pPr>
    </w:lvl>
  </w:abstractNum>
  <w:abstractNum w:abstractNumId="41">
    <w:nsid w:val="32581D6F"/>
    <w:multiLevelType w:val="hybridMultilevel"/>
    <w:tmpl w:val="BDA4C840"/>
    <w:lvl w:ilvl="0" w:tplc="5C62A3DA">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nsid w:val="33266E7E"/>
    <w:multiLevelType w:val="hybridMultilevel"/>
    <w:tmpl w:val="3AA40CB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nsid w:val="33E5073A"/>
    <w:multiLevelType w:val="hybridMultilevel"/>
    <w:tmpl w:val="DAF0D998"/>
    <w:lvl w:ilvl="0" w:tplc="B13A7B5C">
      <w:start w:val="10"/>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nsid w:val="36550B6C"/>
    <w:multiLevelType w:val="hybridMultilevel"/>
    <w:tmpl w:val="9B161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929079D"/>
    <w:multiLevelType w:val="hybridMultilevel"/>
    <w:tmpl w:val="9EBC3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9F4080E"/>
    <w:multiLevelType w:val="hybridMultilevel"/>
    <w:tmpl w:val="6584FB04"/>
    <w:lvl w:ilvl="0" w:tplc="04070017">
      <w:start w:val="1"/>
      <w:numFmt w:val="lowerLetter"/>
      <w:lvlText w:val="%1)"/>
      <w:lvlJc w:val="left"/>
      <w:pPr>
        <w:ind w:left="780" w:hanging="360"/>
      </w:pPr>
    </w:lvl>
    <w:lvl w:ilvl="1" w:tplc="04070019" w:tentative="1">
      <w:start w:val="1"/>
      <w:numFmt w:val="lowerLetter"/>
      <w:lvlText w:val="%2."/>
      <w:lvlJc w:val="left"/>
      <w:pPr>
        <w:ind w:left="1500" w:hanging="360"/>
      </w:pPr>
    </w:lvl>
    <w:lvl w:ilvl="2" w:tplc="0407001B" w:tentative="1">
      <w:start w:val="1"/>
      <w:numFmt w:val="lowerRoman"/>
      <w:lvlText w:val="%3."/>
      <w:lvlJc w:val="right"/>
      <w:pPr>
        <w:ind w:left="2220" w:hanging="180"/>
      </w:pPr>
    </w:lvl>
    <w:lvl w:ilvl="3" w:tplc="0407000F" w:tentative="1">
      <w:start w:val="1"/>
      <w:numFmt w:val="decimal"/>
      <w:lvlText w:val="%4."/>
      <w:lvlJc w:val="left"/>
      <w:pPr>
        <w:ind w:left="2940" w:hanging="360"/>
      </w:pPr>
    </w:lvl>
    <w:lvl w:ilvl="4" w:tplc="04070019" w:tentative="1">
      <w:start w:val="1"/>
      <w:numFmt w:val="lowerLetter"/>
      <w:lvlText w:val="%5."/>
      <w:lvlJc w:val="left"/>
      <w:pPr>
        <w:ind w:left="3660" w:hanging="360"/>
      </w:pPr>
    </w:lvl>
    <w:lvl w:ilvl="5" w:tplc="0407001B" w:tentative="1">
      <w:start w:val="1"/>
      <w:numFmt w:val="lowerRoman"/>
      <w:lvlText w:val="%6."/>
      <w:lvlJc w:val="right"/>
      <w:pPr>
        <w:ind w:left="4380" w:hanging="180"/>
      </w:pPr>
    </w:lvl>
    <w:lvl w:ilvl="6" w:tplc="0407000F" w:tentative="1">
      <w:start w:val="1"/>
      <w:numFmt w:val="decimal"/>
      <w:lvlText w:val="%7."/>
      <w:lvlJc w:val="left"/>
      <w:pPr>
        <w:ind w:left="5100" w:hanging="360"/>
      </w:pPr>
    </w:lvl>
    <w:lvl w:ilvl="7" w:tplc="04070019" w:tentative="1">
      <w:start w:val="1"/>
      <w:numFmt w:val="lowerLetter"/>
      <w:lvlText w:val="%8."/>
      <w:lvlJc w:val="left"/>
      <w:pPr>
        <w:ind w:left="5820" w:hanging="360"/>
      </w:pPr>
    </w:lvl>
    <w:lvl w:ilvl="8" w:tplc="0407001B" w:tentative="1">
      <w:start w:val="1"/>
      <w:numFmt w:val="lowerRoman"/>
      <w:lvlText w:val="%9."/>
      <w:lvlJc w:val="right"/>
      <w:pPr>
        <w:ind w:left="6540" w:hanging="180"/>
      </w:pPr>
    </w:lvl>
  </w:abstractNum>
  <w:abstractNum w:abstractNumId="47">
    <w:nsid w:val="3A3554D1"/>
    <w:multiLevelType w:val="hybridMultilevel"/>
    <w:tmpl w:val="DCCC2C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A620090"/>
    <w:multiLevelType w:val="hybridMultilevel"/>
    <w:tmpl w:val="6584FB04"/>
    <w:lvl w:ilvl="0" w:tplc="04070017">
      <w:start w:val="1"/>
      <w:numFmt w:val="lowerLetter"/>
      <w:lvlText w:val="%1)"/>
      <w:lvlJc w:val="left"/>
      <w:pPr>
        <w:ind w:left="780" w:hanging="360"/>
      </w:pPr>
    </w:lvl>
    <w:lvl w:ilvl="1" w:tplc="04070019" w:tentative="1">
      <w:start w:val="1"/>
      <w:numFmt w:val="lowerLetter"/>
      <w:lvlText w:val="%2."/>
      <w:lvlJc w:val="left"/>
      <w:pPr>
        <w:ind w:left="1500" w:hanging="360"/>
      </w:pPr>
    </w:lvl>
    <w:lvl w:ilvl="2" w:tplc="0407001B" w:tentative="1">
      <w:start w:val="1"/>
      <w:numFmt w:val="lowerRoman"/>
      <w:lvlText w:val="%3."/>
      <w:lvlJc w:val="right"/>
      <w:pPr>
        <w:ind w:left="2220" w:hanging="180"/>
      </w:pPr>
    </w:lvl>
    <w:lvl w:ilvl="3" w:tplc="0407000F" w:tentative="1">
      <w:start w:val="1"/>
      <w:numFmt w:val="decimal"/>
      <w:lvlText w:val="%4."/>
      <w:lvlJc w:val="left"/>
      <w:pPr>
        <w:ind w:left="2940" w:hanging="360"/>
      </w:pPr>
    </w:lvl>
    <w:lvl w:ilvl="4" w:tplc="04070019" w:tentative="1">
      <w:start w:val="1"/>
      <w:numFmt w:val="lowerLetter"/>
      <w:lvlText w:val="%5."/>
      <w:lvlJc w:val="left"/>
      <w:pPr>
        <w:ind w:left="3660" w:hanging="360"/>
      </w:pPr>
    </w:lvl>
    <w:lvl w:ilvl="5" w:tplc="0407001B" w:tentative="1">
      <w:start w:val="1"/>
      <w:numFmt w:val="lowerRoman"/>
      <w:lvlText w:val="%6."/>
      <w:lvlJc w:val="right"/>
      <w:pPr>
        <w:ind w:left="4380" w:hanging="180"/>
      </w:pPr>
    </w:lvl>
    <w:lvl w:ilvl="6" w:tplc="0407000F" w:tentative="1">
      <w:start w:val="1"/>
      <w:numFmt w:val="decimal"/>
      <w:lvlText w:val="%7."/>
      <w:lvlJc w:val="left"/>
      <w:pPr>
        <w:ind w:left="5100" w:hanging="360"/>
      </w:pPr>
    </w:lvl>
    <w:lvl w:ilvl="7" w:tplc="04070019" w:tentative="1">
      <w:start w:val="1"/>
      <w:numFmt w:val="lowerLetter"/>
      <w:lvlText w:val="%8."/>
      <w:lvlJc w:val="left"/>
      <w:pPr>
        <w:ind w:left="5820" w:hanging="360"/>
      </w:pPr>
    </w:lvl>
    <w:lvl w:ilvl="8" w:tplc="0407001B" w:tentative="1">
      <w:start w:val="1"/>
      <w:numFmt w:val="lowerRoman"/>
      <w:lvlText w:val="%9."/>
      <w:lvlJc w:val="right"/>
      <w:pPr>
        <w:ind w:left="6540" w:hanging="180"/>
      </w:pPr>
    </w:lvl>
  </w:abstractNum>
  <w:abstractNum w:abstractNumId="49">
    <w:nsid w:val="3CB06EB1"/>
    <w:multiLevelType w:val="hybridMultilevel"/>
    <w:tmpl w:val="B55C36AA"/>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0">
    <w:nsid w:val="3E840744"/>
    <w:multiLevelType w:val="hybridMultilevel"/>
    <w:tmpl w:val="39A6E9BC"/>
    <w:lvl w:ilvl="0" w:tplc="04070017">
      <w:start w:val="1"/>
      <w:numFmt w:val="lowerLetter"/>
      <w:lvlText w:val="%1)"/>
      <w:lvlJc w:val="left"/>
      <w:pPr>
        <w:ind w:left="840" w:hanging="360"/>
      </w:pPr>
    </w:lvl>
    <w:lvl w:ilvl="1" w:tplc="04070019" w:tentative="1">
      <w:start w:val="1"/>
      <w:numFmt w:val="lowerLetter"/>
      <w:lvlText w:val="%2."/>
      <w:lvlJc w:val="left"/>
      <w:pPr>
        <w:ind w:left="1560" w:hanging="360"/>
      </w:pPr>
    </w:lvl>
    <w:lvl w:ilvl="2" w:tplc="0407001B" w:tentative="1">
      <w:start w:val="1"/>
      <w:numFmt w:val="lowerRoman"/>
      <w:lvlText w:val="%3."/>
      <w:lvlJc w:val="right"/>
      <w:pPr>
        <w:ind w:left="2280" w:hanging="180"/>
      </w:pPr>
    </w:lvl>
    <w:lvl w:ilvl="3" w:tplc="0407000F" w:tentative="1">
      <w:start w:val="1"/>
      <w:numFmt w:val="decimal"/>
      <w:lvlText w:val="%4."/>
      <w:lvlJc w:val="left"/>
      <w:pPr>
        <w:ind w:left="3000" w:hanging="360"/>
      </w:pPr>
    </w:lvl>
    <w:lvl w:ilvl="4" w:tplc="04070019" w:tentative="1">
      <w:start w:val="1"/>
      <w:numFmt w:val="lowerLetter"/>
      <w:lvlText w:val="%5."/>
      <w:lvlJc w:val="left"/>
      <w:pPr>
        <w:ind w:left="3720" w:hanging="360"/>
      </w:pPr>
    </w:lvl>
    <w:lvl w:ilvl="5" w:tplc="0407001B" w:tentative="1">
      <w:start w:val="1"/>
      <w:numFmt w:val="lowerRoman"/>
      <w:lvlText w:val="%6."/>
      <w:lvlJc w:val="right"/>
      <w:pPr>
        <w:ind w:left="4440" w:hanging="180"/>
      </w:pPr>
    </w:lvl>
    <w:lvl w:ilvl="6" w:tplc="0407000F" w:tentative="1">
      <w:start w:val="1"/>
      <w:numFmt w:val="decimal"/>
      <w:lvlText w:val="%7."/>
      <w:lvlJc w:val="left"/>
      <w:pPr>
        <w:ind w:left="5160" w:hanging="360"/>
      </w:pPr>
    </w:lvl>
    <w:lvl w:ilvl="7" w:tplc="04070019" w:tentative="1">
      <w:start w:val="1"/>
      <w:numFmt w:val="lowerLetter"/>
      <w:lvlText w:val="%8."/>
      <w:lvlJc w:val="left"/>
      <w:pPr>
        <w:ind w:left="5880" w:hanging="360"/>
      </w:pPr>
    </w:lvl>
    <w:lvl w:ilvl="8" w:tplc="0407001B" w:tentative="1">
      <w:start w:val="1"/>
      <w:numFmt w:val="lowerRoman"/>
      <w:lvlText w:val="%9."/>
      <w:lvlJc w:val="right"/>
      <w:pPr>
        <w:ind w:left="6600" w:hanging="180"/>
      </w:pPr>
    </w:lvl>
  </w:abstractNum>
  <w:abstractNum w:abstractNumId="51">
    <w:nsid w:val="45F86E5B"/>
    <w:multiLevelType w:val="hybridMultilevel"/>
    <w:tmpl w:val="CE342B5A"/>
    <w:lvl w:ilvl="0" w:tplc="04270001">
      <w:start w:val="1"/>
      <w:numFmt w:val="bullet"/>
      <w:lvlText w:val=""/>
      <w:lvlJc w:val="left"/>
      <w:pPr>
        <w:ind w:left="927" w:hanging="360"/>
      </w:pPr>
      <w:rPr>
        <w:rFonts w:ascii="Symbol" w:hAnsi="Symbol"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52">
    <w:nsid w:val="465B5158"/>
    <w:multiLevelType w:val="hybridMultilevel"/>
    <w:tmpl w:val="C4FA2C8E"/>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53">
    <w:nsid w:val="47A545DA"/>
    <w:multiLevelType w:val="hybridMultilevel"/>
    <w:tmpl w:val="06A8BA02"/>
    <w:lvl w:ilvl="0" w:tplc="84508682">
      <w:start w:val="1"/>
      <w:numFmt w:val="decimal"/>
      <w:lvlText w:val="%1)"/>
      <w:lvlJc w:val="left"/>
      <w:pPr>
        <w:ind w:left="928"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4">
    <w:nsid w:val="485224AC"/>
    <w:multiLevelType w:val="hybridMultilevel"/>
    <w:tmpl w:val="3BDEFCC2"/>
    <w:lvl w:ilvl="0" w:tplc="588ECFCE">
      <w:start w:val="1"/>
      <w:numFmt w:val="decimal"/>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9603292"/>
    <w:multiLevelType w:val="hybridMultilevel"/>
    <w:tmpl w:val="5C56CD7E"/>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6">
    <w:nsid w:val="4B2A5A7B"/>
    <w:multiLevelType w:val="hybridMultilevel"/>
    <w:tmpl w:val="FA38D9A0"/>
    <w:lvl w:ilvl="0" w:tplc="3F38CAB2">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7">
    <w:nsid w:val="4C4A689E"/>
    <w:multiLevelType w:val="hybridMultilevel"/>
    <w:tmpl w:val="F55086D6"/>
    <w:lvl w:ilvl="0" w:tplc="89D8CAC8">
      <w:start w:val="1"/>
      <w:numFmt w:val="decimal"/>
      <w:lvlText w:val="[%1]"/>
      <w:lvlJc w:val="left"/>
      <w:pPr>
        <w:ind w:left="502"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8">
    <w:nsid w:val="4D101A2C"/>
    <w:multiLevelType w:val="hybridMultilevel"/>
    <w:tmpl w:val="E3700260"/>
    <w:lvl w:ilvl="0" w:tplc="04070011">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9">
    <w:nsid w:val="4D4C2DD6"/>
    <w:multiLevelType w:val="hybridMultilevel"/>
    <w:tmpl w:val="838AD1AC"/>
    <w:lvl w:ilvl="0" w:tplc="02D2B1A6">
      <w:start w:val="1"/>
      <w:numFmt w:val="decimal"/>
      <w:lvlText w:val="%1)"/>
      <w:lvlJc w:val="left"/>
      <w:pPr>
        <w:ind w:left="780" w:hanging="360"/>
      </w:pPr>
      <w:rPr>
        <w:rFonts w:ascii="Arial" w:eastAsiaTheme="minorHAnsi" w:hAnsi="Arial" w:cstheme="minorBidi"/>
      </w:rPr>
    </w:lvl>
    <w:lvl w:ilvl="1" w:tplc="04070019" w:tentative="1">
      <w:start w:val="1"/>
      <w:numFmt w:val="lowerLetter"/>
      <w:lvlText w:val="%2."/>
      <w:lvlJc w:val="left"/>
      <w:pPr>
        <w:ind w:left="1500" w:hanging="360"/>
      </w:pPr>
    </w:lvl>
    <w:lvl w:ilvl="2" w:tplc="0407001B" w:tentative="1">
      <w:start w:val="1"/>
      <w:numFmt w:val="lowerRoman"/>
      <w:lvlText w:val="%3."/>
      <w:lvlJc w:val="right"/>
      <w:pPr>
        <w:ind w:left="2220" w:hanging="180"/>
      </w:pPr>
    </w:lvl>
    <w:lvl w:ilvl="3" w:tplc="0407000F" w:tentative="1">
      <w:start w:val="1"/>
      <w:numFmt w:val="decimal"/>
      <w:lvlText w:val="%4."/>
      <w:lvlJc w:val="left"/>
      <w:pPr>
        <w:ind w:left="2940" w:hanging="360"/>
      </w:pPr>
    </w:lvl>
    <w:lvl w:ilvl="4" w:tplc="04070019" w:tentative="1">
      <w:start w:val="1"/>
      <w:numFmt w:val="lowerLetter"/>
      <w:lvlText w:val="%5."/>
      <w:lvlJc w:val="left"/>
      <w:pPr>
        <w:ind w:left="3660" w:hanging="360"/>
      </w:pPr>
    </w:lvl>
    <w:lvl w:ilvl="5" w:tplc="0407001B" w:tentative="1">
      <w:start w:val="1"/>
      <w:numFmt w:val="lowerRoman"/>
      <w:lvlText w:val="%6."/>
      <w:lvlJc w:val="right"/>
      <w:pPr>
        <w:ind w:left="4380" w:hanging="180"/>
      </w:pPr>
    </w:lvl>
    <w:lvl w:ilvl="6" w:tplc="0407000F" w:tentative="1">
      <w:start w:val="1"/>
      <w:numFmt w:val="decimal"/>
      <w:lvlText w:val="%7."/>
      <w:lvlJc w:val="left"/>
      <w:pPr>
        <w:ind w:left="5100" w:hanging="360"/>
      </w:pPr>
    </w:lvl>
    <w:lvl w:ilvl="7" w:tplc="04070019" w:tentative="1">
      <w:start w:val="1"/>
      <w:numFmt w:val="lowerLetter"/>
      <w:lvlText w:val="%8."/>
      <w:lvlJc w:val="left"/>
      <w:pPr>
        <w:ind w:left="5820" w:hanging="360"/>
      </w:pPr>
    </w:lvl>
    <w:lvl w:ilvl="8" w:tplc="0407001B" w:tentative="1">
      <w:start w:val="1"/>
      <w:numFmt w:val="lowerRoman"/>
      <w:lvlText w:val="%9."/>
      <w:lvlJc w:val="right"/>
      <w:pPr>
        <w:ind w:left="6540" w:hanging="180"/>
      </w:pPr>
    </w:lvl>
  </w:abstractNum>
  <w:abstractNum w:abstractNumId="60">
    <w:nsid w:val="50B27548"/>
    <w:multiLevelType w:val="hybridMultilevel"/>
    <w:tmpl w:val="3E5E1E44"/>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61">
    <w:nsid w:val="5236242F"/>
    <w:multiLevelType w:val="hybridMultilevel"/>
    <w:tmpl w:val="CC6CC172"/>
    <w:lvl w:ilvl="0" w:tplc="C6FE80A4">
      <w:start w:val="1"/>
      <w:numFmt w:val="decimal"/>
      <w:lvlText w:val="%1)"/>
      <w:lvlJc w:val="left"/>
      <w:pPr>
        <w:ind w:left="928"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2">
    <w:nsid w:val="524F61CF"/>
    <w:multiLevelType w:val="hybridMultilevel"/>
    <w:tmpl w:val="0510A1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nsid w:val="538A2141"/>
    <w:multiLevelType w:val="hybridMultilevel"/>
    <w:tmpl w:val="396A1DA4"/>
    <w:lvl w:ilvl="0" w:tplc="04070001">
      <w:start w:val="1"/>
      <w:numFmt w:val="bullet"/>
      <w:lvlText w:val=""/>
      <w:lvlJc w:val="left"/>
      <w:pPr>
        <w:ind w:left="720" w:hanging="360"/>
      </w:pPr>
      <w:rPr>
        <w:rFonts w:ascii="Symbol" w:hAnsi="Symbol"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4">
    <w:nsid w:val="542F4F47"/>
    <w:multiLevelType w:val="hybridMultilevel"/>
    <w:tmpl w:val="C5F6063A"/>
    <w:lvl w:ilvl="0" w:tplc="E52425B8">
      <w:start w:val="1"/>
      <w:numFmt w:val="decimal"/>
      <w:pStyle w:val="TABLEAU"/>
      <w:isLgl/>
      <w:lvlText w:val="Tableau  %1  -"/>
      <w:lvlJc w:val="left"/>
      <w:pPr>
        <w:tabs>
          <w:tab w:val="num" w:pos="1701"/>
        </w:tabs>
        <w:ind w:left="1237"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5439552A"/>
    <w:multiLevelType w:val="hybridMultilevel"/>
    <w:tmpl w:val="D1C8792E"/>
    <w:lvl w:ilvl="0" w:tplc="CA4A1E16">
      <w:start w:val="1"/>
      <w:numFmt w:val="bullet"/>
      <w:lvlText w:val=""/>
      <w:lvlJc w:val="left"/>
      <w:pPr>
        <w:tabs>
          <w:tab w:val="num" w:pos="360"/>
        </w:tabs>
        <w:ind w:left="360" w:hanging="360"/>
      </w:pPr>
      <w:rPr>
        <w:rFonts w:ascii="Symbol" w:hAnsi="Symbol" w:hint="default"/>
      </w:rPr>
    </w:lvl>
    <w:lvl w:ilvl="1" w:tplc="8732EF1A">
      <w:start w:val="57"/>
      <w:numFmt w:val="decimal"/>
      <w:pStyle w:val="Paragraph2"/>
      <w:lvlText w:val="3.%2."/>
      <w:lvlJc w:val="left"/>
      <w:pPr>
        <w:tabs>
          <w:tab w:val="num" w:pos="445"/>
        </w:tabs>
        <w:ind w:left="-122"/>
      </w:pPr>
      <w:rPr>
        <w:rFonts w:cs="Times New Roman" w:hint="default"/>
      </w:rPr>
    </w:lvl>
    <w:lvl w:ilvl="2" w:tplc="693EC8CA" w:tentative="1">
      <w:start w:val="1"/>
      <w:numFmt w:val="bullet"/>
      <w:lvlText w:val=""/>
      <w:lvlJc w:val="left"/>
      <w:pPr>
        <w:tabs>
          <w:tab w:val="num" w:pos="1800"/>
        </w:tabs>
        <w:ind w:left="1800" w:hanging="360"/>
      </w:pPr>
      <w:rPr>
        <w:rFonts w:ascii="Wingdings" w:hAnsi="Wingdings" w:hint="default"/>
      </w:rPr>
    </w:lvl>
    <w:lvl w:ilvl="3" w:tplc="753CE08A">
      <w:start w:val="1"/>
      <w:numFmt w:val="bullet"/>
      <w:lvlText w:val=""/>
      <w:lvlJc w:val="left"/>
      <w:pPr>
        <w:tabs>
          <w:tab w:val="num" w:pos="2520"/>
        </w:tabs>
        <w:ind w:left="2520" w:hanging="360"/>
      </w:pPr>
      <w:rPr>
        <w:rFonts w:ascii="Symbol" w:hAnsi="Symbol" w:hint="default"/>
      </w:rPr>
    </w:lvl>
    <w:lvl w:ilvl="4" w:tplc="8C6ECDA6" w:tentative="1">
      <w:start w:val="1"/>
      <w:numFmt w:val="bullet"/>
      <w:lvlText w:val="o"/>
      <w:lvlJc w:val="left"/>
      <w:pPr>
        <w:tabs>
          <w:tab w:val="num" w:pos="3240"/>
        </w:tabs>
        <w:ind w:left="3240" w:hanging="360"/>
      </w:pPr>
      <w:rPr>
        <w:rFonts w:ascii="Courier New" w:hAnsi="Courier New" w:hint="default"/>
      </w:rPr>
    </w:lvl>
    <w:lvl w:ilvl="5" w:tplc="E67261FC" w:tentative="1">
      <w:start w:val="1"/>
      <w:numFmt w:val="bullet"/>
      <w:lvlText w:val=""/>
      <w:lvlJc w:val="left"/>
      <w:pPr>
        <w:tabs>
          <w:tab w:val="num" w:pos="3960"/>
        </w:tabs>
        <w:ind w:left="3960" w:hanging="360"/>
      </w:pPr>
      <w:rPr>
        <w:rFonts w:ascii="Wingdings" w:hAnsi="Wingdings" w:hint="default"/>
      </w:rPr>
    </w:lvl>
    <w:lvl w:ilvl="6" w:tplc="782A75A8" w:tentative="1">
      <w:start w:val="1"/>
      <w:numFmt w:val="bullet"/>
      <w:lvlText w:val=""/>
      <w:lvlJc w:val="left"/>
      <w:pPr>
        <w:tabs>
          <w:tab w:val="num" w:pos="4680"/>
        </w:tabs>
        <w:ind w:left="4680" w:hanging="360"/>
      </w:pPr>
      <w:rPr>
        <w:rFonts w:ascii="Symbol" w:hAnsi="Symbol" w:hint="default"/>
      </w:rPr>
    </w:lvl>
    <w:lvl w:ilvl="7" w:tplc="11623DC2" w:tentative="1">
      <w:start w:val="1"/>
      <w:numFmt w:val="bullet"/>
      <w:lvlText w:val="o"/>
      <w:lvlJc w:val="left"/>
      <w:pPr>
        <w:tabs>
          <w:tab w:val="num" w:pos="5400"/>
        </w:tabs>
        <w:ind w:left="5400" w:hanging="360"/>
      </w:pPr>
      <w:rPr>
        <w:rFonts w:ascii="Courier New" w:hAnsi="Courier New" w:hint="default"/>
      </w:rPr>
    </w:lvl>
    <w:lvl w:ilvl="8" w:tplc="A5B2288E" w:tentative="1">
      <w:start w:val="1"/>
      <w:numFmt w:val="bullet"/>
      <w:lvlText w:val=""/>
      <w:lvlJc w:val="left"/>
      <w:pPr>
        <w:tabs>
          <w:tab w:val="num" w:pos="6120"/>
        </w:tabs>
        <w:ind w:left="6120" w:hanging="360"/>
      </w:pPr>
      <w:rPr>
        <w:rFonts w:ascii="Wingdings" w:hAnsi="Wingdings" w:hint="default"/>
      </w:rPr>
    </w:lvl>
  </w:abstractNum>
  <w:abstractNum w:abstractNumId="66">
    <w:nsid w:val="571A404A"/>
    <w:multiLevelType w:val="hybridMultilevel"/>
    <w:tmpl w:val="3AF8C8C4"/>
    <w:lvl w:ilvl="0" w:tplc="E7C8753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7">
    <w:nsid w:val="580C1256"/>
    <w:multiLevelType w:val="hybridMultilevel"/>
    <w:tmpl w:val="13E8F0DA"/>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8">
    <w:nsid w:val="5841747D"/>
    <w:multiLevelType w:val="hybridMultilevel"/>
    <w:tmpl w:val="67301300"/>
    <w:lvl w:ilvl="0" w:tplc="BA362658">
      <w:start w:val="19"/>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nsid w:val="59101032"/>
    <w:multiLevelType w:val="hybridMultilevel"/>
    <w:tmpl w:val="0E2628A2"/>
    <w:lvl w:ilvl="0" w:tplc="91F0062C">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0">
    <w:nsid w:val="60DE60EB"/>
    <w:multiLevelType w:val="hybridMultilevel"/>
    <w:tmpl w:val="DC16DCA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1">
    <w:nsid w:val="634F2887"/>
    <w:multiLevelType w:val="hybridMultilevel"/>
    <w:tmpl w:val="4A7CDFB8"/>
    <w:lvl w:ilvl="0" w:tplc="040C0015">
      <w:start w:val="1"/>
      <w:numFmt w:val="upp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72">
    <w:nsid w:val="64991848"/>
    <w:multiLevelType w:val="hybridMultilevel"/>
    <w:tmpl w:val="6C50C8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nsid w:val="663A0A42"/>
    <w:multiLevelType w:val="hybridMultilevel"/>
    <w:tmpl w:val="58CAA632"/>
    <w:lvl w:ilvl="0" w:tplc="04070001">
      <w:start w:val="1"/>
      <w:numFmt w:val="bullet"/>
      <w:lvlText w:val=""/>
      <w:lvlJc w:val="left"/>
      <w:pPr>
        <w:ind w:left="720" w:hanging="360"/>
      </w:pPr>
      <w:rPr>
        <w:rFonts w:ascii="Symbol" w:hAnsi="Symbol"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4">
    <w:nsid w:val="663D6FE3"/>
    <w:multiLevelType w:val="hybridMultilevel"/>
    <w:tmpl w:val="2982B5EE"/>
    <w:lvl w:ilvl="0" w:tplc="840408B8">
      <w:start w:val="3"/>
      <w:numFmt w:val="bullet"/>
      <w:lvlText w:val="-"/>
      <w:lvlJc w:val="left"/>
      <w:pPr>
        <w:ind w:left="540" w:hanging="360"/>
      </w:pPr>
      <w:rPr>
        <w:rFonts w:ascii="Trebuchet MS" w:eastAsia="Times New Roman" w:hAnsi="Trebuchet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nsid w:val="6B1A2145"/>
    <w:multiLevelType w:val="hybridMultilevel"/>
    <w:tmpl w:val="4E103100"/>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6">
    <w:nsid w:val="6CD44E17"/>
    <w:multiLevelType w:val="hybridMultilevel"/>
    <w:tmpl w:val="74D21224"/>
    <w:lvl w:ilvl="0" w:tplc="F2BA4B02">
      <w:start w:val="1"/>
      <w:numFmt w:val="decimal"/>
      <w:lvlText w:val="%1)"/>
      <w:lvlJc w:val="left"/>
      <w:pPr>
        <w:ind w:left="928" w:hanging="360"/>
      </w:pPr>
      <w:rPr>
        <w:rFonts w:hint="default"/>
      </w:rPr>
    </w:lvl>
    <w:lvl w:ilvl="1" w:tplc="4E72DFDC">
      <w:numFmt w:val="bullet"/>
      <w:lvlText w:val="•"/>
      <w:lvlJc w:val="left"/>
      <w:pPr>
        <w:ind w:left="1790" w:hanging="710"/>
      </w:pPr>
      <w:rPr>
        <w:rFonts w:ascii="Trebuchet MS" w:eastAsia="Times New Roman" w:hAnsi="Trebuchet MS"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D8303E9"/>
    <w:multiLevelType w:val="hybridMultilevel"/>
    <w:tmpl w:val="6A20E1E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nsid w:val="6DA35BAA"/>
    <w:multiLevelType w:val="hybridMultilevel"/>
    <w:tmpl w:val="B04AA6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nsid w:val="6E796655"/>
    <w:multiLevelType w:val="hybridMultilevel"/>
    <w:tmpl w:val="E3700260"/>
    <w:lvl w:ilvl="0" w:tplc="04070011">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0">
    <w:nsid w:val="70566527"/>
    <w:multiLevelType w:val="hybridMultilevel"/>
    <w:tmpl w:val="B372A53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1">
    <w:nsid w:val="71DA0F3A"/>
    <w:multiLevelType w:val="hybridMultilevel"/>
    <w:tmpl w:val="8F8ECBFE"/>
    <w:lvl w:ilvl="0" w:tplc="D9DC4CC0">
      <w:start w:val="2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
    <w:nsid w:val="720218A3"/>
    <w:multiLevelType w:val="hybridMultilevel"/>
    <w:tmpl w:val="5C56CD7E"/>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3">
    <w:nsid w:val="729041DB"/>
    <w:multiLevelType w:val="hybridMultilevel"/>
    <w:tmpl w:val="66F2A9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nsid w:val="72935190"/>
    <w:multiLevelType w:val="hybridMultilevel"/>
    <w:tmpl w:val="8466D64E"/>
    <w:lvl w:ilvl="0" w:tplc="D4347088">
      <w:start w:val="1"/>
      <w:numFmt w:val="decimal"/>
      <w:pStyle w:val="ASAMPSAtable"/>
      <w:lvlText w:val="Table %1."/>
      <w:lvlJc w:val="left"/>
      <w:pPr>
        <w:tabs>
          <w:tab w:val="num" w:pos="720"/>
        </w:tabs>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72FB56E7"/>
    <w:multiLevelType w:val="multilevel"/>
    <w:tmpl w:val="339EB7AC"/>
    <w:lvl w:ilvl="0">
      <w:start w:val="1"/>
      <w:numFmt w:val="decimal"/>
      <w:pStyle w:val="Question"/>
      <w:lvlText w:val="Question %1."/>
      <w:lvlJc w:val="left"/>
      <w:pPr>
        <w:tabs>
          <w:tab w:val="num" w:pos="1440"/>
        </w:tabs>
        <w:ind w:left="0" w:firstLine="0"/>
      </w:pPr>
      <w:rPr>
        <w:rFonts w:hint="default"/>
        <w:b/>
        <w:i w:val="0"/>
      </w:rPr>
    </w:lvl>
    <w:lvl w:ilvl="1">
      <w:start w:val="1"/>
      <w:numFmt w:val="decimalZero"/>
      <w:isLgl/>
      <w:lvlText w:val="Section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86">
    <w:nsid w:val="732C3C29"/>
    <w:multiLevelType w:val="hybridMultilevel"/>
    <w:tmpl w:val="CE82F318"/>
    <w:lvl w:ilvl="0" w:tplc="DD14022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nsid w:val="73C65200"/>
    <w:multiLevelType w:val="hybridMultilevel"/>
    <w:tmpl w:val="5686B3E8"/>
    <w:lvl w:ilvl="0" w:tplc="80E2F6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nsid w:val="757276BB"/>
    <w:multiLevelType w:val="hybridMultilevel"/>
    <w:tmpl w:val="0E2628A2"/>
    <w:lvl w:ilvl="0" w:tplc="91F0062C">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9">
    <w:nsid w:val="757E362E"/>
    <w:multiLevelType w:val="hybridMultilevel"/>
    <w:tmpl w:val="5C56CD7E"/>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0">
    <w:nsid w:val="76154A50"/>
    <w:multiLevelType w:val="hybridMultilevel"/>
    <w:tmpl w:val="32BCD6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nsid w:val="769F7E3B"/>
    <w:multiLevelType w:val="hybridMultilevel"/>
    <w:tmpl w:val="FC7A6CD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76FE3374"/>
    <w:multiLevelType w:val="hybridMultilevel"/>
    <w:tmpl w:val="39A6E9BC"/>
    <w:lvl w:ilvl="0" w:tplc="04070017">
      <w:start w:val="1"/>
      <w:numFmt w:val="lowerLetter"/>
      <w:lvlText w:val="%1)"/>
      <w:lvlJc w:val="left"/>
      <w:pPr>
        <w:ind w:left="840" w:hanging="360"/>
      </w:pPr>
    </w:lvl>
    <w:lvl w:ilvl="1" w:tplc="04070019" w:tentative="1">
      <w:start w:val="1"/>
      <w:numFmt w:val="lowerLetter"/>
      <w:lvlText w:val="%2."/>
      <w:lvlJc w:val="left"/>
      <w:pPr>
        <w:ind w:left="1560" w:hanging="360"/>
      </w:pPr>
    </w:lvl>
    <w:lvl w:ilvl="2" w:tplc="0407001B" w:tentative="1">
      <w:start w:val="1"/>
      <w:numFmt w:val="lowerRoman"/>
      <w:lvlText w:val="%3."/>
      <w:lvlJc w:val="right"/>
      <w:pPr>
        <w:ind w:left="2280" w:hanging="180"/>
      </w:pPr>
    </w:lvl>
    <w:lvl w:ilvl="3" w:tplc="0407000F" w:tentative="1">
      <w:start w:val="1"/>
      <w:numFmt w:val="decimal"/>
      <w:lvlText w:val="%4."/>
      <w:lvlJc w:val="left"/>
      <w:pPr>
        <w:ind w:left="3000" w:hanging="360"/>
      </w:pPr>
    </w:lvl>
    <w:lvl w:ilvl="4" w:tplc="04070019" w:tentative="1">
      <w:start w:val="1"/>
      <w:numFmt w:val="lowerLetter"/>
      <w:lvlText w:val="%5."/>
      <w:lvlJc w:val="left"/>
      <w:pPr>
        <w:ind w:left="3720" w:hanging="360"/>
      </w:pPr>
    </w:lvl>
    <w:lvl w:ilvl="5" w:tplc="0407001B" w:tentative="1">
      <w:start w:val="1"/>
      <w:numFmt w:val="lowerRoman"/>
      <w:lvlText w:val="%6."/>
      <w:lvlJc w:val="right"/>
      <w:pPr>
        <w:ind w:left="4440" w:hanging="180"/>
      </w:pPr>
    </w:lvl>
    <w:lvl w:ilvl="6" w:tplc="0407000F" w:tentative="1">
      <w:start w:val="1"/>
      <w:numFmt w:val="decimal"/>
      <w:lvlText w:val="%7."/>
      <w:lvlJc w:val="left"/>
      <w:pPr>
        <w:ind w:left="5160" w:hanging="360"/>
      </w:pPr>
    </w:lvl>
    <w:lvl w:ilvl="7" w:tplc="04070019" w:tentative="1">
      <w:start w:val="1"/>
      <w:numFmt w:val="lowerLetter"/>
      <w:lvlText w:val="%8."/>
      <w:lvlJc w:val="left"/>
      <w:pPr>
        <w:ind w:left="5880" w:hanging="360"/>
      </w:pPr>
    </w:lvl>
    <w:lvl w:ilvl="8" w:tplc="0407001B" w:tentative="1">
      <w:start w:val="1"/>
      <w:numFmt w:val="lowerRoman"/>
      <w:lvlText w:val="%9."/>
      <w:lvlJc w:val="right"/>
      <w:pPr>
        <w:ind w:left="6600" w:hanging="180"/>
      </w:pPr>
    </w:lvl>
  </w:abstractNum>
  <w:abstractNum w:abstractNumId="93">
    <w:nsid w:val="7C3A0DEA"/>
    <w:multiLevelType w:val="hybridMultilevel"/>
    <w:tmpl w:val="1FF67D98"/>
    <w:lvl w:ilvl="0" w:tplc="0407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4">
    <w:nsid w:val="7C964797"/>
    <w:multiLevelType w:val="hybridMultilevel"/>
    <w:tmpl w:val="522CD20E"/>
    <w:lvl w:ilvl="0" w:tplc="87927EE8">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5">
    <w:nsid w:val="7D0614F7"/>
    <w:multiLevelType w:val="hybridMultilevel"/>
    <w:tmpl w:val="5AA2622A"/>
    <w:lvl w:ilvl="0" w:tplc="B14E9588">
      <w:start w:val="1"/>
      <w:numFmt w:val="decimal"/>
      <w:pStyle w:val="ASAMPSAReference"/>
      <w:lvlText w:val="[%1]"/>
      <w:lvlJc w:val="left"/>
      <w:pPr>
        <w:tabs>
          <w:tab w:val="num" w:pos="720"/>
        </w:tabs>
        <w:ind w:left="720" w:hanging="720"/>
      </w:pPr>
      <w:rPr>
        <w:rFonts w:cs="Times New Roman" w:hint="default"/>
        <w:b w:val="0"/>
      </w:rPr>
    </w:lvl>
    <w:lvl w:ilvl="1" w:tplc="040C000F">
      <w:start w:val="1"/>
      <w:numFmt w:val="decimal"/>
      <w:lvlText w:val="%2."/>
      <w:lvlJc w:val="left"/>
      <w:pPr>
        <w:tabs>
          <w:tab w:val="num" w:pos="1440"/>
        </w:tabs>
        <w:ind w:left="1440" w:hanging="360"/>
      </w:pPr>
      <w:rPr>
        <w:rFonts w:cs="Times New Roman" w:hint="default"/>
        <w:b w:val="0"/>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96">
    <w:nsid w:val="7E8F0ECF"/>
    <w:multiLevelType w:val="hybridMultilevel"/>
    <w:tmpl w:val="B5ECCDE2"/>
    <w:lvl w:ilvl="0" w:tplc="DFB016D4">
      <w:numFmt w:val="bullet"/>
      <w:lvlText w:val="-"/>
      <w:lvlJc w:val="left"/>
      <w:pPr>
        <w:ind w:left="720" w:hanging="360"/>
      </w:pPr>
      <w:rPr>
        <w:rFonts w:ascii="TimesNewRoman" w:eastAsia="Calibri" w:hAnsi="TimesNewRoman" w:cs="TimesNew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7">
    <w:nsid w:val="7F386D03"/>
    <w:multiLevelType w:val="hybridMultilevel"/>
    <w:tmpl w:val="99BAE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64"/>
  </w:num>
  <w:num w:numId="3">
    <w:abstractNumId w:val="85"/>
  </w:num>
  <w:num w:numId="4">
    <w:abstractNumId w:val="65"/>
  </w:num>
  <w:num w:numId="5">
    <w:abstractNumId w:val="0"/>
  </w:num>
  <w:num w:numId="6">
    <w:abstractNumId w:val="84"/>
  </w:num>
  <w:num w:numId="7">
    <w:abstractNumId w:val="95"/>
  </w:num>
  <w:num w:numId="8">
    <w:abstractNumId w:val="39"/>
  </w:num>
  <w:num w:numId="9">
    <w:abstractNumId w:val="36"/>
  </w:num>
  <w:num w:numId="10">
    <w:abstractNumId w:val="57"/>
  </w:num>
  <w:num w:numId="11">
    <w:abstractNumId w:val="11"/>
  </w:num>
  <w:num w:numId="12">
    <w:abstractNumId w:val="92"/>
  </w:num>
  <w:num w:numId="13">
    <w:abstractNumId w:val="89"/>
  </w:num>
  <w:num w:numId="14">
    <w:abstractNumId w:val="46"/>
  </w:num>
  <w:num w:numId="15">
    <w:abstractNumId w:val="48"/>
  </w:num>
  <w:num w:numId="16">
    <w:abstractNumId w:val="82"/>
  </w:num>
  <w:num w:numId="17">
    <w:abstractNumId w:val="93"/>
  </w:num>
  <w:num w:numId="18">
    <w:abstractNumId w:val="4"/>
  </w:num>
  <w:num w:numId="19">
    <w:abstractNumId w:val="50"/>
  </w:num>
  <w:num w:numId="20">
    <w:abstractNumId w:val="97"/>
  </w:num>
  <w:num w:numId="21">
    <w:abstractNumId w:val="91"/>
  </w:num>
  <w:num w:numId="22">
    <w:abstractNumId w:val="14"/>
  </w:num>
  <w:num w:numId="23">
    <w:abstractNumId w:val="45"/>
  </w:num>
  <w:num w:numId="24">
    <w:abstractNumId w:val="20"/>
  </w:num>
  <w:num w:numId="25">
    <w:abstractNumId w:val="44"/>
  </w:num>
  <w:num w:numId="26">
    <w:abstractNumId w:val="42"/>
  </w:num>
  <w:num w:numId="27">
    <w:abstractNumId w:val="43"/>
  </w:num>
  <w:num w:numId="28">
    <w:abstractNumId w:val="18"/>
  </w:num>
  <w:num w:numId="29">
    <w:abstractNumId w:val="16"/>
  </w:num>
  <w:num w:numId="30">
    <w:abstractNumId w:val="28"/>
  </w:num>
  <w:num w:numId="31">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9"/>
  </w:num>
  <w:num w:numId="33">
    <w:abstractNumId w:val="1"/>
  </w:num>
  <w:num w:numId="34">
    <w:abstractNumId w:val="40"/>
  </w:num>
  <w:num w:numId="35">
    <w:abstractNumId w:val="7"/>
  </w:num>
  <w:num w:numId="36">
    <w:abstractNumId w:val="24"/>
  </w:num>
  <w:num w:numId="37">
    <w:abstractNumId w:val="21"/>
  </w:num>
  <w:num w:numId="38">
    <w:abstractNumId w:val="86"/>
  </w:num>
  <w:num w:numId="39">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2"/>
  </w:num>
  <w:num w:numId="41">
    <w:abstractNumId w:val="5"/>
  </w:num>
  <w:num w:numId="42">
    <w:abstractNumId w:val="55"/>
  </w:num>
  <w:num w:numId="43">
    <w:abstractNumId w:val="47"/>
  </w:num>
  <w:num w:numId="44">
    <w:abstractNumId w:val="17"/>
  </w:num>
  <w:num w:numId="45">
    <w:abstractNumId w:val="75"/>
  </w:num>
  <w:num w:numId="46">
    <w:abstractNumId w:val="67"/>
  </w:num>
  <w:num w:numId="47">
    <w:abstractNumId w:val="83"/>
  </w:num>
  <w:num w:numId="48">
    <w:abstractNumId w:val="72"/>
  </w:num>
  <w:num w:numId="49">
    <w:abstractNumId w:val="70"/>
  </w:num>
  <w:num w:numId="5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2"/>
  </w:num>
  <w:num w:numId="52">
    <w:abstractNumId w:val="80"/>
  </w:num>
  <w:num w:numId="53">
    <w:abstractNumId w:val="35"/>
  </w:num>
  <w:num w:numId="54">
    <w:abstractNumId w:val="90"/>
  </w:num>
  <w:num w:numId="55">
    <w:abstractNumId w:val="68"/>
  </w:num>
  <w:num w:numId="56">
    <w:abstractNumId w:val="15"/>
  </w:num>
  <w:num w:numId="57">
    <w:abstractNumId w:val="81"/>
  </w:num>
  <w:num w:numId="58">
    <w:abstractNumId w:val="74"/>
  </w:num>
  <w:num w:numId="59">
    <w:abstractNumId w:val="34"/>
  </w:num>
  <w:num w:numId="60">
    <w:abstractNumId w:val="78"/>
  </w:num>
  <w:num w:numId="61">
    <w:abstractNumId w:val="29"/>
  </w:num>
  <w:num w:numId="62">
    <w:abstractNumId w:val="22"/>
  </w:num>
  <w:num w:numId="63">
    <w:abstractNumId w:val="12"/>
  </w:num>
  <w:num w:numId="64">
    <w:abstractNumId w:val="77"/>
  </w:num>
  <w:num w:numId="65">
    <w:abstractNumId w:val="19"/>
  </w:num>
  <w:num w:numId="66">
    <w:abstractNumId w:val="49"/>
  </w:num>
  <w:num w:numId="67">
    <w:abstractNumId w:val="23"/>
  </w:num>
  <w:num w:numId="68">
    <w:abstractNumId w:val="13"/>
  </w:num>
  <w:num w:numId="69">
    <w:abstractNumId w:val="33"/>
  </w:num>
  <w:num w:numId="70">
    <w:abstractNumId w:val="69"/>
  </w:num>
  <w:num w:numId="71">
    <w:abstractNumId w:val="8"/>
  </w:num>
  <w:num w:numId="72">
    <w:abstractNumId w:val="73"/>
  </w:num>
  <w:num w:numId="73">
    <w:abstractNumId w:val="66"/>
  </w:num>
  <w:num w:numId="74">
    <w:abstractNumId w:val="56"/>
  </w:num>
  <w:num w:numId="75">
    <w:abstractNumId w:val="9"/>
  </w:num>
  <w:num w:numId="76">
    <w:abstractNumId w:val="41"/>
  </w:num>
  <w:num w:numId="77">
    <w:abstractNumId w:val="63"/>
  </w:num>
  <w:num w:numId="78">
    <w:abstractNumId w:val="26"/>
  </w:num>
  <w:num w:numId="79">
    <w:abstractNumId w:val="58"/>
  </w:num>
  <w:num w:numId="80">
    <w:abstractNumId w:val="3"/>
  </w:num>
  <w:num w:numId="81">
    <w:abstractNumId w:val="79"/>
  </w:num>
  <w:num w:numId="82">
    <w:abstractNumId w:val="2"/>
  </w:num>
  <w:num w:numId="83">
    <w:abstractNumId w:val="30"/>
  </w:num>
  <w:num w:numId="84">
    <w:abstractNumId w:val="27"/>
  </w:num>
  <w:num w:numId="85">
    <w:abstractNumId w:val="96"/>
  </w:num>
  <w:num w:numId="86">
    <w:abstractNumId w:val="38"/>
  </w:num>
  <w:num w:numId="87">
    <w:abstractNumId w:val="88"/>
  </w:num>
  <w:num w:numId="88">
    <w:abstractNumId w:val="32"/>
  </w:num>
  <w:num w:numId="89">
    <w:abstractNumId w:val="76"/>
  </w:num>
  <w:num w:numId="90">
    <w:abstractNumId w:val="54"/>
  </w:num>
  <w:num w:numId="91">
    <w:abstractNumId w:val="10"/>
  </w:num>
  <w:num w:numId="92">
    <w:abstractNumId w:val="51"/>
  </w:num>
  <w:num w:numId="93">
    <w:abstractNumId w:val="31"/>
  </w:num>
  <w:num w:numId="94">
    <w:abstractNumId w:val="53"/>
  </w:num>
  <w:num w:numId="95">
    <w:abstractNumId w:val="61"/>
  </w:num>
  <w:num w:numId="96">
    <w:abstractNumId w:val="37"/>
  </w:num>
  <w:num w:numId="97">
    <w:abstractNumId w:val="94"/>
  </w:num>
  <w:numIdMacAtCleanup w:val="9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obertas">
    <w15:presenceInfo w15:providerId="None" w15:userId="Roberta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rawingGridHorizontalSpacing w:val="100"/>
  <w:displayHorizontalDrawingGridEvery w:val="2"/>
  <w:displayVerticalDrawingGridEvery w:val="2"/>
  <w:noPunctuationKerning/>
  <w:characterSpacingControl w:val="doNotCompress"/>
  <w:hdrShapeDefaults>
    <o:shapedefaults v:ext="edit" spidmax="8193" style="mso-position-vertical-relative:line" fill="f" fillcolor="white" stroke="f">
      <v:fill color="white" on="f"/>
      <v:stroke on="f"/>
      <o:colormru v:ext="edit" colors="#fd18b9,#fd181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058D"/>
    <w:rsid w:val="000004E3"/>
    <w:rsid w:val="00000C08"/>
    <w:rsid w:val="00000F57"/>
    <w:rsid w:val="00001533"/>
    <w:rsid w:val="00002842"/>
    <w:rsid w:val="00004AC6"/>
    <w:rsid w:val="00005486"/>
    <w:rsid w:val="000055AF"/>
    <w:rsid w:val="00005F9B"/>
    <w:rsid w:val="000077FE"/>
    <w:rsid w:val="00010C81"/>
    <w:rsid w:val="00011CA9"/>
    <w:rsid w:val="00012DA5"/>
    <w:rsid w:val="00015310"/>
    <w:rsid w:val="00015399"/>
    <w:rsid w:val="00015AF0"/>
    <w:rsid w:val="00015AF9"/>
    <w:rsid w:val="00016138"/>
    <w:rsid w:val="00016F1D"/>
    <w:rsid w:val="0002000D"/>
    <w:rsid w:val="00020194"/>
    <w:rsid w:val="000201F0"/>
    <w:rsid w:val="000211C4"/>
    <w:rsid w:val="000212B6"/>
    <w:rsid w:val="000221B1"/>
    <w:rsid w:val="00022226"/>
    <w:rsid w:val="00022BDC"/>
    <w:rsid w:val="000242B6"/>
    <w:rsid w:val="00026241"/>
    <w:rsid w:val="00026DF8"/>
    <w:rsid w:val="0002740F"/>
    <w:rsid w:val="00027611"/>
    <w:rsid w:val="00027858"/>
    <w:rsid w:val="00030403"/>
    <w:rsid w:val="00031DD5"/>
    <w:rsid w:val="000338CA"/>
    <w:rsid w:val="00035364"/>
    <w:rsid w:val="00036565"/>
    <w:rsid w:val="00037195"/>
    <w:rsid w:val="000372C9"/>
    <w:rsid w:val="00037A67"/>
    <w:rsid w:val="00037C8D"/>
    <w:rsid w:val="00037F07"/>
    <w:rsid w:val="000402C4"/>
    <w:rsid w:val="0004051D"/>
    <w:rsid w:val="00040AFF"/>
    <w:rsid w:val="00040E2F"/>
    <w:rsid w:val="000420B3"/>
    <w:rsid w:val="00043E7F"/>
    <w:rsid w:val="00043FEA"/>
    <w:rsid w:val="0004443C"/>
    <w:rsid w:val="00047954"/>
    <w:rsid w:val="0005073B"/>
    <w:rsid w:val="00050B3D"/>
    <w:rsid w:val="00052E5A"/>
    <w:rsid w:val="00053411"/>
    <w:rsid w:val="00054416"/>
    <w:rsid w:val="00055452"/>
    <w:rsid w:val="00055D70"/>
    <w:rsid w:val="000571A4"/>
    <w:rsid w:val="00060D5A"/>
    <w:rsid w:val="00060FCA"/>
    <w:rsid w:val="00061343"/>
    <w:rsid w:val="00061397"/>
    <w:rsid w:val="0006161D"/>
    <w:rsid w:val="00061871"/>
    <w:rsid w:val="00061BF5"/>
    <w:rsid w:val="00061DDE"/>
    <w:rsid w:val="00062A80"/>
    <w:rsid w:val="00064C01"/>
    <w:rsid w:val="00064CF8"/>
    <w:rsid w:val="00065623"/>
    <w:rsid w:val="00066246"/>
    <w:rsid w:val="00066D4E"/>
    <w:rsid w:val="00067EAC"/>
    <w:rsid w:val="00067EE1"/>
    <w:rsid w:val="0007032D"/>
    <w:rsid w:val="00071517"/>
    <w:rsid w:val="0007246C"/>
    <w:rsid w:val="000731D8"/>
    <w:rsid w:val="00073DED"/>
    <w:rsid w:val="000762CB"/>
    <w:rsid w:val="0007683B"/>
    <w:rsid w:val="000770C8"/>
    <w:rsid w:val="00080288"/>
    <w:rsid w:val="00080898"/>
    <w:rsid w:val="00082052"/>
    <w:rsid w:val="0008248F"/>
    <w:rsid w:val="00083CDC"/>
    <w:rsid w:val="00083EA7"/>
    <w:rsid w:val="00083FD1"/>
    <w:rsid w:val="00084365"/>
    <w:rsid w:val="000905EA"/>
    <w:rsid w:val="00090C7F"/>
    <w:rsid w:val="00091054"/>
    <w:rsid w:val="0009121A"/>
    <w:rsid w:val="000914BC"/>
    <w:rsid w:val="00091748"/>
    <w:rsid w:val="0009180F"/>
    <w:rsid w:val="000926E3"/>
    <w:rsid w:val="0009502E"/>
    <w:rsid w:val="00097771"/>
    <w:rsid w:val="0009793E"/>
    <w:rsid w:val="000A0141"/>
    <w:rsid w:val="000A0640"/>
    <w:rsid w:val="000A309B"/>
    <w:rsid w:val="000A4B0C"/>
    <w:rsid w:val="000A4BE0"/>
    <w:rsid w:val="000A6243"/>
    <w:rsid w:val="000A6E26"/>
    <w:rsid w:val="000A7FC6"/>
    <w:rsid w:val="000B0446"/>
    <w:rsid w:val="000B0499"/>
    <w:rsid w:val="000B1310"/>
    <w:rsid w:val="000B23D9"/>
    <w:rsid w:val="000B2BEA"/>
    <w:rsid w:val="000B43A3"/>
    <w:rsid w:val="000B6021"/>
    <w:rsid w:val="000B61A5"/>
    <w:rsid w:val="000B6C9A"/>
    <w:rsid w:val="000C1715"/>
    <w:rsid w:val="000C3057"/>
    <w:rsid w:val="000C36DB"/>
    <w:rsid w:val="000C4692"/>
    <w:rsid w:val="000C4820"/>
    <w:rsid w:val="000C4D4A"/>
    <w:rsid w:val="000C547A"/>
    <w:rsid w:val="000C5FF2"/>
    <w:rsid w:val="000C67E1"/>
    <w:rsid w:val="000C7670"/>
    <w:rsid w:val="000C7C8A"/>
    <w:rsid w:val="000D069F"/>
    <w:rsid w:val="000D19FD"/>
    <w:rsid w:val="000D387F"/>
    <w:rsid w:val="000D3D4D"/>
    <w:rsid w:val="000D48ED"/>
    <w:rsid w:val="000D53A3"/>
    <w:rsid w:val="000D7597"/>
    <w:rsid w:val="000E05A9"/>
    <w:rsid w:val="000E09FE"/>
    <w:rsid w:val="000E1BF4"/>
    <w:rsid w:val="000E371C"/>
    <w:rsid w:val="000E3C1A"/>
    <w:rsid w:val="000E427E"/>
    <w:rsid w:val="000E47B7"/>
    <w:rsid w:val="000E4F25"/>
    <w:rsid w:val="000E5DBA"/>
    <w:rsid w:val="000E6DC6"/>
    <w:rsid w:val="000E7B29"/>
    <w:rsid w:val="000E7B93"/>
    <w:rsid w:val="000F3344"/>
    <w:rsid w:val="000F4807"/>
    <w:rsid w:val="000F550F"/>
    <w:rsid w:val="000F60F4"/>
    <w:rsid w:val="000F7588"/>
    <w:rsid w:val="000F7A8C"/>
    <w:rsid w:val="00101792"/>
    <w:rsid w:val="0010198F"/>
    <w:rsid w:val="00101AE7"/>
    <w:rsid w:val="00101DFF"/>
    <w:rsid w:val="00102AD6"/>
    <w:rsid w:val="00102BF2"/>
    <w:rsid w:val="00102F44"/>
    <w:rsid w:val="00102F65"/>
    <w:rsid w:val="00103020"/>
    <w:rsid w:val="0010368B"/>
    <w:rsid w:val="00103DD1"/>
    <w:rsid w:val="00104222"/>
    <w:rsid w:val="00104643"/>
    <w:rsid w:val="0010550F"/>
    <w:rsid w:val="00105DEE"/>
    <w:rsid w:val="001071A4"/>
    <w:rsid w:val="00107509"/>
    <w:rsid w:val="001104C9"/>
    <w:rsid w:val="00111054"/>
    <w:rsid w:val="00111299"/>
    <w:rsid w:val="001113F6"/>
    <w:rsid w:val="001122EA"/>
    <w:rsid w:val="00113957"/>
    <w:rsid w:val="00113C60"/>
    <w:rsid w:val="00113F1E"/>
    <w:rsid w:val="00113F3E"/>
    <w:rsid w:val="00114273"/>
    <w:rsid w:val="00114C42"/>
    <w:rsid w:val="00114F3C"/>
    <w:rsid w:val="001150D4"/>
    <w:rsid w:val="00115286"/>
    <w:rsid w:val="001157FB"/>
    <w:rsid w:val="001161AB"/>
    <w:rsid w:val="00116DB3"/>
    <w:rsid w:val="001172AC"/>
    <w:rsid w:val="0012087D"/>
    <w:rsid w:val="00120B39"/>
    <w:rsid w:val="00121477"/>
    <w:rsid w:val="00122A12"/>
    <w:rsid w:val="00123222"/>
    <w:rsid w:val="0012358D"/>
    <w:rsid w:val="001256B3"/>
    <w:rsid w:val="00125AF4"/>
    <w:rsid w:val="00127E33"/>
    <w:rsid w:val="001316C0"/>
    <w:rsid w:val="00131D03"/>
    <w:rsid w:val="001331C8"/>
    <w:rsid w:val="001335D5"/>
    <w:rsid w:val="00133899"/>
    <w:rsid w:val="00135E9C"/>
    <w:rsid w:val="00136A1E"/>
    <w:rsid w:val="00136D07"/>
    <w:rsid w:val="001372B2"/>
    <w:rsid w:val="001378EC"/>
    <w:rsid w:val="00137DD7"/>
    <w:rsid w:val="00140869"/>
    <w:rsid w:val="0014127E"/>
    <w:rsid w:val="00142209"/>
    <w:rsid w:val="00143F9D"/>
    <w:rsid w:val="0014434A"/>
    <w:rsid w:val="0014460E"/>
    <w:rsid w:val="00144858"/>
    <w:rsid w:val="00144BAC"/>
    <w:rsid w:val="00150F4C"/>
    <w:rsid w:val="001525ED"/>
    <w:rsid w:val="00155258"/>
    <w:rsid w:val="0015600A"/>
    <w:rsid w:val="00156AB9"/>
    <w:rsid w:val="0015717F"/>
    <w:rsid w:val="0016160D"/>
    <w:rsid w:val="00161A35"/>
    <w:rsid w:val="0016352D"/>
    <w:rsid w:val="0016504A"/>
    <w:rsid w:val="00165101"/>
    <w:rsid w:val="001659CF"/>
    <w:rsid w:val="00165E1F"/>
    <w:rsid w:val="001662AF"/>
    <w:rsid w:val="00166AA3"/>
    <w:rsid w:val="00166F2E"/>
    <w:rsid w:val="0016760B"/>
    <w:rsid w:val="00167660"/>
    <w:rsid w:val="00167717"/>
    <w:rsid w:val="001707DF"/>
    <w:rsid w:val="0017102D"/>
    <w:rsid w:val="00171CF0"/>
    <w:rsid w:val="00172B25"/>
    <w:rsid w:val="0017545A"/>
    <w:rsid w:val="00175806"/>
    <w:rsid w:val="00176C44"/>
    <w:rsid w:val="00180941"/>
    <w:rsid w:val="00180DE6"/>
    <w:rsid w:val="00181748"/>
    <w:rsid w:val="00181EE2"/>
    <w:rsid w:val="00182525"/>
    <w:rsid w:val="0018370E"/>
    <w:rsid w:val="00183B1F"/>
    <w:rsid w:val="001841B0"/>
    <w:rsid w:val="00185445"/>
    <w:rsid w:val="00185EFB"/>
    <w:rsid w:val="00186E04"/>
    <w:rsid w:val="00187176"/>
    <w:rsid w:val="0019127C"/>
    <w:rsid w:val="00192153"/>
    <w:rsid w:val="001924C0"/>
    <w:rsid w:val="001928BF"/>
    <w:rsid w:val="0019297D"/>
    <w:rsid w:val="001929BD"/>
    <w:rsid w:val="0019395C"/>
    <w:rsid w:val="00193DF5"/>
    <w:rsid w:val="001942DF"/>
    <w:rsid w:val="00195332"/>
    <w:rsid w:val="0019554F"/>
    <w:rsid w:val="00195773"/>
    <w:rsid w:val="00195B42"/>
    <w:rsid w:val="001969D4"/>
    <w:rsid w:val="001973DA"/>
    <w:rsid w:val="001976E4"/>
    <w:rsid w:val="001A0D3A"/>
    <w:rsid w:val="001A1230"/>
    <w:rsid w:val="001A19D8"/>
    <w:rsid w:val="001A3C79"/>
    <w:rsid w:val="001A400E"/>
    <w:rsid w:val="001A450D"/>
    <w:rsid w:val="001A481F"/>
    <w:rsid w:val="001A4941"/>
    <w:rsid w:val="001A6309"/>
    <w:rsid w:val="001A680F"/>
    <w:rsid w:val="001A6B19"/>
    <w:rsid w:val="001A782F"/>
    <w:rsid w:val="001B07DB"/>
    <w:rsid w:val="001B08F4"/>
    <w:rsid w:val="001B142C"/>
    <w:rsid w:val="001B2C59"/>
    <w:rsid w:val="001B3B6E"/>
    <w:rsid w:val="001B3E17"/>
    <w:rsid w:val="001B44C9"/>
    <w:rsid w:val="001B563D"/>
    <w:rsid w:val="001B59BB"/>
    <w:rsid w:val="001B59D9"/>
    <w:rsid w:val="001B7918"/>
    <w:rsid w:val="001C0ED3"/>
    <w:rsid w:val="001C2577"/>
    <w:rsid w:val="001C390F"/>
    <w:rsid w:val="001C3CBA"/>
    <w:rsid w:val="001C44C8"/>
    <w:rsid w:val="001C52EA"/>
    <w:rsid w:val="001C59CE"/>
    <w:rsid w:val="001C5C9D"/>
    <w:rsid w:val="001C5E89"/>
    <w:rsid w:val="001C6392"/>
    <w:rsid w:val="001C6EA2"/>
    <w:rsid w:val="001C7228"/>
    <w:rsid w:val="001D0FA3"/>
    <w:rsid w:val="001D1BF0"/>
    <w:rsid w:val="001D290B"/>
    <w:rsid w:val="001D3C93"/>
    <w:rsid w:val="001D4E25"/>
    <w:rsid w:val="001D5148"/>
    <w:rsid w:val="001D54F7"/>
    <w:rsid w:val="001D5A87"/>
    <w:rsid w:val="001D77E0"/>
    <w:rsid w:val="001E0AAB"/>
    <w:rsid w:val="001E0F01"/>
    <w:rsid w:val="001E26AA"/>
    <w:rsid w:val="001E2AB2"/>
    <w:rsid w:val="001E2EDC"/>
    <w:rsid w:val="001E3653"/>
    <w:rsid w:val="001E3D4C"/>
    <w:rsid w:val="001E56D8"/>
    <w:rsid w:val="001E5CC0"/>
    <w:rsid w:val="001E6663"/>
    <w:rsid w:val="001E682C"/>
    <w:rsid w:val="001E7020"/>
    <w:rsid w:val="001F08EF"/>
    <w:rsid w:val="001F1F86"/>
    <w:rsid w:val="001F2D9E"/>
    <w:rsid w:val="001F3FA2"/>
    <w:rsid w:val="001F43FD"/>
    <w:rsid w:val="001F4482"/>
    <w:rsid w:val="001F48DA"/>
    <w:rsid w:val="001F5560"/>
    <w:rsid w:val="001F634E"/>
    <w:rsid w:val="001F64E7"/>
    <w:rsid w:val="001F6DCE"/>
    <w:rsid w:val="001F76B8"/>
    <w:rsid w:val="001F7F9A"/>
    <w:rsid w:val="00201758"/>
    <w:rsid w:val="00202701"/>
    <w:rsid w:val="00203093"/>
    <w:rsid w:val="002040BA"/>
    <w:rsid w:val="00204DE9"/>
    <w:rsid w:val="0020525F"/>
    <w:rsid w:val="00205F39"/>
    <w:rsid w:val="0020619F"/>
    <w:rsid w:val="00211E63"/>
    <w:rsid w:val="0021705F"/>
    <w:rsid w:val="00217650"/>
    <w:rsid w:val="002206D4"/>
    <w:rsid w:val="002217FB"/>
    <w:rsid w:val="00222401"/>
    <w:rsid w:val="002235D6"/>
    <w:rsid w:val="00224500"/>
    <w:rsid w:val="00224F4D"/>
    <w:rsid w:val="002255F7"/>
    <w:rsid w:val="00225D86"/>
    <w:rsid w:val="00225EBF"/>
    <w:rsid w:val="002268CD"/>
    <w:rsid w:val="00226C1B"/>
    <w:rsid w:val="00226EBD"/>
    <w:rsid w:val="002270C8"/>
    <w:rsid w:val="00227363"/>
    <w:rsid w:val="00230484"/>
    <w:rsid w:val="00230D13"/>
    <w:rsid w:val="00231A4D"/>
    <w:rsid w:val="0023278B"/>
    <w:rsid w:val="00234E96"/>
    <w:rsid w:val="0023526F"/>
    <w:rsid w:val="0023630E"/>
    <w:rsid w:val="00236466"/>
    <w:rsid w:val="0023657A"/>
    <w:rsid w:val="002368DF"/>
    <w:rsid w:val="0023705A"/>
    <w:rsid w:val="002373DB"/>
    <w:rsid w:val="00241B6D"/>
    <w:rsid w:val="00241CB3"/>
    <w:rsid w:val="002427C1"/>
    <w:rsid w:val="00242B4F"/>
    <w:rsid w:val="00242DC8"/>
    <w:rsid w:val="002448C5"/>
    <w:rsid w:val="00245561"/>
    <w:rsid w:val="00245A2E"/>
    <w:rsid w:val="00245A8E"/>
    <w:rsid w:val="00245CDB"/>
    <w:rsid w:val="002465DD"/>
    <w:rsid w:val="002469FC"/>
    <w:rsid w:val="00246D96"/>
    <w:rsid w:val="002470EE"/>
    <w:rsid w:val="002472A0"/>
    <w:rsid w:val="00250255"/>
    <w:rsid w:val="00250367"/>
    <w:rsid w:val="00251A9A"/>
    <w:rsid w:val="002521F4"/>
    <w:rsid w:val="002530A5"/>
    <w:rsid w:val="00253691"/>
    <w:rsid w:val="00253CB1"/>
    <w:rsid w:val="00255315"/>
    <w:rsid w:val="00255BDD"/>
    <w:rsid w:val="00255D0C"/>
    <w:rsid w:val="00256251"/>
    <w:rsid w:val="002569FE"/>
    <w:rsid w:val="00257148"/>
    <w:rsid w:val="0025736E"/>
    <w:rsid w:val="00257B1F"/>
    <w:rsid w:val="00257DC3"/>
    <w:rsid w:val="0026061B"/>
    <w:rsid w:val="00260F1C"/>
    <w:rsid w:val="00261653"/>
    <w:rsid w:val="00261CFB"/>
    <w:rsid w:val="0026201A"/>
    <w:rsid w:val="00262373"/>
    <w:rsid w:val="00262572"/>
    <w:rsid w:val="0026268D"/>
    <w:rsid w:val="00262839"/>
    <w:rsid w:val="00263B50"/>
    <w:rsid w:val="00263F2D"/>
    <w:rsid w:val="0026423A"/>
    <w:rsid w:val="00264C9B"/>
    <w:rsid w:val="00264CE0"/>
    <w:rsid w:val="00266182"/>
    <w:rsid w:val="002669BF"/>
    <w:rsid w:val="00266D90"/>
    <w:rsid w:val="00267632"/>
    <w:rsid w:val="00270189"/>
    <w:rsid w:val="00270D11"/>
    <w:rsid w:val="00270FB7"/>
    <w:rsid w:val="0027152C"/>
    <w:rsid w:val="0027255B"/>
    <w:rsid w:val="00272C3A"/>
    <w:rsid w:val="00273113"/>
    <w:rsid w:val="00273854"/>
    <w:rsid w:val="00274B1C"/>
    <w:rsid w:val="00274DEE"/>
    <w:rsid w:val="0027676D"/>
    <w:rsid w:val="00276813"/>
    <w:rsid w:val="00276E38"/>
    <w:rsid w:val="00277D82"/>
    <w:rsid w:val="00277EB0"/>
    <w:rsid w:val="00280330"/>
    <w:rsid w:val="002813F0"/>
    <w:rsid w:val="00281A20"/>
    <w:rsid w:val="00285C46"/>
    <w:rsid w:val="002871B4"/>
    <w:rsid w:val="00287716"/>
    <w:rsid w:val="00287726"/>
    <w:rsid w:val="00287B2F"/>
    <w:rsid w:val="00287EA0"/>
    <w:rsid w:val="002901F1"/>
    <w:rsid w:val="00290485"/>
    <w:rsid w:val="00290823"/>
    <w:rsid w:val="0029169D"/>
    <w:rsid w:val="00291CDE"/>
    <w:rsid w:val="00291E3F"/>
    <w:rsid w:val="00292131"/>
    <w:rsid w:val="002929B0"/>
    <w:rsid w:val="00292AED"/>
    <w:rsid w:val="00293E26"/>
    <w:rsid w:val="00294BD6"/>
    <w:rsid w:val="002952B4"/>
    <w:rsid w:val="00295AAC"/>
    <w:rsid w:val="00295BAB"/>
    <w:rsid w:val="00296128"/>
    <w:rsid w:val="002A0173"/>
    <w:rsid w:val="002A050B"/>
    <w:rsid w:val="002A0AC2"/>
    <w:rsid w:val="002A0C61"/>
    <w:rsid w:val="002A1A4A"/>
    <w:rsid w:val="002A23CB"/>
    <w:rsid w:val="002A4823"/>
    <w:rsid w:val="002A4DA1"/>
    <w:rsid w:val="002A6097"/>
    <w:rsid w:val="002A63FB"/>
    <w:rsid w:val="002B17ED"/>
    <w:rsid w:val="002B2D1E"/>
    <w:rsid w:val="002B37C9"/>
    <w:rsid w:val="002B48CF"/>
    <w:rsid w:val="002B5E85"/>
    <w:rsid w:val="002B67BF"/>
    <w:rsid w:val="002C1376"/>
    <w:rsid w:val="002C15E7"/>
    <w:rsid w:val="002C271A"/>
    <w:rsid w:val="002C28AD"/>
    <w:rsid w:val="002C2E16"/>
    <w:rsid w:val="002C3DA8"/>
    <w:rsid w:val="002C7C99"/>
    <w:rsid w:val="002D0BD0"/>
    <w:rsid w:val="002D0DE9"/>
    <w:rsid w:val="002D12FE"/>
    <w:rsid w:val="002D22CF"/>
    <w:rsid w:val="002D30B3"/>
    <w:rsid w:val="002D3BEB"/>
    <w:rsid w:val="002D4B44"/>
    <w:rsid w:val="002D57AD"/>
    <w:rsid w:val="002D58F8"/>
    <w:rsid w:val="002D651B"/>
    <w:rsid w:val="002D68F3"/>
    <w:rsid w:val="002D7539"/>
    <w:rsid w:val="002E02F8"/>
    <w:rsid w:val="002E0891"/>
    <w:rsid w:val="002E0D27"/>
    <w:rsid w:val="002E0D5F"/>
    <w:rsid w:val="002E1E89"/>
    <w:rsid w:val="002E23FE"/>
    <w:rsid w:val="002E31AA"/>
    <w:rsid w:val="002E31CB"/>
    <w:rsid w:val="002E32A0"/>
    <w:rsid w:val="002E3C7D"/>
    <w:rsid w:val="002E3D4E"/>
    <w:rsid w:val="002E4F29"/>
    <w:rsid w:val="002E504D"/>
    <w:rsid w:val="002E5DA0"/>
    <w:rsid w:val="002E5E0A"/>
    <w:rsid w:val="002E5F6F"/>
    <w:rsid w:val="002E6464"/>
    <w:rsid w:val="002E69EC"/>
    <w:rsid w:val="002E7481"/>
    <w:rsid w:val="002E793E"/>
    <w:rsid w:val="002E7D27"/>
    <w:rsid w:val="002E7D55"/>
    <w:rsid w:val="002F05B7"/>
    <w:rsid w:val="002F0B87"/>
    <w:rsid w:val="002F2521"/>
    <w:rsid w:val="002F25DB"/>
    <w:rsid w:val="002F363E"/>
    <w:rsid w:val="002F4059"/>
    <w:rsid w:val="002F5056"/>
    <w:rsid w:val="002F52EC"/>
    <w:rsid w:val="002F5E50"/>
    <w:rsid w:val="002F62B9"/>
    <w:rsid w:val="00301D06"/>
    <w:rsid w:val="0030263A"/>
    <w:rsid w:val="003040C2"/>
    <w:rsid w:val="00304D8A"/>
    <w:rsid w:val="0030597E"/>
    <w:rsid w:val="003066D2"/>
    <w:rsid w:val="0030782D"/>
    <w:rsid w:val="00307A1B"/>
    <w:rsid w:val="00311E9E"/>
    <w:rsid w:val="003122BF"/>
    <w:rsid w:val="00312C18"/>
    <w:rsid w:val="003134EB"/>
    <w:rsid w:val="00313E54"/>
    <w:rsid w:val="00314465"/>
    <w:rsid w:val="00314711"/>
    <w:rsid w:val="003154E4"/>
    <w:rsid w:val="00316D01"/>
    <w:rsid w:val="00316FDF"/>
    <w:rsid w:val="00317140"/>
    <w:rsid w:val="00317481"/>
    <w:rsid w:val="00322927"/>
    <w:rsid w:val="00323388"/>
    <w:rsid w:val="00323C1B"/>
    <w:rsid w:val="003250AB"/>
    <w:rsid w:val="003251F0"/>
    <w:rsid w:val="003257A9"/>
    <w:rsid w:val="00326521"/>
    <w:rsid w:val="0032664E"/>
    <w:rsid w:val="0032679B"/>
    <w:rsid w:val="00327EFE"/>
    <w:rsid w:val="00330708"/>
    <w:rsid w:val="00330737"/>
    <w:rsid w:val="00330739"/>
    <w:rsid w:val="00331886"/>
    <w:rsid w:val="00331FAD"/>
    <w:rsid w:val="00333130"/>
    <w:rsid w:val="003347EC"/>
    <w:rsid w:val="00334AC9"/>
    <w:rsid w:val="00335E2A"/>
    <w:rsid w:val="00336979"/>
    <w:rsid w:val="003374BC"/>
    <w:rsid w:val="00340722"/>
    <w:rsid w:val="00340DDC"/>
    <w:rsid w:val="00340E4C"/>
    <w:rsid w:val="00341A0D"/>
    <w:rsid w:val="00341A43"/>
    <w:rsid w:val="00342076"/>
    <w:rsid w:val="00342644"/>
    <w:rsid w:val="00342A71"/>
    <w:rsid w:val="00342AEB"/>
    <w:rsid w:val="00342B82"/>
    <w:rsid w:val="003435A0"/>
    <w:rsid w:val="0034773C"/>
    <w:rsid w:val="003518B2"/>
    <w:rsid w:val="00352955"/>
    <w:rsid w:val="0035694D"/>
    <w:rsid w:val="0036033C"/>
    <w:rsid w:val="00360790"/>
    <w:rsid w:val="003609E0"/>
    <w:rsid w:val="00360B10"/>
    <w:rsid w:val="00361571"/>
    <w:rsid w:val="00363700"/>
    <w:rsid w:val="00365090"/>
    <w:rsid w:val="00365444"/>
    <w:rsid w:val="0036652D"/>
    <w:rsid w:val="00367B62"/>
    <w:rsid w:val="003716DD"/>
    <w:rsid w:val="003732C9"/>
    <w:rsid w:val="003734EF"/>
    <w:rsid w:val="00373D70"/>
    <w:rsid w:val="0037417B"/>
    <w:rsid w:val="003743FB"/>
    <w:rsid w:val="003763C0"/>
    <w:rsid w:val="00376EBA"/>
    <w:rsid w:val="00377FD1"/>
    <w:rsid w:val="003802BB"/>
    <w:rsid w:val="00380FFA"/>
    <w:rsid w:val="0038254F"/>
    <w:rsid w:val="00383446"/>
    <w:rsid w:val="00383C76"/>
    <w:rsid w:val="00384102"/>
    <w:rsid w:val="00385043"/>
    <w:rsid w:val="003869FD"/>
    <w:rsid w:val="00386ACC"/>
    <w:rsid w:val="00386D10"/>
    <w:rsid w:val="00390CAA"/>
    <w:rsid w:val="003916AE"/>
    <w:rsid w:val="00395086"/>
    <w:rsid w:val="003953A7"/>
    <w:rsid w:val="00395AF9"/>
    <w:rsid w:val="00396EB8"/>
    <w:rsid w:val="003972F6"/>
    <w:rsid w:val="00397323"/>
    <w:rsid w:val="00397DBB"/>
    <w:rsid w:val="003A47BC"/>
    <w:rsid w:val="003A54E7"/>
    <w:rsid w:val="003A5817"/>
    <w:rsid w:val="003A5C51"/>
    <w:rsid w:val="003A63B1"/>
    <w:rsid w:val="003A7105"/>
    <w:rsid w:val="003A72E4"/>
    <w:rsid w:val="003A7B07"/>
    <w:rsid w:val="003B0C10"/>
    <w:rsid w:val="003B17B4"/>
    <w:rsid w:val="003B21F2"/>
    <w:rsid w:val="003B242D"/>
    <w:rsid w:val="003B2532"/>
    <w:rsid w:val="003B60C8"/>
    <w:rsid w:val="003C04C3"/>
    <w:rsid w:val="003C0FA3"/>
    <w:rsid w:val="003C1FAF"/>
    <w:rsid w:val="003C3501"/>
    <w:rsid w:val="003C5A37"/>
    <w:rsid w:val="003C6534"/>
    <w:rsid w:val="003C68AD"/>
    <w:rsid w:val="003C6D37"/>
    <w:rsid w:val="003C7901"/>
    <w:rsid w:val="003C7D90"/>
    <w:rsid w:val="003D24F3"/>
    <w:rsid w:val="003D2614"/>
    <w:rsid w:val="003D2818"/>
    <w:rsid w:val="003D397D"/>
    <w:rsid w:val="003D4D37"/>
    <w:rsid w:val="003D5419"/>
    <w:rsid w:val="003D5B13"/>
    <w:rsid w:val="003D6509"/>
    <w:rsid w:val="003D7375"/>
    <w:rsid w:val="003D799E"/>
    <w:rsid w:val="003D7FD5"/>
    <w:rsid w:val="003E3B9C"/>
    <w:rsid w:val="003E40E4"/>
    <w:rsid w:val="003E4972"/>
    <w:rsid w:val="003E5013"/>
    <w:rsid w:val="003E69C3"/>
    <w:rsid w:val="003E7A7D"/>
    <w:rsid w:val="003E7CA8"/>
    <w:rsid w:val="003F0898"/>
    <w:rsid w:val="003F1232"/>
    <w:rsid w:val="003F13B7"/>
    <w:rsid w:val="003F22C3"/>
    <w:rsid w:val="003F2328"/>
    <w:rsid w:val="003F4171"/>
    <w:rsid w:val="003F4E19"/>
    <w:rsid w:val="003F54A7"/>
    <w:rsid w:val="003F6243"/>
    <w:rsid w:val="003F6B87"/>
    <w:rsid w:val="003F7CA0"/>
    <w:rsid w:val="0040023A"/>
    <w:rsid w:val="00401026"/>
    <w:rsid w:val="0040180B"/>
    <w:rsid w:val="00403BE4"/>
    <w:rsid w:val="00404224"/>
    <w:rsid w:val="00406109"/>
    <w:rsid w:val="00406FC2"/>
    <w:rsid w:val="004102AA"/>
    <w:rsid w:val="0041073D"/>
    <w:rsid w:val="004117AE"/>
    <w:rsid w:val="00412475"/>
    <w:rsid w:val="00412FFC"/>
    <w:rsid w:val="00413519"/>
    <w:rsid w:val="004136C1"/>
    <w:rsid w:val="00413847"/>
    <w:rsid w:val="0041541E"/>
    <w:rsid w:val="0041600F"/>
    <w:rsid w:val="00416052"/>
    <w:rsid w:val="00417AEA"/>
    <w:rsid w:val="004205E6"/>
    <w:rsid w:val="004206A8"/>
    <w:rsid w:val="00421254"/>
    <w:rsid w:val="00421463"/>
    <w:rsid w:val="0042160A"/>
    <w:rsid w:val="00421BC0"/>
    <w:rsid w:val="00421E2F"/>
    <w:rsid w:val="00422178"/>
    <w:rsid w:val="00422E6A"/>
    <w:rsid w:val="00423509"/>
    <w:rsid w:val="00423AFA"/>
    <w:rsid w:val="004250D4"/>
    <w:rsid w:val="00425777"/>
    <w:rsid w:val="00425C8A"/>
    <w:rsid w:val="004301CC"/>
    <w:rsid w:val="00430E47"/>
    <w:rsid w:val="004311B6"/>
    <w:rsid w:val="004325D2"/>
    <w:rsid w:val="00432EC4"/>
    <w:rsid w:val="004408F7"/>
    <w:rsid w:val="00441CF2"/>
    <w:rsid w:val="004430D4"/>
    <w:rsid w:val="004432CF"/>
    <w:rsid w:val="004435FE"/>
    <w:rsid w:val="00443F72"/>
    <w:rsid w:val="004444A3"/>
    <w:rsid w:val="004447FB"/>
    <w:rsid w:val="00444CFD"/>
    <w:rsid w:val="004453BA"/>
    <w:rsid w:val="0044576E"/>
    <w:rsid w:val="00446A91"/>
    <w:rsid w:val="004471AF"/>
    <w:rsid w:val="004479EA"/>
    <w:rsid w:val="004501D1"/>
    <w:rsid w:val="00450791"/>
    <w:rsid w:val="00450F19"/>
    <w:rsid w:val="00450FDA"/>
    <w:rsid w:val="0045129D"/>
    <w:rsid w:val="0045175D"/>
    <w:rsid w:val="00451BB4"/>
    <w:rsid w:val="00453A79"/>
    <w:rsid w:val="0045448F"/>
    <w:rsid w:val="00456065"/>
    <w:rsid w:val="00456218"/>
    <w:rsid w:val="00456529"/>
    <w:rsid w:val="004569EB"/>
    <w:rsid w:val="00456FC6"/>
    <w:rsid w:val="00457D13"/>
    <w:rsid w:val="00460113"/>
    <w:rsid w:val="00460BEE"/>
    <w:rsid w:val="004618CB"/>
    <w:rsid w:val="004621A4"/>
    <w:rsid w:val="004635A5"/>
    <w:rsid w:val="004641FC"/>
    <w:rsid w:val="0046455C"/>
    <w:rsid w:val="00464965"/>
    <w:rsid w:val="00465493"/>
    <w:rsid w:val="00465C13"/>
    <w:rsid w:val="004660FB"/>
    <w:rsid w:val="00467D8D"/>
    <w:rsid w:val="00470410"/>
    <w:rsid w:val="004705D4"/>
    <w:rsid w:val="004713C6"/>
    <w:rsid w:val="004713EB"/>
    <w:rsid w:val="00471F15"/>
    <w:rsid w:val="0047232A"/>
    <w:rsid w:val="004737B4"/>
    <w:rsid w:val="00473CFC"/>
    <w:rsid w:val="004741EA"/>
    <w:rsid w:val="00474B7C"/>
    <w:rsid w:val="004778F4"/>
    <w:rsid w:val="00481EA7"/>
    <w:rsid w:val="004820EF"/>
    <w:rsid w:val="0048246E"/>
    <w:rsid w:val="00483A76"/>
    <w:rsid w:val="00484390"/>
    <w:rsid w:val="00484EEB"/>
    <w:rsid w:val="0048599D"/>
    <w:rsid w:val="0048673F"/>
    <w:rsid w:val="00486B63"/>
    <w:rsid w:val="00487D36"/>
    <w:rsid w:val="00490205"/>
    <w:rsid w:val="00491176"/>
    <w:rsid w:val="00491402"/>
    <w:rsid w:val="00492322"/>
    <w:rsid w:val="004938D7"/>
    <w:rsid w:val="00493C88"/>
    <w:rsid w:val="00494D47"/>
    <w:rsid w:val="0049536F"/>
    <w:rsid w:val="004961E7"/>
    <w:rsid w:val="00496CCA"/>
    <w:rsid w:val="0049741E"/>
    <w:rsid w:val="00497635"/>
    <w:rsid w:val="00497D0B"/>
    <w:rsid w:val="004A04A6"/>
    <w:rsid w:val="004A1884"/>
    <w:rsid w:val="004A1D75"/>
    <w:rsid w:val="004A2468"/>
    <w:rsid w:val="004A2A45"/>
    <w:rsid w:val="004A3BC8"/>
    <w:rsid w:val="004A3EAD"/>
    <w:rsid w:val="004A4135"/>
    <w:rsid w:val="004A4434"/>
    <w:rsid w:val="004A48F9"/>
    <w:rsid w:val="004A4EBC"/>
    <w:rsid w:val="004A6AAF"/>
    <w:rsid w:val="004A7827"/>
    <w:rsid w:val="004B01D3"/>
    <w:rsid w:val="004B02E4"/>
    <w:rsid w:val="004B282C"/>
    <w:rsid w:val="004B3191"/>
    <w:rsid w:val="004B3613"/>
    <w:rsid w:val="004B3DA1"/>
    <w:rsid w:val="004B4304"/>
    <w:rsid w:val="004B46F4"/>
    <w:rsid w:val="004B4DA1"/>
    <w:rsid w:val="004B565E"/>
    <w:rsid w:val="004B73B6"/>
    <w:rsid w:val="004C03AF"/>
    <w:rsid w:val="004C125D"/>
    <w:rsid w:val="004C1D9E"/>
    <w:rsid w:val="004C224D"/>
    <w:rsid w:val="004C2993"/>
    <w:rsid w:val="004C2DD6"/>
    <w:rsid w:val="004C32A9"/>
    <w:rsid w:val="004C3461"/>
    <w:rsid w:val="004C4B57"/>
    <w:rsid w:val="004C5839"/>
    <w:rsid w:val="004C67F8"/>
    <w:rsid w:val="004C6ABB"/>
    <w:rsid w:val="004C6D60"/>
    <w:rsid w:val="004C6E25"/>
    <w:rsid w:val="004C7389"/>
    <w:rsid w:val="004C7BA1"/>
    <w:rsid w:val="004D0227"/>
    <w:rsid w:val="004D033F"/>
    <w:rsid w:val="004D09D4"/>
    <w:rsid w:val="004D2279"/>
    <w:rsid w:val="004D2846"/>
    <w:rsid w:val="004D492A"/>
    <w:rsid w:val="004D57C8"/>
    <w:rsid w:val="004D7AF5"/>
    <w:rsid w:val="004D7B7F"/>
    <w:rsid w:val="004E0510"/>
    <w:rsid w:val="004E0619"/>
    <w:rsid w:val="004E0631"/>
    <w:rsid w:val="004E31BA"/>
    <w:rsid w:val="004E52A0"/>
    <w:rsid w:val="004E54D6"/>
    <w:rsid w:val="004E5B88"/>
    <w:rsid w:val="004E7A05"/>
    <w:rsid w:val="004F0199"/>
    <w:rsid w:val="004F035D"/>
    <w:rsid w:val="004F1245"/>
    <w:rsid w:val="004F225C"/>
    <w:rsid w:val="004F42FC"/>
    <w:rsid w:val="004F4763"/>
    <w:rsid w:val="004F5287"/>
    <w:rsid w:val="004F540F"/>
    <w:rsid w:val="004F7628"/>
    <w:rsid w:val="004F7EB7"/>
    <w:rsid w:val="00500042"/>
    <w:rsid w:val="00500D53"/>
    <w:rsid w:val="00500F48"/>
    <w:rsid w:val="005010A6"/>
    <w:rsid w:val="005017C5"/>
    <w:rsid w:val="00502934"/>
    <w:rsid w:val="005046A4"/>
    <w:rsid w:val="005049ED"/>
    <w:rsid w:val="00504F5C"/>
    <w:rsid w:val="0050507E"/>
    <w:rsid w:val="005051A6"/>
    <w:rsid w:val="005056EA"/>
    <w:rsid w:val="00505E14"/>
    <w:rsid w:val="00505F69"/>
    <w:rsid w:val="005073B5"/>
    <w:rsid w:val="00507462"/>
    <w:rsid w:val="005079A3"/>
    <w:rsid w:val="0051073C"/>
    <w:rsid w:val="00511E99"/>
    <w:rsid w:val="0051245B"/>
    <w:rsid w:val="00514691"/>
    <w:rsid w:val="0051476A"/>
    <w:rsid w:val="00514DC4"/>
    <w:rsid w:val="00515167"/>
    <w:rsid w:val="00515E71"/>
    <w:rsid w:val="00515F00"/>
    <w:rsid w:val="005164F9"/>
    <w:rsid w:val="005169E6"/>
    <w:rsid w:val="005202B4"/>
    <w:rsid w:val="00521DA9"/>
    <w:rsid w:val="005235A2"/>
    <w:rsid w:val="00523B70"/>
    <w:rsid w:val="00524736"/>
    <w:rsid w:val="005252B9"/>
    <w:rsid w:val="00525E9C"/>
    <w:rsid w:val="00526235"/>
    <w:rsid w:val="005262CB"/>
    <w:rsid w:val="005264DE"/>
    <w:rsid w:val="00526CB2"/>
    <w:rsid w:val="00527D0D"/>
    <w:rsid w:val="005309D6"/>
    <w:rsid w:val="00530A86"/>
    <w:rsid w:val="00530E98"/>
    <w:rsid w:val="00531BA1"/>
    <w:rsid w:val="00532F70"/>
    <w:rsid w:val="00534955"/>
    <w:rsid w:val="00535C75"/>
    <w:rsid w:val="005361AC"/>
    <w:rsid w:val="0053628E"/>
    <w:rsid w:val="00536D00"/>
    <w:rsid w:val="00540773"/>
    <w:rsid w:val="005407C1"/>
    <w:rsid w:val="0054193D"/>
    <w:rsid w:val="00542CDD"/>
    <w:rsid w:val="00544127"/>
    <w:rsid w:val="00545C77"/>
    <w:rsid w:val="005475BC"/>
    <w:rsid w:val="00547799"/>
    <w:rsid w:val="00547BDD"/>
    <w:rsid w:val="00550279"/>
    <w:rsid w:val="005502AF"/>
    <w:rsid w:val="00550704"/>
    <w:rsid w:val="005511FE"/>
    <w:rsid w:val="005513DC"/>
    <w:rsid w:val="00551712"/>
    <w:rsid w:val="00551EA3"/>
    <w:rsid w:val="0055253E"/>
    <w:rsid w:val="005525F0"/>
    <w:rsid w:val="005526A2"/>
    <w:rsid w:val="00552A9C"/>
    <w:rsid w:val="00552AD6"/>
    <w:rsid w:val="0055303C"/>
    <w:rsid w:val="00554C37"/>
    <w:rsid w:val="00557366"/>
    <w:rsid w:val="00557AD7"/>
    <w:rsid w:val="00560A8D"/>
    <w:rsid w:val="00560FC0"/>
    <w:rsid w:val="005622AF"/>
    <w:rsid w:val="00562A32"/>
    <w:rsid w:val="00562D52"/>
    <w:rsid w:val="00562F14"/>
    <w:rsid w:val="005634D6"/>
    <w:rsid w:val="00564B27"/>
    <w:rsid w:val="005650B4"/>
    <w:rsid w:val="00565D24"/>
    <w:rsid w:val="0057018C"/>
    <w:rsid w:val="00570B8E"/>
    <w:rsid w:val="005723A3"/>
    <w:rsid w:val="0057536C"/>
    <w:rsid w:val="00575C9E"/>
    <w:rsid w:val="00577555"/>
    <w:rsid w:val="00577E64"/>
    <w:rsid w:val="00577F6C"/>
    <w:rsid w:val="005800A8"/>
    <w:rsid w:val="0058052A"/>
    <w:rsid w:val="005820A5"/>
    <w:rsid w:val="00582252"/>
    <w:rsid w:val="00583E98"/>
    <w:rsid w:val="00586150"/>
    <w:rsid w:val="0058643F"/>
    <w:rsid w:val="0058675D"/>
    <w:rsid w:val="005870CB"/>
    <w:rsid w:val="00587DCA"/>
    <w:rsid w:val="00587DF7"/>
    <w:rsid w:val="00587F43"/>
    <w:rsid w:val="00590605"/>
    <w:rsid w:val="00591AC0"/>
    <w:rsid w:val="00592A03"/>
    <w:rsid w:val="00592B9F"/>
    <w:rsid w:val="00592D53"/>
    <w:rsid w:val="005930B5"/>
    <w:rsid w:val="00593844"/>
    <w:rsid w:val="0059473E"/>
    <w:rsid w:val="005947D5"/>
    <w:rsid w:val="005949A6"/>
    <w:rsid w:val="0059544E"/>
    <w:rsid w:val="00595F96"/>
    <w:rsid w:val="005969B3"/>
    <w:rsid w:val="00596B05"/>
    <w:rsid w:val="00597B4B"/>
    <w:rsid w:val="00597DB6"/>
    <w:rsid w:val="005A0412"/>
    <w:rsid w:val="005A2995"/>
    <w:rsid w:val="005A408B"/>
    <w:rsid w:val="005A4194"/>
    <w:rsid w:val="005A47BD"/>
    <w:rsid w:val="005A4802"/>
    <w:rsid w:val="005A599B"/>
    <w:rsid w:val="005A61DB"/>
    <w:rsid w:val="005A6AF1"/>
    <w:rsid w:val="005A747B"/>
    <w:rsid w:val="005A77D2"/>
    <w:rsid w:val="005B0542"/>
    <w:rsid w:val="005B123E"/>
    <w:rsid w:val="005B160C"/>
    <w:rsid w:val="005B215E"/>
    <w:rsid w:val="005B2BEF"/>
    <w:rsid w:val="005B3188"/>
    <w:rsid w:val="005B6404"/>
    <w:rsid w:val="005B78CB"/>
    <w:rsid w:val="005B7BB2"/>
    <w:rsid w:val="005B7D87"/>
    <w:rsid w:val="005C035D"/>
    <w:rsid w:val="005C0560"/>
    <w:rsid w:val="005C0E5F"/>
    <w:rsid w:val="005C0F75"/>
    <w:rsid w:val="005C39FA"/>
    <w:rsid w:val="005C4E11"/>
    <w:rsid w:val="005C51F4"/>
    <w:rsid w:val="005C56A9"/>
    <w:rsid w:val="005C5E8F"/>
    <w:rsid w:val="005C750A"/>
    <w:rsid w:val="005C795D"/>
    <w:rsid w:val="005D0200"/>
    <w:rsid w:val="005D07A4"/>
    <w:rsid w:val="005D0DD0"/>
    <w:rsid w:val="005D1494"/>
    <w:rsid w:val="005D192F"/>
    <w:rsid w:val="005D1A64"/>
    <w:rsid w:val="005D314C"/>
    <w:rsid w:val="005D4428"/>
    <w:rsid w:val="005D58D0"/>
    <w:rsid w:val="005D60A3"/>
    <w:rsid w:val="005D64CA"/>
    <w:rsid w:val="005D69A3"/>
    <w:rsid w:val="005D6CAC"/>
    <w:rsid w:val="005E11EE"/>
    <w:rsid w:val="005E14B8"/>
    <w:rsid w:val="005E1A02"/>
    <w:rsid w:val="005E2764"/>
    <w:rsid w:val="005E2F52"/>
    <w:rsid w:val="005E3160"/>
    <w:rsid w:val="005E5588"/>
    <w:rsid w:val="005E78E0"/>
    <w:rsid w:val="005F0640"/>
    <w:rsid w:val="005F177F"/>
    <w:rsid w:val="005F1EF2"/>
    <w:rsid w:val="005F36D2"/>
    <w:rsid w:val="005F3E94"/>
    <w:rsid w:val="005F5169"/>
    <w:rsid w:val="005F5280"/>
    <w:rsid w:val="005F55D4"/>
    <w:rsid w:val="005F60B4"/>
    <w:rsid w:val="005F64D9"/>
    <w:rsid w:val="006001C3"/>
    <w:rsid w:val="00600F32"/>
    <w:rsid w:val="0060103F"/>
    <w:rsid w:val="006016A2"/>
    <w:rsid w:val="006019E6"/>
    <w:rsid w:val="00602B32"/>
    <w:rsid w:val="00603200"/>
    <w:rsid w:val="006036E0"/>
    <w:rsid w:val="00604DDF"/>
    <w:rsid w:val="00606222"/>
    <w:rsid w:val="00607CA9"/>
    <w:rsid w:val="00607CD0"/>
    <w:rsid w:val="006101D2"/>
    <w:rsid w:val="006104DE"/>
    <w:rsid w:val="00611851"/>
    <w:rsid w:val="006127F1"/>
    <w:rsid w:val="00612A07"/>
    <w:rsid w:val="006131AE"/>
    <w:rsid w:val="00614502"/>
    <w:rsid w:val="0061672F"/>
    <w:rsid w:val="006174E2"/>
    <w:rsid w:val="00617E10"/>
    <w:rsid w:val="006216DC"/>
    <w:rsid w:val="00622A2E"/>
    <w:rsid w:val="00622ACF"/>
    <w:rsid w:val="0062317D"/>
    <w:rsid w:val="00623655"/>
    <w:rsid w:val="00623667"/>
    <w:rsid w:val="00623861"/>
    <w:rsid w:val="00624736"/>
    <w:rsid w:val="00624FCB"/>
    <w:rsid w:val="00625421"/>
    <w:rsid w:val="00625583"/>
    <w:rsid w:val="0062581E"/>
    <w:rsid w:val="00626350"/>
    <w:rsid w:val="006270C0"/>
    <w:rsid w:val="00627CF3"/>
    <w:rsid w:val="00630E44"/>
    <w:rsid w:val="006315D4"/>
    <w:rsid w:val="006316AE"/>
    <w:rsid w:val="00631864"/>
    <w:rsid w:val="00631A78"/>
    <w:rsid w:val="00631F18"/>
    <w:rsid w:val="00633DC1"/>
    <w:rsid w:val="0063448D"/>
    <w:rsid w:val="006346BA"/>
    <w:rsid w:val="00635A4D"/>
    <w:rsid w:val="00635F3F"/>
    <w:rsid w:val="00636449"/>
    <w:rsid w:val="0063672A"/>
    <w:rsid w:val="0063761D"/>
    <w:rsid w:val="00637779"/>
    <w:rsid w:val="00641D72"/>
    <w:rsid w:val="00642C2B"/>
    <w:rsid w:val="00642FC3"/>
    <w:rsid w:val="00643A9B"/>
    <w:rsid w:val="00644467"/>
    <w:rsid w:val="00645759"/>
    <w:rsid w:val="006458B5"/>
    <w:rsid w:val="006479BB"/>
    <w:rsid w:val="00647A9C"/>
    <w:rsid w:val="00647C94"/>
    <w:rsid w:val="00652F18"/>
    <w:rsid w:val="00653081"/>
    <w:rsid w:val="00653C2B"/>
    <w:rsid w:val="00654E19"/>
    <w:rsid w:val="006554B6"/>
    <w:rsid w:val="00656F26"/>
    <w:rsid w:val="00657E76"/>
    <w:rsid w:val="006609D1"/>
    <w:rsid w:val="00660EE9"/>
    <w:rsid w:val="0066104C"/>
    <w:rsid w:val="00661400"/>
    <w:rsid w:val="006614D7"/>
    <w:rsid w:val="006616EC"/>
    <w:rsid w:val="0066181C"/>
    <w:rsid w:val="00661DFA"/>
    <w:rsid w:val="00662992"/>
    <w:rsid w:val="00663230"/>
    <w:rsid w:val="00663D52"/>
    <w:rsid w:val="00663F1F"/>
    <w:rsid w:val="006648D5"/>
    <w:rsid w:val="00665278"/>
    <w:rsid w:val="006658A0"/>
    <w:rsid w:val="00666C6F"/>
    <w:rsid w:val="00667D08"/>
    <w:rsid w:val="00670DC9"/>
    <w:rsid w:val="00671A38"/>
    <w:rsid w:val="00672AB4"/>
    <w:rsid w:val="00674DA9"/>
    <w:rsid w:val="00676766"/>
    <w:rsid w:val="00677F52"/>
    <w:rsid w:val="00680C3F"/>
    <w:rsid w:val="006841BD"/>
    <w:rsid w:val="00684419"/>
    <w:rsid w:val="006852F1"/>
    <w:rsid w:val="0068619E"/>
    <w:rsid w:val="00686779"/>
    <w:rsid w:val="0069087F"/>
    <w:rsid w:val="00691DD9"/>
    <w:rsid w:val="00692528"/>
    <w:rsid w:val="00692C2B"/>
    <w:rsid w:val="0069361F"/>
    <w:rsid w:val="006953CB"/>
    <w:rsid w:val="00695CD2"/>
    <w:rsid w:val="0069604C"/>
    <w:rsid w:val="00696305"/>
    <w:rsid w:val="00696D17"/>
    <w:rsid w:val="0069723F"/>
    <w:rsid w:val="00697368"/>
    <w:rsid w:val="00697E0B"/>
    <w:rsid w:val="006A07F6"/>
    <w:rsid w:val="006A0AFC"/>
    <w:rsid w:val="006A14AC"/>
    <w:rsid w:val="006A34F5"/>
    <w:rsid w:val="006A3A8F"/>
    <w:rsid w:val="006A558E"/>
    <w:rsid w:val="006A5AC1"/>
    <w:rsid w:val="006B004B"/>
    <w:rsid w:val="006B2811"/>
    <w:rsid w:val="006B2B4A"/>
    <w:rsid w:val="006B2DFD"/>
    <w:rsid w:val="006B33AD"/>
    <w:rsid w:val="006B3EAD"/>
    <w:rsid w:val="006B4797"/>
    <w:rsid w:val="006B4D8A"/>
    <w:rsid w:val="006B4EC6"/>
    <w:rsid w:val="006B5403"/>
    <w:rsid w:val="006B556F"/>
    <w:rsid w:val="006C109A"/>
    <w:rsid w:val="006C20AC"/>
    <w:rsid w:val="006C224C"/>
    <w:rsid w:val="006C274C"/>
    <w:rsid w:val="006C2913"/>
    <w:rsid w:val="006C428A"/>
    <w:rsid w:val="006C42DB"/>
    <w:rsid w:val="006C5311"/>
    <w:rsid w:val="006C6311"/>
    <w:rsid w:val="006C6635"/>
    <w:rsid w:val="006C663A"/>
    <w:rsid w:val="006C7779"/>
    <w:rsid w:val="006C7C29"/>
    <w:rsid w:val="006D0299"/>
    <w:rsid w:val="006D0CCA"/>
    <w:rsid w:val="006D13CA"/>
    <w:rsid w:val="006D3371"/>
    <w:rsid w:val="006D3916"/>
    <w:rsid w:val="006D3DE2"/>
    <w:rsid w:val="006D3F03"/>
    <w:rsid w:val="006D4ADF"/>
    <w:rsid w:val="006D5B83"/>
    <w:rsid w:val="006D5D36"/>
    <w:rsid w:val="006D5DE5"/>
    <w:rsid w:val="006D7DEF"/>
    <w:rsid w:val="006E023D"/>
    <w:rsid w:val="006E03EC"/>
    <w:rsid w:val="006E0BCB"/>
    <w:rsid w:val="006E19F5"/>
    <w:rsid w:val="006E1C4C"/>
    <w:rsid w:val="006E2715"/>
    <w:rsid w:val="006E363D"/>
    <w:rsid w:val="006E3870"/>
    <w:rsid w:val="006E3CC9"/>
    <w:rsid w:val="006E3E8F"/>
    <w:rsid w:val="006E4220"/>
    <w:rsid w:val="006E443F"/>
    <w:rsid w:val="006E4682"/>
    <w:rsid w:val="006E740E"/>
    <w:rsid w:val="006F0BC2"/>
    <w:rsid w:val="006F36E2"/>
    <w:rsid w:val="006F3AAB"/>
    <w:rsid w:val="006F484F"/>
    <w:rsid w:val="006F5549"/>
    <w:rsid w:val="006F5A62"/>
    <w:rsid w:val="006F6249"/>
    <w:rsid w:val="006F62CF"/>
    <w:rsid w:val="006F6C86"/>
    <w:rsid w:val="006F7A41"/>
    <w:rsid w:val="0070142A"/>
    <w:rsid w:val="007017C1"/>
    <w:rsid w:val="007018CE"/>
    <w:rsid w:val="00701E18"/>
    <w:rsid w:val="00703A8B"/>
    <w:rsid w:val="007046EB"/>
    <w:rsid w:val="00704FE0"/>
    <w:rsid w:val="00705D76"/>
    <w:rsid w:val="00706466"/>
    <w:rsid w:val="00706950"/>
    <w:rsid w:val="00710548"/>
    <w:rsid w:val="007117CF"/>
    <w:rsid w:val="00711C70"/>
    <w:rsid w:val="00712702"/>
    <w:rsid w:val="00712CDB"/>
    <w:rsid w:val="0071318D"/>
    <w:rsid w:val="00713CE0"/>
    <w:rsid w:val="00713E27"/>
    <w:rsid w:val="00714C33"/>
    <w:rsid w:val="007151BE"/>
    <w:rsid w:val="00720825"/>
    <w:rsid w:val="00721087"/>
    <w:rsid w:val="007223D1"/>
    <w:rsid w:val="00722DA9"/>
    <w:rsid w:val="00724188"/>
    <w:rsid w:val="0072418D"/>
    <w:rsid w:val="007252EF"/>
    <w:rsid w:val="0072744E"/>
    <w:rsid w:val="007275D5"/>
    <w:rsid w:val="00731003"/>
    <w:rsid w:val="00731153"/>
    <w:rsid w:val="007311B5"/>
    <w:rsid w:val="00731E36"/>
    <w:rsid w:val="0073205C"/>
    <w:rsid w:val="00732320"/>
    <w:rsid w:val="00732549"/>
    <w:rsid w:val="007325F1"/>
    <w:rsid w:val="00734A0C"/>
    <w:rsid w:val="00734ADE"/>
    <w:rsid w:val="0073521B"/>
    <w:rsid w:val="007360D7"/>
    <w:rsid w:val="00737266"/>
    <w:rsid w:val="0073755B"/>
    <w:rsid w:val="00737A59"/>
    <w:rsid w:val="00740476"/>
    <w:rsid w:val="007410DA"/>
    <w:rsid w:val="00743343"/>
    <w:rsid w:val="00743F92"/>
    <w:rsid w:val="00744A30"/>
    <w:rsid w:val="007507D7"/>
    <w:rsid w:val="00750FB3"/>
    <w:rsid w:val="00751F34"/>
    <w:rsid w:val="007521C4"/>
    <w:rsid w:val="00752C2D"/>
    <w:rsid w:val="00753BC8"/>
    <w:rsid w:val="0075546B"/>
    <w:rsid w:val="007602A0"/>
    <w:rsid w:val="007607FA"/>
    <w:rsid w:val="007620A9"/>
    <w:rsid w:val="00763641"/>
    <w:rsid w:val="0076459E"/>
    <w:rsid w:val="007647B7"/>
    <w:rsid w:val="00764AEC"/>
    <w:rsid w:val="00764AFF"/>
    <w:rsid w:val="00765541"/>
    <w:rsid w:val="00765983"/>
    <w:rsid w:val="007659B5"/>
    <w:rsid w:val="007659EF"/>
    <w:rsid w:val="0076779D"/>
    <w:rsid w:val="00767D73"/>
    <w:rsid w:val="00770BC1"/>
    <w:rsid w:val="00771A5C"/>
    <w:rsid w:val="00772C4C"/>
    <w:rsid w:val="00772D91"/>
    <w:rsid w:val="00773155"/>
    <w:rsid w:val="00773B93"/>
    <w:rsid w:val="007758B8"/>
    <w:rsid w:val="007763A9"/>
    <w:rsid w:val="00777C8B"/>
    <w:rsid w:val="00777ED4"/>
    <w:rsid w:val="00781521"/>
    <w:rsid w:val="0078177B"/>
    <w:rsid w:val="0078197F"/>
    <w:rsid w:val="00783236"/>
    <w:rsid w:val="00784551"/>
    <w:rsid w:val="00784C2B"/>
    <w:rsid w:val="00784CCD"/>
    <w:rsid w:val="00784E14"/>
    <w:rsid w:val="00787104"/>
    <w:rsid w:val="0079013A"/>
    <w:rsid w:val="0079031E"/>
    <w:rsid w:val="00792A49"/>
    <w:rsid w:val="007947BC"/>
    <w:rsid w:val="00795189"/>
    <w:rsid w:val="007975B4"/>
    <w:rsid w:val="007A02D3"/>
    <w:rsid w:val="007A0CE4"/>
    <w:rsid w:val="007A3BB0"/>
    <w:rsid w:val="007A3F77"/>
    <w:rsid w:val="007A4182"/>
    <w:rsid w:val="007A5374"/>
    <w:rsid w:val="007A5602"/>
    <w:rsid w:val="007A5EB1"/>
    <w:rsid w:val="007A600F"/>
    <w:rsid w:val="007A6010"/>
    <w:rsid w:val="007A624B"/>
    <w:rsid w:val="007A7C23"/>
    <w:rsid w:val="007B0428"/>
    <w:rsid w:val="007B24BF"/>
    <w:rsid w:val="007B494E"/>
    <w:rsid w:val="007B71AB"/>
    <w:rsid w:val="007B7C29"/>
    <w:rsid w:val="007B7CF9"/>
    <w:rsid w:val="007B7EB4"/>
    <w:rsid w:val="007C146B"/>
    <w:rsid w:val="007C1708"/>
    <w:rsid w:val="007C1FE0"/>
    <w:rsid w:val="007C3159"/>
    <w:rsid w:val="007C3B20"/>
    <w:rsid w:val="007C3D6A"/>
    <w:rsid w:val="007C4669"/>
    <w:rsid w:val="007C621B"/>
    <w:rsid w:val="007D0540"/>
    <w:rsid w:val="007D06E8"/>
    <w:rsid w:val="007D158F"/>
    <w:rsid w:val="007D1934"/>
    <w:rsid w:val="007D3946"/>
    <w:rsid w:val="007D4453"/>
    <w:rsid w:val="007D445B"/>
    <w:rsid w:val="007D5E7B"/>
    <w:rsid w:val="007D6711"/>
    <w:rsid w:val="007D6D55"/>
    <w:rsid w:val="007D72AA"/>
    <w:rsid w:val="007D733B"/>
    <w:rsid w:val="007E014E"/>
    <w:rsid w:val="007E1C3A"/>
    <w:rsid w:val="007E2210"/>
    <w:rsid w:val="007E261B"/>
    <w:rsid w:val="007E37A8"/>
    <w:rsid w:val="007E415F"/>
    <w:rsid w:val="007E72F1"/>
    <w:rsid w:val="007E7A24"/>
    <w:rsid w:val="007E7DCA"/>
    <w:rsid w:val="007F1734"/>
    <w:rsid w:val="007F1C02"/>
    <w:rsid w:val="007F2BD8"/>
    <w:rsid w:val="007F33B8"/>
    <w:rsid w:val="007F3AD2"/>
    <w:rsid w:val="007F418F"/>
    <w:rsid w:val="007F4793"/>
    <w:rsid w:val="007F4C5D"/>
    <w:rsid w:val="007F50A2"/>
    <w:rsid w:val="007F62E4"/>
    <w:rsid w:val="007F6486"/>
    <w:rsid w:val="007F66D1"/>
    <w:rsid w:val="007F6C36"/>
    <w:rsid w:val="00801476"/>
    <w:rsid w:val="008018DD"/>
    <w:rsid w:val="00801BDF"/>
    <w:rsid w:val="00802B4D"/>
    <w:rsid w:val="00803542"/>
    <w:rsid w:val="00803760"/>
    <w:rsid w:val="00803855"/>
    <w:rsid w:val="00803DE6"/>
    <w:rsid w:val="008042A7"/>
    <w:rsid w:val="0080433C"/>
    <w:rsid w:val="008046FE"/>
    <w:rsid w:val="008048EA"/>
    <w:rsid w:val="008074C9"/>
    <w:rsid w:val="00807A95"/>
    <w:rsid w:val="008129B7"/>
    <w:rsid w:val="00813151"/>
    <w:rsid w:val="00813C5B"/>
    <w:rsid w:val="008143CD"/>
    <w:rsid w:val="0081574E"/>
    <w:rsid w:val="00815D61"/>
    <w:rsid w:val="0081638A"/>
    <w:rsid w:val="0081782C"/>
    <w:rsid w:val="0082074C"/>
    <w:rsid w:val="00821125"/>
    <w:rsid w:val="0082154F"/>
    <w:rsid w:val="00821C87"/>
    <w:rsid w:val="00821E53"/>
    <w:rsid w:val="00823004"/>
    <w:rsid w:val="008240DD"/>
    <w:rsid w:val="0082442E"/>
    <w:rsid w:val="0082524F"/>
    <w:rsid w:val="008260C9"/>
    <w:rsid w:val="00826197"/>
    <w:rsid w:val="00826CAD"/>
    <w:rsid w:val="008303C6"/>
    <w:rsid w:val="00830DA5"/>
    <w:rsid w:val="00831F37"/>
    <w:rsid w:val="008324BE"/>
    <w:rsid w:val="00833913"/>
    <w:rsid w:val="00834858"/>
    <w:rsid w:val="00834A42"/>
    <w:rsid w:val="0083595F"/>
    <w:rsid w:val="00836290"/>
    <w:rsid w:val="008413F3"/>
    <w:rsid w:val="00842AD6"/>
    <w:rsid w:val="00842B9A"/>
    <w:rsid w:val="008441A4"/>
    <w:rsid w:val="0084497F"/>
    <w:rsid w:val="00846232"/>
    <w:rsid w:val="0084661C"/>
    <w:rsid w:val="00846960"/>
    <w:rsid w:val="00846CDB"/>
    <w:rsid w:val="00847045"/>
    <w:rsid w:val="0084787C"/>
    <w:rsid w:val="00847EF7"/>
    <w:rsid w:val="008501B9"/>
    <w:rsid w:val="00852347"/>
    <w:rsid w:val="00854D43"/>
    <w:rsid w:val="00854DD9"/>
    <w:rsid w:val="008555D8"/>
    <w:rsid w:val="008558A2"/>
    <w:rsid w:val="0085644F"/>
    <w:rsid w:val="00857A86"/>
    <w:rsid w:val="00857C86"/>
    <w:rsid w:val="00860DD2"/>
    <w:rsid w:val="00861272"/>
    <w:rsid w:val="0086164C"/>
    <w:rsid w:val="00861806"/>
    <w:rsid w:val="00861869"/>
    <w:rsid w:val="008621D4"/>
    <w:rsid w:val="00862E79"/>
    <w:rsid w:val="00863912"/>
    <w:rsid w:val="00863AE6"/>
    <w:rsid w:val="00863D5F"/>
    <w:rsid w:val="008649AD"/>
    <w:rsid w:val="0086564A"/>
    <w:rsid w:val="008656A1"/>
    <w:rsid w:val="00866CA9"/>
    <w:rsid w:val="00866F37"/>
    <w:rsid w:val="0086702A"/>
    <w:rsid w:val="00867C04"/>
    <w:rsid w:val="00870195"/>
    <w:rsid w:val="008715B2"/>
    <w:rsid w:val="0087170D"/>
    <w:rsid w:val="00872668"/>
    <w:rsid w:val="00872948"/>
    <w:rsid w:val="00872CD0"/>
    <w:rsid w:val="00874BFF"/>
    <w:rsid w:val="00874FAC"/>
    <w:rsid w:val="00875488"/>
    <w:rsid w:val="0087563D"/>
    <w:rsid w:val="00876D04"/>
    <w:rsid w:val="00876F83"/>
    <w:rsid w:val="0087782B"/>
    <w:rsid w:val="00880753"/>
    <w:rsid w:val="00880D0F"/>
    <w:rsid w:val="00881E48"/>
    <w:rsid w:val="00882E66"/>
    <w:rsid w:val="00883B3A"/>
    <w:rsid w:val="00883D03"/>
    <w:rsid w:val="00885426"/>
    <w:rsid w:val="00886322"/>
    <w:rsid w:val="00886F5B"/>
    <w:rsid w:val="008906EC"/>
    <w:rsid w:val="008919C9"/>
    <w:rsid w:val="00892091"/>
    <w:rsid w:val="00893D61"/>
    <w:rsid w:val="00893E3C"/>
    <w:rsid w:val="00895DEB"/>
    <w:rsid w:val="00896B57"/>
    <w:rsid w:val="00897537"/>
    <w:rsid w:val="008A0264"/>
    <w:rsid w:val="008A0856"/>
    <w:rsid w:val="008A1583"/>
    <w:rsid w:val="008A1AC4"/>
    <w:rsid w:val="008A2FE6"/>
    <w:rsid w:val="008A41E4"/>
    <w:rsid w:val="008A5B09"/>
    <w:rsid w:val="008A5D20"/>
    <w:rsid w:val="008A6E81"/>
    <w:rsid w:val="008A76BB"/>
    <w:rsid w:val="008A77B5"/>
    <w:rsid w:val="008B00BC"/>
    <w:rsid w:val="008B0A69"/>
    <w:rsid w:val="008B0B8A"/>
    <w:rsid w:val="008B0FED"/>
    <w:rsid w:val="008B3002"/>
    <w:rsid w:val="008B3319"/>
    <w:rsid w:val="008B3F19"/>
    <w:rsid w:val="008B67BA"/>
    <w:rsid w:val="008B6CBF"/>
    <w:rsid w:val="008C147D"/>
    <w:rsid w:val="008C2250"/>
    <w:rsid w:val="008C238D"/>
    <w:rsid w:val="008C2AD7"/>
    <w:rsid w:val="008C3B8E"/>
    <w:rsid w:val="008C3F7D"/>
    <w:rsid w:val="008C679F"/>
    <w:rsid w:val="008C777E"/>
    <w:rsid w:val="008D0932"/>
    <w:rsid w:val="008D1E15"/>
    <w:rsid w:val="008D1E36"/>
    <w:rsid w:val="008D25A4"/>
    <w:rsid w:val="008D3531"/>
    <w:rsid w:val="008D374E"/>
    <w:rsid w:val="008D58BF"/>
    <w:rsid w:val="008D70BA"/>
    <w:rsid w:val="008D75DB"/>
    <w:rsid w:val="008D792C"/>
    <w:rsid w:val="008D7D30"/>
    <w:rsid w:val="008D7E57"/>
    <w:rsid w:val="008E031B"/>
    <w:rsid w:val="008E05BD"/>
    <w:rsid w:val="008E0B7E"/>
    <w:rsid w:val="008E343E"/>
    <w:rsid w:val="008E4555"/>
    <w:rsid w:val="008E5140"/>
    <w:rsid w:val="008E6471"/>
    <w:rsid w:val="008E71EB"/>
    <w:rsid w:val="008F0E50"/>
    <w:rsid w:val="008F2494"/>
    <w:rsid w:val="008F2D2B"/>
    <w:rsid w:val="008F3A7F"/>
    <w:rsid w:val="008F3F0B"/>
    <w:rsid w:val="008F53E2"/>
    <w:rsid w:val="008F685E"/>
    <w:rsid w:val="008F6DDC"/>
    <w:rsid w:val="008F725D"/>
    <w:rsid w:val="009007B9"/>
    <w:rsid w:val="009012CC"/>
    <w:rsid w:val="00901FEC"/>
    <w:rsid w:val="009038D9"/>
    <w:rsid w:val="00904526"/>
    <w:rsid w:val="00905F22"/>
    <w:rsid w:val="00907201"/>
    <w:rsid w:val="0090767E"/>
    <w:rsid w:val="00907F8A"/>
    <w:rsid w:val="00910B43"/>
    <w:rsid w:val="00911D60"/>
    <w:rsid w:val="00911D6C"/>
    <w:rsid w:val="0091227A"/>
    <w:rsid w:val="009126B6"/>
    <w:rsid w:val="009133E5"/>
    <w:rsid w:val="009139E8"/>
    <w:rsid w:val="00914F75"/>
    <w:rsid w:val="0091640B"/>
    <w:rsid w:val="00916706"/>
    <w:rsid w:val="00917383"/>
    <w:rsid w:val="009173DC"/>
    <w:rsid w:val="00917775"/>
    <w:rsid w:val="00917776"/>
    <w:rsid w:val="00917884"/>
    <w:rsid w:val="00922EC0"/>
    <w:rsid w:val="00927EB1"/>
    <w:rsid w:val="009339D9"/>
    <w:rsid w:val="00937862"/>
    <w:rsid w:val="00940C8E"/>
    <w:rsid w:val="009412C8"/>
    <w:rsid w:val="00941FA7"/>
    <w:rsid w:val="00943D20"/>
    <w:rsid w:val="00944BAD"/>
    <w:rsid w:val="0094591E"/>
    <w:rsid w:val="00946112"/>
    <w:rsid w:val="009508D0"/>
    <w:rsid w:val="009519AB"/>
    <w:rsid w:val="009537C7"/>
    <w:rsid w:val="0095446B"/>
    <w:rsid w:val="0095473B"/>
    <w:rsid w:val="00955D3F"/>
    <w:rsid w:val="00955FEC"/>
    <w:rsid w:val="00963B58"/>
    <w:rsid w:val="009651A1"/>
    <w:rsid w:val="00965507"/>
    <w:rsid w:val="0096618F"/>
    <w:rsid w:val="009668BE"/>
    <w:rsid w:val="00966C6D"/>
    <w:rsid w:val="00966CED"/>
    <w:rsid w:val="00967CAE"/>
    <w:rsid w:val="00970E04"/>
    <w:rsid w:val="00971B78"/>
    <w:rsid w:val="00971C2E"/>
    <w:rsid w:val="00971D3D"/>
    <w:rsid w:val="009721C4"/>
    <w:rsid w:val="00972E6E"/>
    <w:rsid w:val="009765B8"/>
    <w:rsid w:val="00976A09"/>
    <w:rsid w:val="00976E63"/>
    <w:rsid w:val="00977328"/>
    <w:rsid w:val="0097751D"/>
    <w:rsid w:val="00977A51"/>
    <w:rsid w:val="009803F6"/>
    <w:rsid w:val="00980AD0"/>
    <w:rsid w:val="00981631"/>
    <w:rsid w:val="00982182"/>
    <w:rsid w:val="00985181"/>
    <w:rsid w:val="00986082"/>
    <w:rsid w:val="00990410"/>
    <w:rsid w:val="00990C1C"/>
    <w:rsid w:val="00990D43"/>
    <w:rsid w:val="00993CB2"/>
    <w:rsid w:val="00995DCE"/>
    <w:rsid w:val="00995F7C"/>
    <w:rsid w:val="00996230"/>
    <w:rsid w:val="009966D9"/>
    <w:rsid w:val="00996AA4"/>
    <w:rsid w:val="00996FC0"/>
    <w:rsid w:val="009A147F"/>
    <w:rsid w:val="009A1C44"/>
    <w:rsid w:val="009A3893"/>
    <w:rsid w:val="009A3A53"/>
    <w:rsid w:val="009A3A5D"/>
    <w:rsid w:val="009A5E3D"/>
    <w:rsid w:val="009A6CB3"/>
    <w:rsid w:val="009A6DAE"/>
    <w:rsid w:val="009A739D"/>
    <w:rsid w:val="009A7BB0"/>
    <w:rsid w:val="009B119C"/>
    <w:rsid w:val="009B134A"/>
    <w:rsid w:val="009B3295"/>
    <w:rsid w:val="009B35B6"/>
    <w:rsid w:val="009B4EAA"/>
    <w:rsid w:val="009C0951"/>
    <w:rsid w:val="009C1316"/>
    <w:rsid w:val="009C14AE"/>
    <w:rsid w:val="009C420F"/>
    <w:rsid w:val="009C4269"/>
    <w:rsid w:val="009C6022"/>
    <w:rsid w:val="009C672C"/>
    <w:rsid w:val="009C6778"/>
    <w:rsid w:val="009C6EAC"/>
    <w:rsid w:val="009D03FA"/>
    <w:rsid w:val="009D06CC"/>
    <w:rsid w:val="009D0DB0"/>
    <w:rsid w:val="009D32B8"/>
    <w:rsid w:val="009D6080"/>
    <w:rsid w:val="009D6820"/>
    <w:rsid w:val="009E069D"/>
    <w:rsid w:val="009E139D"/>
    <w:rsid w:val="009E1CD8"/>
    <w:rsid w:val="009E2A59"/>
    <w:rsid w:val="009E2F50"/>
    <w:rsid w:val="009E2FA9"/>
    <w:rsid w:val="009E3350"/>
    <w:rsid w:val="009E43CB"/>
    <w:rsid w:val="009E4F29"/>
    <w:rsid w:val="009E536F"/>
    <w:rsid w:val="009E5CD1"/>
    <w:rsid w:val="009E5F61"/>
    <w:rsid w:val="009E5FDC"/>
    <w:rsid w:val="009F06B3"/>
    <w:rsid w:val="009F09C4"/>
    <w:rsid w:val="009F169E"/>
    <w:rsid w:val="009F1815"/>
    <w:rsid w:val="009F21EE"/>
    <w:rsid w:val="009F3A44"/>
    <w:rsid w:val="009F4646"/>
    <w:rsid w:val="009F4C5F"/>
    <w:rsid w:val="009F51EF"/>
    <w:rsid w:val="009F5F5B"/>
    <w:rsid w:val="00A00470"/>
    <w:rsid w:val="00A008CA"/>
    <w:rsid w:val="00A015E0"/>
    <w:rsid w:val="00A01BB3"/>
    <w:rsid w:val="00A01E33"/>
    <w:rsid w:val="00A02932"/>
    <w:rsid w:val="00A03F0C"/>
    <w:rsid w:val="00A0403B"/>
    <w:rsid w:val="00A04784"/>
    <w:rsid w:val="00A04C49"/>
    <w:rsid w:val="00A04C5D"/>
    <w:rsid w:val="00A05B0C"/>
    <w:rsid w:val="00A05D07"/>
    <w:rsid w:val="00A0603E"/>
    <w:rsid w:val="00A0626D"/>
    <w:rsid w:val="00A06305"/>
    <w:rsid w:val="00A0755F"/>
    <w:rsid w:val="00A079D1"/>
    <w:rsid w:val="00A10440"/>
    <w:rsid w:val="00A10D4B"/>
    <w:rsid w:val="00A119E4"/>
    <w:rsid w:val="00A11BF1"/>
    <w:rsid w:val="00A1233D"/>
    <w:rsid w:val="00A1236B"/>
    <w:rsid w:val="00A13FF0"/>
    <w:rsid w:val="00A14643"/>
    <w:rsid w:val="00A15EF5"/>
    <w:rsid w:val="00A160CB"/>
    <w:rsid w:val="00A172F6"/>
    <w:rsid w:val="00A175B7"/>
    <w:rsid w:val="00A21635"/>
    <w:rsid w:val="00A22C54"/>
    <w:rsid w:val="00A22C5D"/>
    <w:rsid w:val="00A22DF5"/>
    <w:rsid w:val="00A253E6"/>
    <w:rsid w:val="00A25D4C"/>
    <w:rsid w:val="00A262B4"/>
    <w:rsid w:val="00A26B59"/>
    <w:rsid w:val="00A26FD3"/>
    <w:rsid w:val="00A27244"/>
    <w:rsid w:val="00A275D7"/>
    <w:rsid w:val="00A27FBA"/>
    <w:rsid w:val="00A30156"/>
    <w:rsid w:val="00A30BB4"/>
    <w:rsid w:val="00A30D35"/>
    <w:rsid w:val="00A330FD"/>
    <w:rsid w:val="00A33105"/>
    <w:rsid w:val="00A33591"/>
    <w:rsid w:val="00A337A6"/>
    <w:rsid w:val="00A33C9F"/>
    <w:rsid w:val="00A34F51"/>
    <w:rsid w:val="00A377FA"/>
    <w:rsid w:val="00A378FA"/>
    <w:rsid w:val="00A407FD"/>
    <w:rsid w:val="00A4094C"/>
    <w:rsid w:val="00A40F90"/>
    <w:rsid w:val="00A41E40"/>
    <w:rsid w:val="00A42C56"/>
    <w:rsid w:val="00A473E4"/>
    <w:rsid w:val="00A47AA6"/>
    <w:rsid w:val="00A50492"/>
    <w:rsid w:val="00A518FB"/>
    <w:rsid w:val="00A51F36"/>
    <w:rsid w:val="00A5264F"/>
    <w:rsid w:val="00A52BE5"/>
    <w:rsid w:val="00A53273"/>
    <w:rsid w:val="00A5334A"/>
    <w:rsid w:val="00A53D74"/>
    <w:rsid w:val="00A54313"/>
    <w:rsid w:val="00A559C4"/>
    <w:rsid w:val="00A56B2C"/>
    <w:rsid w:val="00A57077"/>
    <w:rsid w:val="00A57EE7"/>
    <w:rsid w:val="00A57EEE"/>
    <w:rsid w:val="00A6173D"/>
    <w:rsid w:val="00A61A4B"/>
    <w:rsid w:val="00A61C95"/>
    <w:rsid w:val="00A62DAC"/>
    <w:rsid w:val="00A6337B"/>
    <w:rsid w:val="00A635C7"/>
    <w:rsid w:val="00A639C9"/>
    <w:rsid w:val="00A63CFA"/>
    <w:rsid w:val="00A64C8E"/>
    <w:rsid w:val="00A64EE4"/>
    <w:rsid w:val="00A6509E"/>
    <w:rsid w:val="00A66DD7"/>
    <w:rsid w:val="00A6725B"/>
    <w:rsid w:val="00A67843"/>
    <w:rsid w:val="00A67A1A"/>
    <w:rsid w:val="00A70A1C"/>
    <w:rsid w:val="00A72107"/>
    <w:rsid w:val="00A727B7"/>
    <w:rsid w:val="00A7397D"/>
    <w:rsid w:val="00A74861"/>
    <w:rsid w:val="00A758C9"/>
    <w:rsid w:val="00A76EDC"/>
    <w:rsid w:val="00A80338"/>
    <w:rsid w:val="00A8234C"/>
    <w:rsid w:val="00A827BC"/>
    <w:rsid w:val="00A82C47"/>
    <w:rsid w:val="00A82CCC"/>
    <w:rsid w:val="00A82F02"/>
    <w:rsid w:val="00A83801"/>
    <w:rsid w:val="00A8399E"/>
    <w:rsid w:val="00A85BBF"/>
    <w:rsid w:val="00A86CF0"/>
    <w:rsid w:val="00A87E86"/>
    <w:rsid w:val="00A90E34"/>
    <w:rsid w:val="00A91429"/>
    <w:rsid w:val="00A92702"/>
    <w:rsid w:val="00A932CB"/>
    <w:rsid w:val="00A935EB"/>
    <w:rsid w:val="00A93A1E"/>
    <w:rsid w:val="00A93B28"/>
    <w:rsid w:val="00A93B29"/>
    <w:rsid w:val="00A94EEC"/>
    <w:rsid w:val="00A95DA8"/>
    <w:rsid w:val="00A9687A"/>
    <w:rsid w:val="00A97D94"/>
    <w:rsid w:val="00AA0C61"/>
    <w:rsid w:val="00AA0F6F"/>
    <w:rsid w:val="00AA26FD"/>
    <w:rsid w:val="00AA298C"/>
    <w:rsid w:val="00AA2FA0"/>
    <w:rsid w:val="00AA3017"/>
    <w:rsid w:val="00AA6218"/>
    <w:rsid w:val="00AA65BD"/>
    <w:rsid w:val="00AA730B"/>
    <w:rsid w:val="00AA75D7"/>
    <w:rsid w:val="00AA7D51"/>
    <w:rsid w:val="00AB0931"/>
    <w:rsid w:val="00AB09D6"/>
    <w:rsid w:val="00AB0E50"/>
    <w:rsid w:val="00AB1042"/>
    <w:rsid w:val="00AB173F"/>
    <w:rsid w:val="00AB197E"/>
    <w:rsid w:val="00AB40AE"/>
    <w:rsid w:val="00AC195F"/>
    <w:rsid w:val="00AC1C18"/>
    <w:rsid w:val="00AC24CA"/>
    <w:rsid w:val="00AC2EF6"/>
    <w:rsid w:val="00AC4A74"/>
    <w:rsid w:val="00AC4B03"/>
    <w:rsid w:val="00AC4FAA"/>
    <w:rsid w:val="00AC50DD"/>
    <w:rsid w:val="00AC512F"/>
    <w:rsid w:val="00AC5D9E"/>
    <w:rsid w:val="00AC6630"/>
    <w:rsid w:val="00AC727A"/>
    <w:rsid w:val="00AC7566"/>
    <w:rsid w:val="00AD080A"/>
    <w:rsid w:val="00AD0EF3"/>
    <w:rsid w:val="00AD1E2B"/>
    <w:rsid w:val="00AD2EE4"/>
    <w:rsid w:val="00AD366C"/>
    <w:rsid w:val="00AD4341"/>
    <w:rsid w:val="00AD4554"/>
    <w:rsid w:val="00AD4CAF"/>
    <w:rsid w:val="00AD6DB9"/>
    <w:rsid w:val="00AD6F4C"/>
    <w:rsid w:val="00AD7F9D"/>
    <w:rsid w:val="00AE268B"/>
    <w:rsid w:val="00AE2937"/>
    <w:rsid w:val="00AE3F15"/>
    <w:rsid w:val="00AE4519"/>
    <w:rsid w:val="00AE48AB"/>
    <w:rsid w:val="00AE5438"/>
    <w:rsid w:val="00AE5CAC"/>
    <w:rsid w:val="00AE6987"/>
    <w:rsid w:val="00AE79D6"/>
    <w:rsid w:val="00AE7A0A"/>
    <w:rsid w:val="00AF20E0"/>
    <w:rsid w:val="00AF2B02"/>
    <w:rsid w:val="00AF3CEE"/>
    <w:rsid w:val="00AF4674"/>
    <w:rsid w:val="00AF60EA"/>
    <w:rsid w:val="00AF7F7B"/>
    <w:rsid w:val="00B001F0"/>
    <w:rsid w:val="00B00D17"/>
    <w:rsid w:val="00B00F55"/>
    <w:rsid w:val="00B01031"/>
    <w:rsid w:val="00B01BAC"/>
    <w:rsid w:val="00B033CD"/>
    <w:rsid w:val="00B04B6A"/>
    <w:rsid w:val="00B04E5D"/>
    <w:rsid w:val="00B05CAC"/>
    <w:rsid w:val="00B07FC4"/>
    <w:rsid w:val="00B107C8"/>
    <w:rsid w:val="00B10B3B"/>
    <w:rsid w:val="00B1405C"/>
    <w:rsid w:val="00B14DB0"/>
    <w:rsid w:val="00B14F70"/>
    <w:rsid w:val="00B1514D"/>
    <w:rsid w:val="00B171A7"/>
    <w:rsid w:val="00B17A98"/>
    <w:rsid w:val="00B21074"/>
    <w:rsid w:val="00B21284"/>
    <w:rsid w:val="00B21568"/>
    <w:rsid w:val="00B22A0E"/>
    <w:rsid w:val="00B22ADA"/>
    <w:rsid w:val="00B2311D"/>
    <w:rsid w:val="00B2386E"/>
    <w:rsid w:val="00B24D44"/>
    <w:rsid w:val="00B258DB"/>
    <w:rsid w:val="00B25EB9"/>
    <w:rsid w:val="00B26A0B"/>
    <w:rsid w:val="00B27C82"/>
    <w:rsid w:val="00B300DC"/>
    <w:rsid w:val="00B31041"/>
    <w:rsid w:val="00B31756"/>
    <w:rsid w:val="00B32D46"/>
    <w:rsid w:val="00B33F80"/>
    <w:rsid w:val="00B34BB3"/>
    <w:rsid w:val="00B34CF7"/>
    <w:rsid w:val="00B35C5D"/>
    <w:rsid w:val="00B35F0C"/>
    <w:rsid w:val="00B36421"/>
    <w:rsid w:val="00B36753"/>
    <w:rsid w:val="00B36BB8"/>
    <w:rsid w:val="00B36EB5"/>
    <w:rsid w:val="00B36FC0"/>
    <w:rsid w:val="00B37E72"/>
    <w:rsid w:val="00B4005F"/>
    <w:rsid w:val="00B40713"/>
    <w:rsid w:val="00B41689"/>
    <w:rsid w:val="00B4193E"/>
    <w:rsid w:val="00B41D6A"/>
    <w:rsid w:val="00B41EBC"/>
    <w:rsid w:val="00B43A8C"/>
    <w:rsid w:val="00B44265"/>
    <w:rsid w:val="00B44967"/>
    <w:rsid w:val="00B449B4"/>
    <w:rsid w:val="00B461DE"/>
    <w:rsid w:val="00B472C5"/>
    <w:rsid w:val="00B47515"/>
    <w:rsid w:val="00B476ED"/>
    <w:rsid w:val="00B47E23"/>
    <w:rsid w:val="00B510FB"/>
    <w:rsid w:val="00B51113"/>
    <w:rsid w:val="00B51ACC"/>
    <w:rsid w:val="00B5390F"/>
    <w:rsid w:val="00B54B3B"/>
    <w:rsid w:val="00B54DC6"/>
    <w:rsid w:val="00B55631"/>
    <w:rsid w:val="00B5675A"/>
    <w:rsid w:val="00B57006"/>
    <w:rsid w:val="00B57706"/>
    <w:rsid w:val="00B57F2E"/>
    <w:rsid w:val="00B60728"/>
    <w:rsid w:val="00B6074D"/>
    <w:rsid w:val="00B60A9F"/>
    <w:rsid w:val="00B61294"/>
    <w:rsid w:val="00B614A3"/>
    <w:rsid w:val="00B6177C"/>
    <w:rsid w:val="00B6319C"/>
    <w:rsid w:val="00B64068"/>
    <w:rsid w:val="00B6436D"/>
    <w:rsid w:val="00B64C9B"/>
    <w:rsid w:val="00B65580"/>
    <w:rsid w:val="00B6596B"/>
    <w:rsid w:val="00B65DA7"/>
    <w:rsid w:val="00B65E81"/>
    <w:rsid w:val="00B6661E"/>
    <w:rsid w:val="00B66BA6"/>
    <w:rsid w:val="00B721FF"/>
    <w:rsid w:val="00B7232A"/>
    <w:rsid w:val="00B73858"/>
    <w:rsid w:val="00B7398E"/>
    <w:rsid w:val="00B80314"/>
    <w:rsid w:val="00B80B05"/>
    <w:rsid w:val="00B8308B"/>
    <w:rsid w:val="00B842AD"/>
    <w:rsid w:val="00B84EA7"/>
    <w:rsid w:val="00B8504B"/>
    <w:rsid w:val="00B855BA"/>
    <w:rsid w:val="00B858FE"/>
    <w:rsid w:val="00B85C5F"/>
    <w:rsid w:val="00B87B7E"/>
    <w:rsid w:val="00B87EC9"/>
    <w:rsid w:val="00B87F04"/>
    <w:rsid w:val="00B920EF"/>
    <w:rsid w:val="00B92F8D"/>
    <w:rsid w:val="00B93F21"/>
    <w:rsid w:val="00B94532"/>
    <w:rsid w:val="00B955FA"/>
    <w:rsid w:val="00B969D6"/>
    <w:rsid w:val="00B96BBB"/>
    <w:rsid w:val="00BA166D"/>
    <w:rsid w:val="00BA1920"/>
    <w:rsid w:val="00BA2722"/>
    <w:rsid w:val="00BA2DC0"/>
    <w:rsid w:val="00BA3756"/>
    <w:rsid w:val="00BA3EAB"/>
    <w:rsid w:val="00BA3F92"/>
    <w:rsid w:val="00BA41EA"/>
    <w:rsid w:val="00BA42FB"/>
    <w:rsid w:val="00BA4453"/>
    <w:rsid w:val="00BA5EA2"/>
    <w:rsid w:val="00BA666D"/>
    <w:rsid w:val="00BA672A"/>
    <w:rsid w:val="00BA6EE4"/>
    <w:rsid w:val="00BA7846"/>
    <w:rsid w:val="00BB0F30"/>
    <w:rsid w:val="00BB0FE3"/>
    <w:rsid w:val="00BB6327"/>
    <w:rsid w:val="00BB71FE"/>
    <w:rsid w:val="00BB7721"/>
    <w:rsid w:val="00BC08E0"/>
    <w:rsid w:val="00BC3F2B"/>
    <w:rsid w:val="00BC4228"/>
    <w:rsid w:val="00BC44AA"/>
    <w:rsid w:val="00BC4BA5"/>
    <w:rsid w:val="00BC5399"/>
    <w:rsid w:val="00BC5CF7"/>
    <w:rsid w:val="00BC601C"/>
    <w:rsid w:val="00BD128C"/>
    <w:rsid w:val="00BD13B6"/>
    <w:rsid w:val="00BD171A"/>
    <w:rsid w:val="00BD18DE"/>
    <w:rsid w:val="00BD1B9C"/>
    <w:rsid w:val="00BD1C3F"/>
    <w:rsid w:val="00BD2194"/>
    <w:rsid w:val="00BD3DBE"/>
    <w:rsid w:val="00BD5C1C"/>
    <w:rsid w:val="00BD7E9B"/>
    <w:rsid w:val="00BD7F52"/>
    <w:rsid w:val="00BE1875"/>
    <w:rsid w:val="00BE3C4E"/>
    <w:rsid w:val="00BE490B"/>
    <w:rsid w:val="00BE5F4D"/>
    <w:rsid w:val="00BE5FB5"/>
    <w:rsid w:val="00BE66A0"/>
    <w:rsid w:val="00BF14FA"/>
    <w:rsid w:val="00BF3835"/>
    <w:rsid w:val="00BF3C82"/>
    <w:rsid w:val="00BF3FBE"/>
    <w:rsid w:val="00BF5520"/>
    <w:rsid w:val="00BF5E94"/>
    <w:rsid w:val="00BF667A"/>
    <w:rsid w:val="00BF7780"/>
    <w:rsid w:val="00C00202"/>
    <w:rsid w:val="00C0086D"/>
    <w:rsid w:val="00C00B22"/>
    <w:rsid w:val="00C00CFA"/>
    <w:rsid w:val="00C03B3E"/>
    <w:rsid w:val="00C0464E"/>
    <w:rsid w:val="00C05007"/>
    <w:rsid w:val="00C05CBE"/>
    <w:rsid w:val="00C061EE"/>
    <w:rsid w:val="00C0749E"/>
    <w:rsid w:val="00C119E5"/>
    <w:rsid w:val="00C11BCA"/>
    <w:rsid w:val="00C11F6C"/>
    <w:rsid w:val="00C124CC"/>
    <w:rsid w:val="00C126D7"/>
    <w:rsid w:val="00C12916"/>
    <w:rsid w:val="00C136C4"/>
    <w:rsid w:val="00C1595B"/>
    <w:rsid w:val="00C15AC6"/>
    <w:rsid w:val="00C1760C"/>
    <w:rsid w:val="00C20825"/>
    <w:rsid w:val="00C22C61"/>
    <w:rsid w:val="00C23BA5"/>
    <w:rsid w:val="00C24A84"/>
    <w:rsid w:val="00C24B26"/>
    <w:rsid w:val="00C24D41"/>
    <w:rsid w:val="00C25DEC"/>
    <w:rsid w:val="00C25F4D"/>
    <w:rsid w:val="00C26336"/>
    <w:rsid w:val="00C3044B"/>
    <w:rsid w:val="00C30A31"/>
    <w:rsid w:val="00C30E96"/>
    <w:rsid w:val="00C315EB"/>
    <w:rsid w:val="00C34F70"/>
    <w:rsid w:val="00C35C52"/>
    <w:rsid w:val="00C36B37"/>
    <w:rsid w:val="00C36C0C"/>
    <w:rsid w:val="00C372AD"/>
    <w:rsid w:val="00C40E5E"/>
    <w:rsid w:val="00C40E8C"/>
    <w:rsid w:val="00C41E4E"/>
    <w:rsid w:val="00C42BA5"/>
    <w:rsid w:val="00C42C1D"/>
    <w:rsid w:val="00C42F1E"/>
    <w:rsid w:val="00C437BF"/>
    <w:rsid w:val="00C43CA7"/>
    <w:rsid w:val="00C44291"/>
    <w:rsid w:val="00C44828"/>
    <w:rsid w:val="00C44A8A"/>
    <w:rsid w:val="00C44D68"/>
    <w:rsid w:val="00C45AD0"/>
    <w:rsid w:val="00C466B1"/>
    <w:rsid w:val="00C46C39"/>
    <w:rsid w:val="00C47C48"/>
    <w:rsid w:val="00C51CDA"/>
    <w:rsid w:val="00C52003"/>
    <w:rsid w:val="00C52007"/>
    <w:rsid w:val="00C52CE9"/>
    <w:rsid w:val="00C54C01"/>
    <w:rsid w:val="00C54EA6"/>
    <w:rsid w:val="00C55445"/>
    <w:rsid w:val="00C55D2C"/>
    <w:rsid w:val="00C5650E"/>
    <w:rsid w:val="00C572A3"/>
    <w:rsid w:val="00C57CA7"/>
    <w:rsid w:val="00C61025"/>
    <w:rsid w:val="00C61FB8"/>
    <w:rsid w:val="00C632CC"/>
    <w:rsid w:val="00C63BD8"/>
    <w:rsid w:val="00C65A7D"/>
    <w:rsid w:val="00C66E31"/>
    <w:rsid w:val="00C70893"/>
    <w:rsid w:val="00C70B49"/>
    <w:rsid w:val="00C71212"/>
    <w:rsid w:val="00C736B2"/>
    <w:rsid w:val="00C74595"/>
    <w:rsid w:val="00C750B3"/>
    <w:rsid w:val="00C76B65"/>
    <w:rsid w:val="00C77059"/>
    <w:rsid w:val="00C77430"/>
    <w:rsid w:val="00C806D4"/>
    <w:rsid w:val="00C811E7"/>
    <w:rsid w:val="00C8153E"/>
    <w:rsid w:val="00C81C02"/>
    <w:rsid w:val="00C82556"/>
    <w:rsid w:val="00C831A8"/>
    <w:rsid w:val="00C8370E"/>
    <w:rsid w:val="00C84308"/>
    <w:rsid w:val="00C84C62"/>
    <w:rsid w:val="00C85DA0"/>
    <w:rsid w:val="00C868F4"/>
    <w:rsid w:val="00C86E02"/>
    <w:rsid w:val="00C87BBC"/>
    <w:rsid w:val="00C9037C"/>
    <w:rsid w:val="00C9066E"/>
    <w:rsid w:val="00C90FDD"/>
    <w:rsid w:val="00C9131B"/>
    <w:rsid w:val="00C913A9"/>
    <w:rsid w:val="00C918C0"/>
    <w:rsid w:val="00C928AB"/>
    <w:rsid w:val="00C938E1"/>
    <w:rsid w:val="00C93907"/>
    <w:rsid w:val="00C9444E"/>
    <w:rsid w:val="00C945B2"/>
    <w:rsid w:val="00C95219"/>
    <w:rsid w:val="00C953D3"/>
    <w:rsid w:val="00C95958"/>
    <w:rsid w:val="00C96145"/>
    <w:rsid w:val="00C96611"/>
    <w:rsid w:val="00C971D1"/>
    <w:rsid w:val="00C9763C"/>
    <w:rsid w:val="00CA191E"/>
    <w:rsid w:val="00CA3716"/>
    <w:rsid w:val="00CA3B23"/>
    <w:rsid w:val="00CA4168"/>
    <w:rsid w:val="00CA4E10"/>
    <w:rsid w:val="00CA713E"/>
    <w:rsid w:val="00CB17C9"/>
    <w:rsid w:val="00CB2FEB"/>
    <w:rsid w:val="00CB3E4A"/>
    <w:rsid w:val="00CB4302"/>
    <w:rsid w:val="00CB5417"/>
    <w:rsid w:val="00CB5BC2"/>
    <w:rsid w:val="00CB6A9B"/>
    <w:rsid w:val="00CB7352"/>
    <w:rsid w:val="00CC01A7"/>
    <w:rsid w:val="00CC1820"/>
    <w:rsid w:val="00CC2BF5"/>
    <w:rsid w:val="00CC32F2"/>
    <w:rsid w:val="00CC394C"/>
    <w:rsid w:val="00CC3DD5"/>
    <w:rsid w:val="00CC659D"/>
    <w:rsid w:val="00CC670B"/>
    <w:rsid w:val="00CC78BA"/>
    <w:rsid w:val="00CD01D5"/>
    <w:rsid w:val="00CD3784"/>
    <w:rsid w:val="00CD3D58"/>
    <w:rsid w:val="00CD43F9"/>
    <w:rsid w:val="00CD443F"/>
    <w:rsid w:val="00CD59AE"/>
    <w:rsid w:val="00CD6E0B"/>
    <w:rsid w:val="00CD6ED6"/>
    <w:rsid w:val="00CE09C2"/>
    <w:rsid w:val="00CE210A"/>
    <w:rsid w:val="00CE2221"/>
    <w:rsid w:val="00CE2385"/>
    <w:rsid w:val="00CE24BC"/>
    <w:rsid w:val="00CE2EC9"/>
    <w:rsid w:val="00CE34B4"/>
    <w:rsid w:val="00CE4689"/>
    <w:rsid w:val="00CE4E99"/>
    <w:rsid w:val="00CE5557"/>
    <w:rsid w:val="00CE5835"/>
    <w:rsid w:val="00CE5D7C"/>
    <w:rsid w:val="00CE6260"/>
    <w:rsid w:val="00CF09E4"/>
    <w:rsid w:val="00CF0ED7"/>
    <w:rsid w:val="00CF1C6A"/>
    <w:rsid w:val="00CF2DAE"/>
    <w:rsid w:val="00CF2E68"/>
    <w:rsid w:val="00CF3550"/>
    <w:rsid w:val="00CF389E"/>
    <w:rsid w:val="00CF4DC6"/>
    <w:rsid w:val="00CF6029"/>
    <w:rsid w:val="00CF65CB"/>
    <w:rsid w:val="00CF687F"/>
    <w:rsid w:val="00CF69BE"/>
    <w:rsid w:val="00CF7CB7"/>
    <w:rsid w:val="00CF7EEA"/>
    <w:rsid w:val="00D0036F"/>
    <w:rsid w:val="00D00940"/>
    <w:rsid w:val="00D021A2"/>
    <w:rsid w:val="00D03349"/>
    <w:rsid w:val="00D033EC"/>
    <w:rsid w:val="00D03862"/>
    <w:rsid w:val="00D03B41"/>
    <w:rsid w:val="00D040AA"/>
    <w:rsid w:val="00D052DF"/>
    <w:rsid w:val="00D0546D"/>
    <w:rsid w:val="00D05FB9"/>
    <w:rsid w:val="00D062BB"/>
    <w:rsid w:val="00D064EB"/>
    <w:rsid w:val="00D06C76"/>
    <w:rsid w:val="00D11D4B"/>
    <w:rsid w:val="00D129BC"/>
    <w:rsid w:val="00D13A3A"/>
    <w:rsid w:val="00D14138"/>
    <w:rsid w:val="00D1419B"/>
    <w:rsid w:val="00D14F02"/>
    <w:rsid w:val="00D153B4"/>
    <w:rsid w:val="00D15819"/>
    <w:rsid w:val="00D1673F"/>
    <w:rsid w:val="00D17C9E"/>
    <w:rsid w:val="00D17DE8"/>
    <w:rsid w:val="00D205BC"/>
    <w:rsid w:val="00D20E62"/>
    <w:rsid w:val="00D21044"/>
    <w:rsid w:val="00D227C6"/>
    <w:rsid w:val="00D22B9D"/>
    <w:rsid w:val="00D230A8"/>
    <w:rsid w:val="00D261B6"/>
    <w:rsid w:val="00D26363"/>
    <w:rsid w:val="00D2682C"/>
    <w:rsid w:val="00D26D32"/>
    <w:rsid w:val="00D30D21"/>
    <w:rsid w:val="00D310AB"/>
    <w:rsid w:val="00D31807"/>
    <w:rsid w:val="00D3200A"/>
    <w:rsid w:val="00D34417"/>
    <w:rsid w:val="00D34574"/>
    <w:rsid w:val="00D349A7"/>
    <w:rsid w:val="00D35113"/>
    <w:rsid w:val="00D354D8"/>
    <w:rsid w:val="00D35DD6"/>
    <w:rsid w:val="00D35E12"/>
    <w:rsid w:val="00D361B1"/>
    <w:rsid w:val="00D371D2"/>
    <w:rsid w:val="00D37924"/>
    <w:rsid w:val="00D37F9B"/>
    <w:rsid w:val="00D404BE"/>
    <w:rsid w:val="00D410C8"/>
    <w:rsid w:val="00D412E7"/>
    <w:rsid w:val="00D43070"/>
    <w:rsid w:val="00D43145"/>
    <w:rsid w:val="00D43784"/>
    <w:rsid w:val="00D439D1"/>
    <w:rsid w:val="00D448E9"/>
    <w:rsid w:val="00D44E1D"/>
    <w:rsid w:val="00D44FE7"/>
    <w:rsid w:val="00D45969"/>
    <w:rsid w:val="00D45CAD"/>
    <w:rsid w:val="00D477E3"/>
    <w:rsid w:val="00D53241"/>
    <w:rsid w:val="00D53BF7"/>
    <w:rsid w:val="00D53CB0"/>
    <w:rsid w:val="00D541C2"/>
    <w:rsid w:val="00D541E0"/>
    <w:rsid w:val="00D54D70"/>
    <w:rsid w:val="00D556A8"/>
    <w:rsid w:val="00D56585"/>
    <w:rsid w:val="00D56903"/>
    <w:rsid w:val="00D56A68"/>
    <w:rsid w:val="00D60C0F"/>
    <w:rsid w:val="00D60F59"/>
    <w:rsid w:val="00D61199"/>
    <w:rsid w:val="00D611D8"/>
    <w:rsid w:val="00D612E8"/>
    <w:rsid w:val="00D62072"/>
    <w:rsid w:val="00D6282B"/>
    <w:rsid w:val="00D62F6D"/>
    <w:rsid w:val="00D632F6"/>
    <w:rsid w:val="00D63845"/>
    <w:rsid w:val="00D65105"/>
    <w:rsid w:val="00D658BE"/>
    <w:rsid w:val="00D6734B"/>
    <w:rsid w:val="00D67511"/>
    <w:rsid w:val="00D67AD0"/>
    <w:rsid w:val="00D67F2F"/>
    <w:rsid w:val="00D71A4E"/>
    <w:rsid w:val="00D72678"/>
    <w:rsid w:val="00D75065"/>
    <w:rsid w:val="00D75935"/>
    <w:rsid w:val="00D7692A"/>
    <w:rsid w:val="00D76F2F"/>
    <w:rsid w:val="00D807B5"/>
    <w:rsid w:val="00D808BC"/>
    <w:rsid w:val="00D81803"/>
    <w:rsid w:val="00D838CE"/>
    <w:rsid w:val="00D8401B"/>
    <w:rsid w:val="00D855EF"/>
    <w:rsid w:val="00D857BD"/>
    <w:rsid w:val="00D85DD5"/>
    <w:rsid w:val="00D86E5D"/>
    <w:rsid w:val="00D877CB"/>
    <w:rsid w:val="00D90236"/>
    <w:rsid w:val="00D91FCE"/>
    <w:rsid w:val="00D9206F"/>
    <w:rsid w:val="00D92616"/>
    <w:rsid w:val="00D92816"/>
    <w:rsid w:val="00D93E57"/>
    <w:rsid w:val="00D95727"/>
    <w:rsid w:val="00D9593D"/>
    <w:rsid w:val="00D96009"/>
    <w:rsid w:val="00DA1017"/>
    <w:rsid w:val="00DA1E38"/>
    <w:rsid w:val="00DA473E"/>
    <w:rsid w:val="00DA4A0B"/>
    <w:rsid w:val="00DA5448"/>
    <w:rsid w:val="00DA58B4"/>
    <w:rsid w:val="00DA65AE"/>
    <w:rsid w:val="00DA65C2"/>
    <w:rsid w:val="00DA7392"/>
    <w:rsid w:val="00DB0004"/>
    <w:rsid w:val="00DB01EA"/>
    <w:rsid w:val="00DB16E2"/>
    <w:rsid w:val="00DB19EB"/>
    <w:rsid w:val="00DB1AE2"/>
    <w:rsid w:val="00DB2473"/>
    <w:rsid w:val="00DB2A6E"/>
    <w:rsid w:val="00DB3A34"/>
    <w:rsid w:val="00DB3B9D"/>
    <w:rsid w:val="00DB3C79"/>
    <w:rsid w:val="00DB42AB"/>
    <w:rsid w:val="00DB72A2"/>
    <w:rsid w:val="00DC20E9"/>
    <w:rsid w:val="00DC237D"/>
    <w:rsid w:val="00DC2EE2"/>
    <w:rsid w:val="00DC412D"/>
    <w:rsid w:val="00DC4AD5"/>
    <w:rsid w:val="00DC4BA8"/>
    <w:rsid w:val="00DC519D"/>
    <w:rsid w:val="00DC6335"/>
    <w:rsid w:val="00DC734C"/>
    <w:rsid w:val="00DD0448"/>
    <w:rsid w:val="00DD1275"/>
    <w:rsid w:val="00DD15FE"/>
    <w:rsid w:val="00DD1959"/>
    <w:rsid w:val="00DD1BBA"/>
    <w:rsid w:val="00DD2660"/>
    <w:rsid w:val="00DD34DA"/>
    <w:rsid w:val="00DD37C2"/>
    <w:rsid w:val="00DD3CB1"/>
    <w:rsid w:val="00DD4AC4"/>
    <w:rsid w:val="00DD4CA3"/>
    <w:rsid w:val="00DD530B"/>
    <w:rsid w:val="00DD6F1F"/>
    <w:rsid w:val="00DD73C0"/>
    <w:rsid w:val="00DE0075"/>
    <w:rsid w:val="00DE0093"/>
    <w:rsid w:val="00DE24B0"/>
    <w:rsid w:val="00DE2909"/>
    <w:rsid w:val="00DE3C77"/>
    <w:rsid w:val="00DE4DAD"/>
    <w:rsid w:val="00DE5642"/>
    <w:rsid w:val="00DE6367"/>
    <w:rsid w:val="00DF058D"/>
    <w:rsid w:val="00DF1D30"/>
    <w:rsid w:val="00DF22F8"/>
    <w:rsid w:val="00DF3B0E"/>
    <w:rsid w:val="00DF44C3"/>
    <w:rsid w:val="00DF5C30"/>
    <w:rsid w:val="00DF5D77"/>
    <w:rsid w:val="00DF70EE"/>
    <w:rsid w:val="00DF73D6"/>
    <w:rsid w:val="00DF753C"/>
    <w:rsid w:val="00E00D7B"/>
    <w:rsid w:val="00E013BB"/>
    <w:rsid w:val="00E032C9"/>
    <w:rsid w:val="00E03821"/>
    <w:rsid w:val="00E048D0"/>
    <w:rsid w:val="00E04C94"/>
    <w:rsid w:val="00E04F6F"/>
    <w:rsid w:val="00E051E7"/>
    <w:rsid w:val="00E05D2D"/>
    <w:rsid w:val="00E05F29"/>
    <w:rsid w:val="00E07C8D"/>
    <w:rsid w:val="00E07EC2"/>
    <w:rsid w:val="00E10923"/>
    <w:rsid w:val="00E11649"/>
    <w:rsid w:val="00E11EBB"/>
    <w:rsid w:val="00E11FFC"/>
    <w:rsid w:val="00E12618"/>
    <w:rsid w:val="00E12DB8"/>
    <w:rsid w:val="00E134C3"/>
    <w:rsid w:val="00E136C0"/>
    <w:rsid w:val="00E15946"/>
    <w:rsid w:val="00E15DAE"/>
    <w:rsid w:val="00E16886"/>
    <w:rsid w:val="00E16B03"/>
    <w:rsid w:val="00E20701"/>
    <w:rsid w:val="00E211F0"/>
    <w:rsid w:val="00E21520"/>
    <w:rsid w:val="00E21DE5"/>
    <w:rsid w:val="00E220B1"/>
    <w:rsid w:val="00E22A47"/>
    <w:rsid w:val="00E22F24"/>
    <w:rsid w:val="00E23584"/>
    <w:rsid w:val="00E23E75"/>
    <w:rsid w:val="00E246B2"/>
    <w:rsid w:val="00E25616"/>
    <w:rsid w:val="00E26EEC"/>
    <w:rsid w:val="00E27A6A"/>
    <w:rsid w:val="00E3019E"/>
    <w:rsid w:val="00E308F7"/>
    <w:rsid w:val="00E30B0E"/>
    <w:rsid w:val="00E3153A"/>
    <w:rsid w:val="00E31E83"/>
    <w:rsid w:val="00E33133"/>
    <w:rsid w:val="00E334F7"/>
    <w:rsid w:val="00E336FF"/>
    <w:rsid w:val="00E33B6D"/>
    <w:rsid w:val="00E33DE5"/>
    <w:rsid w:val="00E33FA4"/>
    <w:rsid w:val="00E33FCF"/>
    <w:rsid w:val="00E3447D"/>
    <w:rsid w:val="00E34E2B"/>
    <w:rsid w:val="00E365AF"/>
    <w:rsid w:val="00E41209"/>
    <w:rsid w:val="00E43D88"/>
    <w:rsid w:val="00E44524"/>
    <w:rsid w:val="00E44941"/>
    <w:rsid w:val="00E45390"/>
    <w:rsid w:val="00E4580D"/>
    <w:rsid w:val="00E47270"/>
    <w:rsid w:val="00E47A0E"/>
    <w:rsid w:val="00E50A8A"/>
    <w:rsid w:val="00E527AF"/>
    <w:rsid w:val="00E53AE6"/>
    <w:rsid w:val="00E550BA"/>
    <w:rsid w:val="00E552A3"/>
    <w:rsid w:val="00E5571F"/>
    <w:rsid w:val="00E55890"/>
    <w:rsid w:val="00E55BA5"/>
    <w:rsid w:val="00E55C9E"/>
    <w:rsid w:val="00E564E4"/>
    <w:rsid w:val="00E568E3"/>
    <w:rsid w:val="00E57211"/>
    <w:rsid w:val="00E57E9B"/>
    <w:rsid w:val="00E6083C"/>
    <w:rsid w:val="00E61B26"/>
    <w:rsid w:val="00E620DF"/>
    <w:rsid w:val="00E62976"/>
    <w:rsid w:val="00E646A4"/>
    <w:rsid w:val="00E647C5"/>
    <w:rsid w:val="00E66691"/>
    <w:rsid w:val="00E6688D"/>
    <w:rsid w:val="00E6696F"/>
    <w:rsid w:val="00E66FD9"/>
    <w:rsid w:val="00E67219"/>
    <w:rsid w:val="00E673DE"/>
    <w:rsid w:val="00E675D3"/>
    <w:rsid w:val="00E67C0C"/>
    <w:rsid w:val="00E67DF0"/>
    <w:rsid w:val="00E702DA"/>
    <w:rsid w:val="00E70DAF"/>
    <w:rsid w:val="00E70E61"/>
    <w:rsid w:val="00E70EC4"/>
    <w:rsid w:val="00E727A7"/>
    <w:rsid w:val="00E739EB"/>
    <w:rsid w:val="00E74C59"/>
    <w:rsid w:val="00E7744D"/>
    <w:rsid w:val="00E77AD4"/>
    <w:rsid w:val="00E80DB2"/>
    <w:rsid w:val="00E80F7E"/>
    <w:rsid w:val="00E81C27"/>
    <w:rsid w:val="00E824AA"/>
    <w:rsid w:val="00E8318D"/>
    <w:rsid w:val="00E83B3C"/>
    <w:rsid w:val="00E848EA"/>
    <w:rsid w:val="00E85F3F"/>
    <w:rsid w:val="00E86188"/>
    <w:rsid w:val="00E86642"/>
    <w:rsid w:val="00E86B2F"/>
    <w:rsid w:val="00E86D18"/>
    <w:rsid w:val="00E90DFF"/>
    <w:rsid w:val="00E91658"/>
    <w:rsid w:val="00E92352"/>
    <w:rsid w:val="00E92641"/>
    <w:rsid w:val="00E929A2"/>
    <w:rsid w:val="00E95829"/>
    <w:rsid w:val="00E9706A"/>
    <w:rsid w:val="00EA01AA"/>
    <w:rsid w:val="00EA0677"/>
    <w:rsid w:val="00EA0E45"/>
    <w:rsid w:val="00EA14CD"/>
    <w:rsid w:val="00EA3302"/>
    <w:rsid w:val="00EA3B3A"/>
    <w:rsid w:val="00EA3DA8"/>
    <w:rsid w:val="00EA3F52"/>
    <w:rsid w:val="00EA4B3C"/>
    <w:rsid w:val="00EA5EAE"/>
    <w:rsid w:val="00EA6038"/>
    <w:rsid w:val="00EA7209"/>
    <w:rsid w:val="00EA763F"/>
    <w:rsid w:val="00EA7D13"/>
    <w:rsid w:val="00EB0034"/>
    <w:rsid w:val="00EB0B62"/>
    <w:rsid w:val="00EB3054"/>
    <w:rsid w:val="00EB3118"/>
    <w:rsid w:val="00EB38F3"/>
    <w:rsid w:val="00EB39D2"/>
    <w:rsid w:val="00EB3FB2"/>
    <w:rsid w:val="00EB646F"/>
    <w:rsid w:val="00EB69AA"/>
    <w:rsid w:val="00EB6B64"/>
    <w:rsid w:val="00EB7BD5"/>
    <w:rsid w:val="00EB7E5A"/>
    <w:rsid w:val="00EC10B1"/>
    <w:rsid w:val="00EC1DC4"/>
    <w:rsid w:val="00EC221A"/>
    <w:rsid w:val="00EC23D8"/>
    <w:rsid w:val="00EC486A"/>
    <w:rsid w:val="00EC542D"/>
    <w:rsid w:val="00EC5EF9"/>
    <w:rsid w:val="00EC6942"/>
    <w:rsid w:val="00ED1FFD"/>
    <w:rsid w:val="00ED29FA"/>
    <w:rsid w:val="00ED38F4"/>
    <w:rsid w:val="00ED3E91"/>
    <w:rsid w:val="00ED4B5B"/>
    <w:rsid w:val="00EE24C5"/>
    <w:rsid w:val="00EE28F5"/>
    <w:rsid w:val="00EE3BDC"/>
    <w:rsid w:val="00EE50AB"/>
    <w:rsid w:val="00EE6012"/>
    <w:rsid w:val="00EE61C9"/>
    <w:rsid w:val="00EE702D"/>
    <w:rsid w:val="00EE7C22"/>
    <w:rsid w:val="00EF0965"/>
    <w:rsid w:val="00EF1A39"/>
    <w:rsid w:val="00EF1FD1"/>
    <w:rsid w:val="00EF3ECA"/>
    <w:rsid w:val="00EF412A"/>
    <w:rsid w:val="00EF42B2"/>
    <w:rsid w:val="00EF4B26"/>
    <w:rsid w:val="00EF5E55"/>
    <w:rsid w:val="00EF620A"/>
    <w:rsid w:val="00EF6BDD"/>
    <w:rsid w:val="00EF6E08"/>
    <w:rsid w:val="00F02C22"/>
    <w:rsid w:val="00F038AB"/>
    <w:rsid w:val="00F04C2B"/>
    <w:rsid w:val="00F06CB4"/>
    <w:rsid w:val="00F07960"/>
    <w:rsid w:val="00F10508"/>
    <w:rsid w:val="00F10899"/>
    <w:rsid w:val="00F10D27"/>
    <w:rsid w:val="00F10D58"/>
    <w:rsid w:val="00F12329"/>
    <w:rsid w:val="00F125EE"/>
    <w:rsid w:val="00F128AA"/>
    <w:rsid w:val="00F12A40"/>
    <w:rsid w:val="00F12C4E"/>
    <w:rsid w:val="00F13C34"/>
    <w:rsid w:val="00F15096"/>
    <w:rsid w:val="00F16AA8"/>
    <w:rsid w:val="00F20195"/>
    <w:rsid w:val="00F20DD0"/>
    <w:rsid w:val="00F221DB"/>
    <w:rsid w:val="00F2221B"/>
    <w:rsid w:val="00F22EE2"/>
    <w:rsid w:val="00F24374"/>
    <w:rsid w:val="00F252B4"/>
    <w:rsid w:val="00F27299"/>
    <w:rsid w:val="00F31451"/>
    <w:rsid w:val="00F316E6"/>
    <w:rsid w:val="00F32C69"/>
    <w:rsid w:val="00F34169"/>
    <w:rsid w:val="00F363C5"/>
    <w:rsid w:val="00F404CD"/>
    <w:rsid w:val="00F42AC3"/>
    <w:rsid w:val="00F43E22"/>
    <w:rsid w:val="00F453A4"/>
    <w:rsid w:val="00F4626E"/>
    <w:rsid w:val="00F4691F"/>
    <w:rsid w:val="00F478BE"/>
    <w:rsid w:val="00F501D9"/>
    <w:rsid w:val="00F514BE"/>
    <w:rsid w:val="00F51A0C"/>
    <w:rsid w:val="00F5301C"/>
    <w:rsid w:val="00F5376C"/>
    <w:rsid w:val="00F53AA3"/>
    <w:rsid w:val="00F5423F"/>
    <w:rsid w:val="00F54BB1"/>
    <w:rsid w:val="00F54E51"/>
    <w:rsid w:val="00F5636A"/>
    <w:rsid w:val="00F570F1"/>
    <w:rsid w:val="00F5740A"/>
    <w:rsid w:val="00F57ABD"/>
    <w:rsid w:val="00F6098E"/>
    <w:rsid w:val="00F60E9F"/>
    <w:rsid w:val="00F60F5C"/>
    <w:rsid w:val="00F61B0B"/>
    <w:rsid w:val="00F61B23"/>
    <w:rsid w:val="00F63081"/>
    <w:rsid w:val="00F6412A"/>
    <w:rsid w:val="00F6424B"/>
    <w:rsid w:val="00F64A14"/>
    <w:rsid w:val="00F651E9"/>
    <w:rsid w:val="00F654BD"/>
    <w:rsid w:val="00F6767D"/>
    <w:rsid w:val="00F732F6"/>
    <w:rsid w:val="00F7370F"/>
    <w:rsid w:val="00F73CEA"/>
    <w:rsid w:val="00F74238"/>
    <w:rsid w:val="00F75059"/>
    <w:rsid w:val="00F759AE"/>
    <w:rsid w:val="00F76201"/>
    <w:rsid w:val="00F76A66"/>
    <w:rsid w:val="00F773AE"/>
    <w:rsid w:val="00F816AB"/>
    <w:rsid w:val="00F81967"/>
    <w:rsid w:val="00F82763"/>
    <w:rsid w:val="00F82774"/>
    <w:rsid w:val="00F82EC4"/>
    <w:rsid w:val="00F83361"/>
    <w:rsid w:val="00F869CD"/>
    <w:rsid w:val="00F86AAC"/>
    <w:rsid w:val="00F86B7C"/>
    <w:rsid w:val="00F86DC3"/>
    <w:rsid w:val="00F9096B"/>
    <w:rsid w:val="00F90BF1"/>
    <w:rsid w:val="00F9200C"/>
    <w:rsid w:val="00F92514"/>
    <w:rsid w:val="00F925B6"/>
    <w:rsid w:val="00F9328E"/>
    <w:rsid w:val="00F9350F"/>
    <w:rsid w:val="00F93812"/>
    <w:rsid w:val="00F961AF"/>
    <w:rsid w:val="00F96A3E"/>
    <w:rsid w:val="00F96A91"/>
    <w:rsid w:val="00F9754B"/>
    <w:rsid w:val="00FA06DC"/>
    <w:rsid w:val="00FA1C44"/>
    <w:rsid w:val="00FA1F11"/>
    <w:rsid w:val="00FA2055"/>
    <w:rsid w:val="00FA2138"/>
    <w:rsid w:val="00FA2CDA"/>
    <w:rsid w:val="00FA31CF"/>
    <w:rsid w:val="00FA320E"/>
    <w:rsid w:val="00FA3BDC"/>
    <w:rsid w:val="00FA4B00"/>
    <w:rsid w:val="00FA5394"/>
    <w:rsid w:val="00FA586A"/>
    <w:rsid w:val="00FA6AA7"/>
    <w:rsid w:val="00FA6F73"/>
    <w:rsid w:val="00FA74BB"/>
    <w:rsid w:val="00FA7763"/>
    <w:rsid w:val="00FB02B4"/>
    <w:rsid w:val="00FB056B"/>
    <w:rsid w:val="00FB0D95"/>
    <w:rsid w:val="00FB1301"/>
    <w:rsid w:val="00FB1644"/>
    <w:rsid w:val="00FB17A8"/>
    <w:rsid w:val="00FB250F"/>
    <w:rsid w:val="00FB2B01"/>
    <w:rsid w:val="00FB3248"/>
    <w:rsid w:val="00FB36BD"/>
    <w:rsid w:val="00FB4345"/>
    <w:rsid w:val="00FB5C2B"/>
    <w:rsid w:val="00FB65D9"/>
    <w:rsid w:val="00FB6F36"/>
    <w:rsid w:val="00FC0DF4"/>
    <w:rsid w:val="00FC1DAF"/>
    <w:rsid w:val="00FC257E"/>
    <w:rsid w:val="00FC2BBA"/>
    <w:rsid w:val="00FC3392"/>
    <w:rsid w:val="00FC376C"/>
    <w:rsid w:val="00FC3DF3"/>
    <w:rsid w:val="00FC5432"/>
    <w:rsid w:val="00FC5608"/>
    <w:rsid w:val="00FC65E3"/>
    <w:rsid w:val="00FC66A5"/>
    <w:rsid w:val="00FC6B01"/>
    <w:rsid w:val="00FD04AC"/>
    <w:rsid w:val="00FD18B7"/>
    <w:rsid w:val="00FD25C7"/>
    <w:rsid w:val="00FD28E8"/>
    <w:rsid w:val="00FD40B6"/>
    <w:rsid w:val="00FD427F"/>
    <w:rsid w:val="00FD4714"/>
    <w:rsid w:val="00FD4FA9"/>
    <w:rsid w:val="00FD5825"/>
    <w:rsid w:val="00FD63CB"/>
    <w:rsid w:val="00FD6F87"/>
    <w:rsid w:val="00FD7C51"/>
    <w:rsid w:val="00FE0290"/>
    <w:rsid w:val="00FE0594"/>
    <w:rsid w:val="00FE0806"/>
    <w:rsid w:val="00FE10EC"/>
    <w:rsid w:val="00FE152F"/>
    <w:rsid w:val="00FE1999"/>
    <w:rsid w:val="00FE1BA6"/>
    <w:rsid w:val="00FE1E10"/>
    <w:rsid w:val="00FE22F2"/>
    <w:rsid w:val="00FE2A1F"/>
    <w:rsid w:val="00FE38E3"/>
    <w:rsid w:val="00FE42D5"/>
    <w:rsid w:val="00FE6A8F"/>
    <w:rsid w:val="00FF0C7E"/>
    <w:rsid w:val="00FF1097"/>
    <w:rsid w:val="00FF135A"/>
    <w:rsid w:val="00FF1C14"/>
    <w:rsid w:val="00FF4FE6"/>
    <w:rsid w:val="00FF5421"/>
    <w:rsid w:val="00FF5DA7"/>
    <w:rsid w:val="00FF64E1"/>
    <w:rsid w:val="00FF7ECF"/>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style="mso-position-vertical-relative:line" fill="f" fillcolor="white" stroke="f">
      <v:fill color="white" on="f"/>
      <v:stroke on="f"/>
      <o:colormru v:ext="edit" colors="#fd18b9,#fd181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semiHidden="0" w:uiPriority="99" w:unhideWhenUsed="0" w:qFormat="1"/>
    <w:lsdException w:name="heading 4" w:semiHidden="0" w:uiPriority="99" w:unhideWhenUsed="0" w:qFormat="1"/>
    <w:lsdException w:name="heading 5" w:semiHidden="0" w:uiPriority="99" w:unhideWhenUsed="0"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uiPriority="99" w:qFormat="1"/>
    <w:lsdException w:name="footnote reference" w:uiPriority="99"/>
    <w:lsdException w:name="List Bullet" w:semiHidden="0" w:unhideWhenUsed="0"/>
    <w:lsdException w:name="List 3" w:semiHidden="0" w:unhideWhenUsed="0"/>
    <w:lsdException w:name="List 4" w:semiHidden="0" w:unhideWhenUsed="0"/>
    <w:lsdException w:name="Title" w:semiHidden="0" w:uiPriority="99" w:unhideWhenUsed="0" w:qFormat="1"/>
    <w:lsdException w:name="Default Paragraph Font" w:uiPriority="1"/>
    <w:lsdException w:name="Body Text" w:uiPriority="99"/>
    <w:lsdException w:name="Message Header" w:semiHidden="0" w:unhideWhenUsed="0"/>
    <w:lsdException w:name="Subtitle" w:semiHidden="0" w:unhideWhenUsed="0" w:qFormat="1"/>
    <w:lsdException w:name="Salutation" w:semiHidden="0" w:unhideWhenUsed="0"/>
    <w:lsdException w:name="Date" w:semiHidden="0" w:unhideWhenUsed="0"/>
    <w:lsdException w:name="Body Text 3" w:uiPriority="99"/>
    <w:lsdException w:name="Hyperlink" w:uiPriority="99"/>
    <w:lsdException w:name="Strong" w:semiHidden="0" w:unhideWhenUsed="0" w:qFormat="1"/>
    <w:lsdException w:name="Emphasis" w:semiHidden="0" w:uiPriority="20" w:unhideWhenUsed="0" w:qFormat="1"/>
    <w:lsdException w:name="Plain Text"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1E36"/>
    <w:pPr>
      <w:spacing w:line="348" w:lineRule="atLeast"/>
      <w:jc w:val="both"/>
    </w:pPr>
    <w:rPr>
      <w:rFonts w:ascii="Trebuchet MS" w:hAnsi="Trebuchet MS"/>
      <w:sz w:val="18"/>
      <w:szCs w:val="24"/>
      <w:lang w:val="fr-FR" w:eastAsia="fr-FR"/>
    </w:rPr>
  </w:style>
  <w:style w:type="paragraph" w:styleId="Titre1">
    <w:name w:val="heading 1"/>
    <w:aliases w:val="heading 1,Titre1.,T1"/>
    <w:basedOn w:val="Normal"/>
    <w:next w:val="Normal"/>
    <w:link w:val="Titre1Car"/>
    <w:uiPriority w:val="99"/>
    <w:qFormat/>
    <w:rsid w:val="00026241"/>
    <w:pPr>
      <w:keepNext/>
      <w:numPr>
        <w:numId w:val="1"/>
      </w:numPr>
      <w:spacing w:before="320" w:after="100" w:line="240" w:lineRule="auto"/>
      <w:jc w:val="left"/>
      <w:outlineLvl w:val="0"/>
    </w:pPr>
    <w:rPr>
      <w:rFonts w:cs="Arial"/>
      <w:b/>
      <w:bCs/>
      <w:caps/>
      <w:sz w:val="32"/>
      <w:szCs w:val="32"/>
      <w:u w:val="single"/>
    </w:rPr>
  </w:style>
  <w:style w:type="paragraph" w:styleId="Titre2">
    <w:name w:val="heading 2"/>
    <w:aliases w:val="T2,heading 2,(paragrafi),Rubrique évènement,Titre 1.1"/>
    <w:basedOn w:val="Normal"/>
    <w:next w:val="Normal"/>
    <w:link w:val="Titre2Car"/>
    <w:uiPriority w:val="99"/>
    <w:qFormat/>
    <w:rsid w:val="00026241"/>
    <w:pPr>
      <w:keepNext/>
      <w:numPr>
        <w:ilvl w:val="1"/>
        <w:numId w:val="1"/>
      </w:numPr>
      <w:spacing w:before="320" w:after="100"/>
      <w:outlineLvl w:val="1"/>
    </w:pPr>
    <w:rPr>
      <w:rFonts w:cs="Arial"/>
      <w:b/>
      <w:bCs/>
      <w:iCs/>
      <w:caps/>
      <w:sz w:val="28"/>
      <w:szCs w:val="28"/>
    </w:rPr>
  </w:style>
  <w:style w:type="paragraph" w:styleId="Titre3">
    <w:name w:val="heading 3"/>
    <w:aliases w:val="Titre 1.1.1,T3"/>
    <w:basedOn w:val="Normal"/>
    <w:next w:val="Normal"/>
    <w:link w:val="Titre3Car"/>
    <w:uiPriority w:val="99"/>
    <w:qFormat/>
    <w:rsid w:val="00026241"/>
    <w:pPr>
      <w:keepNext/>
      <w:numPr>
        <w:ilvl w:val="2"/>
        <w:numId w:val="1"/>
      </w:numPr>
      <w:spacing w:before="320" w:after="100"/>
      <w:jc w:val="left"/>
      <w:outlineLvl w:val="2"/>
    </w:pPr>
    <w:rPr>
      <w:rFonts w:cs="Arial"/>
      <w:bCs/>
      <w:i/>
      <w:caps/>
      <w:sz w:val="26"/>
      <w:szCs w:val="26"/>
    </w:rPr>
  </w:style>
  <w:style w:type="paragraph" w:styleId="Titre4">
    <w:name w:val="heading 4"/>
    <w:aliases w:val="heading 4,T4,Titre 1.1.1.1"/>
    <w:basedOn w:val="Normal"/>
    <w:next w:val="Normal"/>
    <w:link w:val="Titre4Car"/>
    <w:uiPriority w:val="99"/>
    <w:qFormat/>
    <w:rsid w:val="00026241"/>
    <w:pPr>
      <w:keepNext/>
      <w:numPr>
        <w:ilvl w:val="3"/>
        <w:numId w:val="1"/>
      </w:numPr>
      <w:spacing w:before="240" w:after="100"/>
      <w:jc w:val="left"/>
      <w:outlineLvl w:val="3"/>
    </w:pPr>
    <w:rPr>
      <w:b/>
      <w:bCs/>
      <w:sz w:val="23"/>
      <w:szCs w:val="28"/>
      <w:u w:val="single"/>
    </w:rPr>
  </w:style>
  <w:style w:type="paragraph" w:styleId="Titre5">
    <w:name w:val="heading 5"/>
    <w:aliases w:val="T5,Titre 1.1.1.1.1"/>
    <w:basedOn w:val="Normal"/>
    <w:next w:val="Normal"/>
    <w:uiPriority w:val="99"/>
    <w:qFormat/>
    <w:rsid w:val="00026241"/>
    <w:pPr>
      <w:numPr>
        <w:ilvl w:val="4"/>
        <w:numId w:val="1"/>
      </w:numPr>
      <w:spacing w:before="240" w:after="100"/>
      <w:jc w:val="left"/>
      <w:outlineLvl w:val="4"/>
    </w:pPr>
    <w:rPr>
      <w:b/>
      <w:bCs/>
      <w:iCs/>
      <w:sz w:val="23"/>
      <w:szCs w:val="26"/>
    </w:rPr>
  </w:style>
  <w:style w:type="paragraph" w:styleId="Titre6">
    <w:name w:val="heading 6"/>
    <w:aliases w:val="T6"/>
    <w:basedOn w:val="Normal"/>
    <w:next w:val="Normal"/>
    <w:uiPriority w:val="99"/>
    <w:qFormat/>
    <w:rsid w:val="00026241"/>
    <w:pPr>
      <w:numPr>
        <w:ilvl w:val="5"/>
        <w:numId w:val="1"/>
      </w:numPr>
      <w:spacing w:before="240" w:after="100"/>
      <w:jc w:val="left"/>
      <w:outlineLvl w:val="5"/>
    </w:pPr>
    <w:rPr>
      <w:bCs/>
      <w:i/>
      <w:sz w:val="23"/>
      <w:szCs w:val="22"/>
    </w:rPr>
  </w:style>
  <w:style w:type="paragraph" w:styleId="Titre7">
    <w:name w:val="heading 7"/>
    <w:aliases w:val="T7"/>
    <w:basedOn w:val="Normal"/>
    <w:next w:val="Normal"/>
    <w:uiPriority w:val="99"/>
    <w:qFormat/>
    <w:rsid w:val="00026241"/>
    <w:pPr>
      <w:numPr>
        <w:ilvl w:val="6"/>
        <w:numId w:val="1"/>
      </w:numPr>
      <w:spacing w:before="240" w:after="100"/>
      <w:jc w:val="left"/>
      <w:outlineLvl w:val="6"/>
    </w:pPr>
    <w:rPr>
      <w:b/>
      <w:sz w:val="20"/>
      <w:u w:val="single"/>
    </w:rPr>
  </w:style>
  <w:style w:type="paragraph" w:styleId="Titre8">
    <w:name w:val="heading 8"/>
    <w:aliases w:val="T8"/>
    <w:basedOn w:val="Normal"/>
    <w:next w:val="Normal"/>
    <w:uiPriority w:val="99"/>
    <w:qFormat/>
    <w:rsid w:val="00026241"/>
    <w:pPr>
      <w:numPr>
        <w:ilvl w:val="7"/>
        <w:numId w:val="1"/>
      </w:numPr>
      <w:spacing w:before="240" w:after="100"/>
      <w:jc w:val="left"/>
      <w:outlineLvl w:val="7"/>
    </w:pPr>
    <w:rPr>
      <w:b/>
      <w:iCs/>
      <w:sz w:val="20"/>
    </w:rPr>
  </w:style>
  <w:style w:type="paragraph" w:styleId="Titre9">
    <w:name w:val="heading 9"/>
    <w:aliases w:val="T9"/>
    <w:basedOn w:val="Normal"/>
    <w:next w:val="Normal"/>
    <w:uiPriority w:val="99"/>
    <w:qFormat/>
    <w:rsid w:val="00026241"/>
    <w:pPr>
      <w:numPr>
        <w:ilvl w:val="8"/>
        <w:numId w:val="1"/>
      </w:numPr>
      <w:spacing w:before="240" w:after="100"/>
      <w:jc w:val="left"/>
      <w:outlineLvl w:val="8"/>
    </w:pPr>
    <w:rPr>
      <w:rFonts w:cs="Arial"/>
      <w:i/>
      <w:sz w:val="20"/>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heading 1 Car,Titre1. Car1,T1 Car"/>
    <w:link w:val="Titre1"/>
    <w:uiPriority w:val="99"/>
    <w:rsid w:val="00026241"/>
    <w:rPr>
      <w:rFonts w:ascii="Trebuchet MS" w:hAnsi="Trebuchet MS" w:cs="Arial"/>
      <w:b/>
      <w:bCs/>
      <w:caps/>
      <w:sz w:val="32"/>
      <w:szCs w:val="32"/>
      <w:u w:val="single"/>
      <w:lang w:val="fr-FR" w:eastAsia="fr-FR"/>
    </w:rPr>
  </w:style>
  <w:style w:type="character" w:customStyle="1" w:styleId="Titre2Car">
    <w:name w:val="Titre 2 Car"/>
    <w:aliases w:val="T2 Car1,heading 2 Car1,(paragrafi) Car1,Rubrique évènement Car,Titre 1.1 Car"/>
    <w:link w:val="Titre2"/>
    <w:uiPriority w:val="99"/>
    <w:locked/>
    <w:rsid w:val="00026241"/>
    <w:rPr>
      <w:rFonts w:ascii="Trebuchet MS" w:hAnsi="Trebuchet MS" w:cs="Arial"/>
      <w:b/>
      <w:bCs/>
      <w:iCs/>
      <w:caps/>
      <w:sz w:val="28"/>
      <w:szCs w:val="28"/>
      <w:lang w:val="fr-FR" w:eastAsia="fr-FR"/>
    </w:rPr>
  </w:style>
  <w:style w:type="character" w:customStyle="1" w:styleId="Titre3Car">
    <w:name w:val="Titre 3 Car"/>
    <w:aliases w:val="Titre 1.1.1 Car,T3 Car"/>
    <w:link w:val="Titre3"/>
    <w:uiPriority w:val="99"/>
    <w:rsid w:val="00026241"/>
    <w:rPr>
      <w:rFonts w:ascii="Trebuchet MS" w:hAnsi="Trebuchet MS" w:cs="Arial"/>
      <w:bCs/>
      <w:i/>
      <w:caps/>
      <w:sz w:val="26"/>
      <w:szCs w:val="26"/>
      <w:lang w:val="fr-FR" w:eastAsia="fr-FR"/>
    </w:rPr>
  </w:style>
  <w:style w:type="character" w:customStyle="1" w:styleId="Titre4Car">
    <w:name w:val="Titre 4 Car"/>
    <w:aliases w:val="heading 4 Car,T4 Car,Titre 1.1.1.1 Car"/>
    <w:link w:val="Titre4"/>
    <w:uiPriority w:val="99"/>
    <w:rsid w:val="004E0510"/>
    <w:rPr>
      <w:rFonts w:ascii="Trebuchet MS" w:hAnsi="Trebuchet MS"/>
      <w:b/>
      <w:bCs/>
      <w:sz w:val="23"/>
      <w:szCs w:val="28"/>
      <w:u w:val="single"/>
      <w:lang w:val="fr-FR" w:eastAsia="fr-FR"/>
    </w:rPr>
  </w:style>
  <w:style w:type="paragraph" w:styleId="Explorateurdedocuments">
    <w:name w:val="Document Map"/>
    <w:basedOn w:val="Normal"/>
    <w:semiHidden/>
    <w:rsid w:val="00BC5399"/>
    <w:pPr>
      <w:shd w:val="clear" w:color="auto" w:fill="000080"/>
    </w:pPr>
    <w:rPr>
      <w:rFonts w:ascii="Tahoma" w:hAnsi="Tahoma" w:cs="Tahoma"/>
      <w:sz w:val="20"/>
      <w:szCs w:val="20"/>
    </w:rPr>
  </w:style>
  <w:style w:type="paragraph" w:customStyle="1" w:styleId="ASAMPSAtable">
    <w:name w:val="ASAMPSA table"/>
    <w:basedOn w:val="Normal"/>
    <w:next w:val="Normal"/>
    <w:link w:val="ASAMPSAtableCarCar"/>
    <w:rsid w:val="00E55C9E"/>
    <w:pPr>
      <w:widowControl w:val="0"/>
      <w:numPr>
        <w:numId w:val="6"/>
      </w:numPr>
      <w:jc w:val="center"/>
    </w:pPr>
    <w:rPr>
      <w:b/>
      <w:lang w:val="en-US" w:eastAsia="ko-KR"/>
    </w:rPr>
  </w:style>
  <w:style w:type="character" w:customStyle="1" w:styleId="ASAMPSAtableCarCar">
    <w:name w:val="ASAMPSA table Car Car"/>
    <w:link w:val="ASAMPSAtable"/>
    <w:locked/>
    <w:rsid w:val="00E55C9E"/>
    <w:rPr>
      <w:rFonts w:ascii="Trebuchet MS" w:hAnsi="Trebuchet MS"/>
      <w:b/>
      <w:sz w:val="18"/>
      <w:szCs w:val="24"/>
      <w:lang w:val="en-US" w:eastAsia="ko-KR"/>
    </w:rPr>
  </w:style>
  <w:style w:type="character" w:styleId="Lienhypertexte">
    <w:name w:val="Hyperlink"/>
    <w:uiPriority w:val="99"/>
    <w:rsid w:val="00BC5399"/>
    <w:rPr>
      <w:color w:val="0000FF"/>
      <w:u w:val="single"/>
    </w:rPr>
  </w:style>
  <w:style w:type="paragraph" w:customStyle="1" w:styleId="TitreCouverture">
    <w:name w:val="Titre Couverture"/>
    <w:basedOn w:val="Normal"/>
    <w:next w:val="Normal"/>
    <w:pPr>
      <w:spacing w:line="240" w:lineRule="auto"/>
      <w:jc w:val="left"/>
    </w:pPr>
    <w:rPr>
      <w:i/>
      <w:sz w:val="56"/>
    </w:rPr>
  </w:style>
  <w:style w:type="paragraph" w:styleId="TM1">
    <w:name w:val="toc 1"/>
    <w:basedOn w:val="Normal"/>
    <w:next w:val="Normal"/>
    <w:uiPriority w:val="39"/>
    <w:rsid w:val="005252B9"/>
    <w:pPr>
      <w:spacing w:before="120" w:line="360" w:lineRule="auto"/>
      <w:jc w:val="left"/>
    </w:pPr>
    <w:rPr>
      <w:rFonts w:ascii="Times New Roman" w:hAnsi="Times New Roman"/>
      <w:bCs/>
      <w:iCs/>
    </w:rPr>
  </w:style>
  <w:style w:type="paragraph" w:styleId="TM2">
    <w:name w:val="toc 2"/>
    <w:basedOn w:val="Normal"/>
    <w:next w:val="Normal"/>
    <w:autoRedefine/>
    <w:uiPriority w:val="39"/>
    <w:rsid w:val="005252B9"/>
    <w:pPr>
      <w:spacing w:before="120"/>
      <w:ind w:left="180"/>
      <w:jc w:val="left"/>
    </w:pPr>
    <w:rPr>
      <w:rFonts w:ascii="Times New Roman" w:hAnsi="Times New Roman"/>
      <w:bCs/>
      <w:szCs w:val="22"/>
    </w:rPr>
  </w:style>
  <w:style w:type="paragraph" w:styleId="TM3">
    <w:name w:val="toc 3"/>
    <w:basedOn w:val="Normal"/>
    <w:next w:val="Normal"/>
    <w:autoRedefine/>
    <w:uiPriority w:val="39"/>
    <w:pPr>
      <w:ind w:left="360"/>
      <w:jc w:val="left"/>
    </w:pPr>
    <w:rPr>
      <w:rFonts w:ascii="Times New Roman" w:hAnsi="Times New Roman"/>
      <w:sz w:val="20"/>
      <w:szCs w:val="20"/>
    </w:rPr>
  </w:style>
  <w:style w:type="paragraph" w:styleId="TM4">
    <w:name w:val="toc 4"/>
    <w:basedOn w:val="Normal"/>
    <w:next w:val="Normal"/>
    <w:autoRedefine/>
    <w:uiPriority w:val="39"/>
    <w:pPr>
      <w:ind w:left="540"/>
      <w:jc w:val="left"/>
    </w:pPr>
    <w:rPr>
      <w:rFonts w:ascii="Times New Roman" w:hAnsi="Times New Roman"/>
      <w:sz w:val="20"/>
      <w:szCs w:val="20"/>
    </w:rPr>
  </w:style>
  <w:style w:type="paragraph" w:styleId="Pieddepage">
    <w:name w:val="footer"/>
    <w:basedOn w:val="Normal"/>
    <w:link w:val="PieddepageCar"/>
    <w:uiPriority w:val="99"/>
    <w:pPr>
      <w:tabs>
        <w:tab w:val="center" w:pos="4536"/>
        <w:tab w:val="right" w:pos="9072"/>
      </w:tabs>
    </w:pPr>
  </w:style>
  <w:style w:type="character" w:styleId="Numrodepage">
    <w:name w:val="page number"/>
    <w:basedOn w:val="Policepardfaut"/>
    <w:semiHidden/>
    <w:rsid w:val="00F6424B"/>
  </w:style>
  <w:style w:type="paragraph" w:customStyle="1" w:styleId="TABLEAUCentr">
    <w:name w:val="TABLEAU + Centré"/>
    <w:basedOn w:val="Normal"/>
    <w:next w:val="Normal"/>
    <w:autoRedefine/>
    <w:semiHidden/>
    <w:rsid w:val="00C24D41"/>
    <w:pPr>
      <w:spacing w:line="240" w:lineRule="auto"/>
      <w:jc w:val="center"/>
    </w:pPr>
    <w:rPr>
      <w:rFonts w:cs="Arial"/>
      <w:sz w:val="20"/>
      <w:szCs w:val="20"/>
      <w:lang w:eastAsia="en-US"/>
    </w:rPr>
  </w:style>
  <w:style w:type="paragraph" w:customStyle="1" w:styleId="StyleTABLEAU9pt">
    <w:name w:val="Style TABLEAU + 9 pt"/>
    <w:basedOn w:val="Normal"/>
    <w:autoRedefine/>
    <w:semiHidden/>
    <w:rsid w:val="00C24D41"/>
    <w:pPr>
      <w:spacing w:before="240" w:after="120" w:line="240" w:lineRule="auto"/>
      <w:jc w:val="center"/>
    </w:pPr>
    <w:rPr>
      <w:szCs w:val="20"/>
      <w:lang w:eastAsia="en-US"/>
    </w:rPr>
  </w:style>
  <w:style w:type="paragraph" w:customStyle="1" w:styleId="TABLEAU">
    <w:name w:val="TABLEAU"/>
    <w:basedOn w:val="Normal"/>
    <w:next w:val="Normal"/>
    <w:autoRedefine/>
    <w:semiHidden/>
    <w:rsid w:val="00C24D41"/>
    <w:pPr>
      <w:numPr>
        <w:numId w:val="2"/>
      </w:numPr>
      <w:spacing w:before="240" w:after="120" w:line="240" w:lineRule="auto"/>
      <w:jc w:val="center"/>
    </w:pPr>
    <w:rPr>
      <w:szCs w:val="20"/>
      <w:lang w:eastAsia="en-US"/>
    </w:rPr>
  </w:style>
  <w:style w:type="paragraph" w:customStyle="1" w:styleId="TABLEAU1">
    <w:name w:val="TABLEAU1"/>
    <w:basedOn w:val="Normal"/>
    <w:next w:val="Normal"/>
    <w:semiHidden/>
    <w:rsid w:val="00C24D41"/>
    <w:pPr>
      <w:spacing w:before="240" w:after="120" w:line="240" w:lineRule="auto"/>
      <w:jc w:val="left"/>
    </w:pPr>
    <w:rPr>
      <w:szCs w:val="20"/>
      <w:lang w:eastAsia="en-US"/>
    </w:rPr>
  </w:style>
  <w:style w:type="paragraph" w:customStyle="1" w:styleId="TABLEAUbis">
    <w:name w:val="TABLEAU bis"/>
    <w:basedOn w:val="Normal"/>
    <w:next w:val="Normal"/>
    <w:semiHidden/>
    <w:rsid w:val="00C24D41"/>
    <w:pPr>
      <w:spacing w:before="240" w:after="120" w:line="240" w:lineRule="auto"/>
      <w:jc w:val="center"/>
    </w:pPr>
    <w:rPr>
      <w:szCs w:val="20"/>
      <w:lang w:eastAsia="en-US"/>
    </w:rPr>
  </w:style>
  <w:style w:type="paragraph" w:customStyle="1" w:styleId="Question">
    <w:name w:val="Question"/>
    <w:basedOn w:val="Normal"/>
    <w:semiHidden/>
    <w:rsid w:val="00C24D41"/>
    <w:pPr>
      <w:widowControl w:val="0"/>
      <w:numPr>
        <w:numId w:val="3"/>
      </w:numPr>
      <w:autoSpaceDE w:val="0"/>
      <w:autoSpaceDN w:val="0"/>
      <w:adjustRightInd w:val="0"/>
      <w:spacing w:line="240" w:lineRule="auto"/>
      <w:jc w:val="center"/>
    </w:pPr>
    <w:rPr>
      <w:rFonts w:ascii="Times New Roman" w:hAnsi="Times New Roman"/>
      <w:sz w:val="20"/>
      <w:szCs w:val="20"/>
      <w:lang w:val="en-GB"/>
    </w:rPr>
  </w:style>
  <w:style w:type="paragraph" w:styleId="Notedebasdepage">
    <w:name w:val="footnote text"/>
    <w:basedOn w:val="Normal"/>
    <w:link w:val="NotedebasdepageCar"/>
    <w:uiPriority w:val="99"/>
    <w:semiHidden/>
    <w:rsid w:val="00C24D41"/>
    <w:pPr>
      <w:widowControl w:val="0"/>
      <w:autoSpaceDE w:val="0"/>
      <w:autoSpaceDN w:val="0"/>
      <w:adjustRightInd w:val="0"/>
      <w:spacing w:line="240" w:lineRule="auto"/>
      <w:jc w:val="left"/>
    </w:pPr>
    <w:rPr>
      <w:rFonts w:ascii="Times New Roman" w:hAnsi="Times New Roman"/>
      <w:sz w:val="20"/>
      <w:szCs w:val="20"/>
    </w:rPr>
  </w:style>
  <w:style w:type="paragraph" w:customStyle="1" w:styleId="StyleTitre4Gauche222cm">
    <w:name w:val="Style Titre 4 + Gauche :  222 cm"/>
    <w:basedOn w:val="Titre4"/>
    <w:semiHidden/>
    <w:rsid w:val="00C24D41"/>
    <w:pPr>
      <w:widowControl w:val="0"/>
      <w:numPr>
        <w:ilvl w:val="0"/>
        <w:numId w:val="0"/>
      </w:numPr>
      <w:tabs>
        <w:tab w:val="left" w:pos="1134"/>
      </w:tabs>
      <w:autoSpaceDE w:val="0"/>
      <w:autoSpaceDN w:val="0"/>
      <w:adjustRightInd w:val="0"/>
      <w:spacing w:after="60" w:line="240" w:lineRule="auto"/>
      <w:ind w:left="1260" w:firstLine="1134"/>
    </w:pPr>
    <w:rPr>
      <w:rFonts w:ascii="Times New Roman" w:hAnsi="Times New Roman" w:cs="Arial"/>
      <w:b w:val="0"/>
      <w:bCs w:val="0"/>
      <w:i/>
      <w:iCs/>
      <w:sz w:val="24"/>
      <w:szCs w:val="20"/>
      <w:u w:val="none"/>
      <w:lang w:val="en-GB"/>
    </w:rPr>
  </w:style>
  <w:style w:type="paragraph" w:styleId="Textedebulles">
    <w:name w:val="Balloon Text"/>
    <w:basedOn w:val="Normal"/>
    <w:semiHidden/>
    <w:rsid w:val="004C4B57"/>
    <w:rPr>
      <w:rFonts w:ascii="Tahoma" w:hAnsi="Tahoma" w:cs="Tahoma"/>
      <w:sz w:val="16"/>
      <w:szCs w:val="16"/>
    </w:rPr>
  </w:style>
  <w:style w:type="paragraph" w:customStyle="1" w:styleId="Paragraphe">
    <w:name w:val="Paragraphe"/>
    <w:basedOn w:val="Normal"/>
    <w:uiPriority w:val="99"/>
    <w:rsid w:val="00D855EF"/>
    <w:pPr>
      <w:spacing w:before="60" w:after="60" w:line="290" w:lineRule="atLeast"/>
      <w:ind w:firstLine="567"/>
    </w:pPr>
    <w:rPr>
      <w:sz w:val="20"/>
      <w:szCs w:val="20"/>
    </w:rPr>
  </w:style>
  <w:style w:type="paragraph" w:customStyle="1" w:styleId="SP3176228">
    <w:name w:val="SP.3.176228"/>
    <w:basedOn w:val="Normal"/>
    <w:next w:val="Normal"/>
    <w:semiHidden/>
    <w:rsid w:val="009A1C44"/>
    <w:pPr>
      <w:autoSpaceDE w:val="0"/>
      <w:autoSpaceDN w:val="0"/>
      <w:adjustRightInd w:val="0"/>
      <w:spacing w:line="240" w:lineRule="auto"/>
      <w:jc w:val="left"/>
    </w:pPr>
    <w:rPr>
      <w:rFonts w:ascii="Times Ten" w:hAnsi="Times Ten"/>
      <w:sz w:val="24"/>
      <w:lang w:val="en-GB"/>
    </w:rPr>
  </w:style>
  <w:style w:type="paragraph" w:customStyle="1" w:styleId="SP3176268">
    <w:name w:val="SP.3.176268"/>
    <w:basedOn w:val="Normal"/>
    <w:next w:val="Normal"/>
    <w:semiHidden/>
    <w:rsid w:val="009A1C44"/>
    <w:pPr>
      <w:autoSpaceDE w:val="0"/>
      <w:autoSpaceDN w:val="0"/>
      <w:adjustRightInd w:val="0"/>
      <w:spacing w:line="240" w:lineRule="auto"/>
      <w:jc w:val="left"/>
    </w:pPr>
    <w:rPr>
      <w:rFonts w:ascii="Times Ten" w:hAnsi="Times Ten"/>
      <w:sz w:val="24"/>
      <w:lang w:val="en-GB"/>
    </w:rPr>
  </w:style>
  <w:style w:type="paragraph" w:customStyle="1" w:styleId="SP3176173">
    <w:name w:val="SP.3.176173"/>
    <w:basedOn w:val="Normal"/>
    <w:next w:val="Normal"/>
    <w:semiHidden/>
    <w:rsid w:val="009A1C44"/>
    <w:pPr>
      <w:autoSpaceDE w:val="0"/>
      <w:autoSpaceDN w:val="0"/>
      <w:adjustRightInd w:val="0"/>
      <w:spacing w:line="240" w:lineRule="auto"/>
      <w:jc w:val="left"/>
    </w:pPr>
    <w:rPr>
      <w:rFonts w:ascii="Times Ten" w:hAnsi="Times Ten"/>
      <w:sz w:val="24"/>
      <w:lang w:val="en-GB"/>
    </w:rPr>
  </w:style>
  <w:style w:type="paragraph" w:customStyle="1" w:styleId="SP3176183">
    <w:name w:val="SP.3.176183"/>
    <w:basedOn w:val="Normal"/>
    <w:next w:val="Normal"/>
    <w:semiHidden/>
    <w:rsid w:val="009A1C44"/>
    <w:pPr>
      <w:autoSpaceDE w:val="0"/>
      <w:autoSpaceDN w:val="0"/>
      <w:adjustRightInd w:val="0"/>
      <w:spacing w:line="240" w:lineRule="auto"/>
      <w:jc w:val="left"/>
    </w:pPr>
    <w:rPr>
      <w:rFonts w:ascii="Times Ten" w:hAnsi="Times Ten"/>
      <w:sz w:val="24"/>
      <w:lang w:val="en-GB"/>
    </w:rPr>
  </w:style>
  <w:style w:type="character" w:customStyle="1" w:styleId="SC3241800">
    <w:name w:val="SC.3.241800"/>
    <w:semiHidden/>
    <w:rsid w:val="009A1C44"/>
    <w:rPr>
      <w:i/>
      <w:color w:val="000000"/>
      <w:sz w:val="20"/>
    </w:rPr>
  </w:style>
  <w:style w:type="character" w:customStyle="1" w:styleId="SC3241725">
    <w:name w:val="SC.3.241725"/>
    <w:semiHidden/>
    <w:rsid w:val="009A1C44"/>
    <w:rPr>
      <w:i/>
      <w:color w:val="000000"/>
      <w:sz w:val="13"/>
    </w:rPr>
  </w:style>
  <w:style w:type="paragraph" w:customStyle="1" w:styleId="Standard4">
    <w:name w:val="Standard4"/>
    <w:semiHidden/>
    <w:rsid w:val="009A1C44"/>
    <w:pPr>
      <w:widowControl w:val="0"/>
      <w:overflowPunct w:val="0"/>
      <w:autoSpaceDE w:val="0"/>
      <w:autoSpaceDN w:val="0"/>
      <w:adjustRightInd w:val="0"/>
      <w:jc w:val="both"/>
      <w:textAlignment w:val="baseline"/>
    </w:pPr>
    <w:rPr>
      <w:rFonts w:eastAsia="Batang"/>
      <w:sz w:val="24"/>
      <w:szCs w:val="24"/>
      <w:lang w:val="en-US" w:eastAsia="en-US"/>
    </w:rPr>
  </w:style>
  <w:style w:type="paragraph" w:customStyle="1" w:styleId="Paragraph">
    <w:name w:val="Paragraph"/>
    <w:basedOn w:val="Normal"/>
    <w:semiHidden/>
    <w:rsid w:val="009A1C44"/>
    <w:pPr>
      <w:spacing w:line="240" w:lineRule="auto"/>
    </w:pPr>
    <w:rPr>
      <w:rFonts w:ascii="Times New Roman" w:eastAsia="Batang" w:hAnsi="Times New Roman"/>
      <w:sz w:val="24"/>
      <w:lang w:val="en-US" w:eastAsia="ko-KR"/>
    </w:rPr>
  </w:style>
  <w:style w:type="paragraph" w:customStyle="1" w:styleId="Paragraph2">
    <w:name w:val="Paragraph2"/>
    <w:basedOn w:val="Standard4"/>
    <w:semiHidden/>
    <w:rsid w:val="009A1C44"/>
    <w:pPr>
      <w:numPr>
        <w:ilvl w:val="1"/>
        <w:numId w:val="4"/>
      </w:numPr>
    </w:pPr>
  </w:style>
  <w:style w:type="paragraph" w:customStyle="1" w:styleId="Paragraph3">
    <w:name w:val="Paragraph3"/>
    <w:basedOn w:val="Paragraph2"/>
    <w:semiHidden/>
    <w:rsid w:val="009A1C44"/>
    <w:pPr>
      <w:numPr>
        <w:ilvl w:val="0"/>
        <w:numId w:val="0"/>
      </w:numPr>
    </w:pPr>
  </w:style>
  <w:style w:type="paragraph" w:customStyle="1" w:styleId="titleofthepaper">
    <w:name w:val="titleofthepaper"/>
    <w:basedOn w:val="Normal"/>
    <w:semiHidden/>
    <w:rsid w:val="009A1C44"/>
    <w:pPr>
      <w:spacing w:line="240" w:lineRule="auto"/>
      <w:jc w:val="center"/>
    </w:pPr>
    <w:rPr>
      <w:rFonts w:ascii="Arial" w:hAnsi="Arial" w:cs="Arial"/>
      <w:b/>
      <w:bCs/>
      <w:sz w:val="28"/>
      <w:szCs w:val="28"/>
      <w:lang w:val="en-GB"/>
    </w:rPr>
  </w:style>
  <w:style w:type="paragraph" w:customStyle="1" w:styleId="References">
    <w:name w:val="References"/>
    <w:basedOn w:val="Normal"/>
    <w:semiHidden/>
    <w:rsid w:val="00BC5399"/>
    <w:pPr>
      <w:tabs>
        <w:tab w:val="num" w:pos="360"/>
      </w:tabs>
      <w:suppressAutoHyphens/>
      <w:spacing w:line="240" w:lineRule="auto"/>
      <w:ind w:left="360" w:hanging="360"/>
    </w:pPr>
    <w:rPr>
      <w:rFonts w:ascii="Times New Roman" w:hAnsi="Times New Roman"/>
      <w:bCs/>
      <w:kern w:val="14"/>
      <w:sz w:val="20"/>
      <w:szCs w:val="20"/>
      <w:lang w:val="en-GB" w:eastAsia="en-US"/>
    </w:rPr>
  </w:style>
  <w:style w:type="paragraph" w:customStyle="1" w:styleId="NormalStandard">
    <w:name w:val="NormalStandard"/>
    <w:basedOn w:val="Normal"/>
    <w:semiHidden/>
    <w:rsid w:val="009A1C44"/>
    <w:pPr>
      <w:tabs>
        <w:tab w:val="left" w:pos="1134"/>
        <w:tab w:val="left" w:pos="1531"/>
        <w:tab w:val="left" w:pos="1928"/>
        <w:tab w:val="left" w:pos="2325"/>
        <w:tab w:val="left" w:pos="2722"/>
      </w:tabs>
      <w:spacing w:line="240" w:lineRule="auto"/>
      <w:ind w:left="1134"/>
    </w:pPr>
    <w:rPr>
      <w:rFonts w:ascii="Arial" w:hAnsi="Arial"/>
      <w:sz w:val="22"/>
      <w:szCs w:val="20"/>
      <w:lang w:val="en-GB" w:eastAsia="en-US"/>
    </w:rPr>
  </w:style>
  <w:style w:type="paragraph" w:customStyle="1" w:styleId="StyleAvant6ptInterligneExactement16pt">
    <w:name w:val="Style Avant : 6 pt Interligne : Exactement 16 pt"/>
    <w:basedOn w:val="Normal"/>
    <w:semiHidden/>
    <w:rsid w:val="009A1C44"/>
    <w:pPr>
      <w:spacing w:before="120" w:line="320" w:lineRule="exact"/>
      <w:jc w:val="left"/>
    </w:pPr>
    <w:rPr>
      <w:szCs w:val="20"/>
      <w:lang w:val="en-GB"/>
    </w:rPr>
  </w:style>
  <w:style w:type="paragraph" w:styleId="TM5">
    <w:name w:val="toc 5"/>
    <w:basedOn w:val="Normal"/>
    <w:next w:val="Normal"/>
    <w:autoRedefine/>
    <w:uiPriority w:val="39"/>
    <w:rsid w:val="009A1C44"/>
    <w:pPr>
      <w:ind w:left="720"/>
      <w:jc w:val="left"/>
    </w:pPr>
    <w:rPr>
      <w:rFonts w:ascii="Times New Roman" w:hAnsi="Times New Roman"/>
      <w:sz w:val="20"/>
      <w:szCs w:val="20"/>
    </w:rPr>
  </w:style>
  <w:style w:type="paragraph" w:styleId="TM6">
    <w:name w:val="toc 6"/>
    <w:basedOn w:val="Normal"/>
    <w:next w:val="Normal"/>
    <w:autoRedefine/>
    <w:uiPriority w:val="39"/>
    <w:rsid w:val="009A1C44"/>
    <w:pPr>
      <w:ind w:left="900"/>
      <w:jc w:val="left"/>
    </w:pPr>
    <w:rPr>
      <w:rFonts w:ascii="Times New Roman" w:hAnsi="Times New Roman"/>
      <w:sz w:val="20"/>
      <w:szCs w:val="20"/>
    </w:rPr>
  </w:style>
  <w:style w:type="paragraph" w:styleId="TM7">
    <w:name w:val="toc 7"/>
    <w:basedOn w:val="Normal"/>
    <w:next w:val="Normal"/>
    <w:autoRedefine/>
    <w:uiPriority w:val="39"/>
    <w:rsid w:val="009A1C44"/>
    <w:pPr>
      <w:ind w:left="1080"/>
      <w:jc w:val="left"/>
    </w:pPr>
    <w:rPr>
      <w:rFonts w:ascii="Times New Roman" w:hAnsi="Times New Roman"/>
      <w:sz w:val="20"/>
      <w:szCs w:val="20"/>
    </w:rPr>
  </w:style>
  <w:style w:type="paragraph" w:styleId="TM8">
    <w:name w:val="toc 8"/>
    <w:basedOn w:val="Normal"/>
    <w:next w:val="Normal"/>
    <w:autoRedefine/>
    <w:uiPriority w:val="39"/>
    <w:rsid w:val="009A1C44"/>
    <w:pPr>
      <w:ind w:left="1260"/>
      <w:jc w:val="left"/>
    </w:pPr>
    <w:rPr>
      <w:rFonts w:ascii="Times New Roman" w:hAnsi="Times New Roman"/>
      <w:sz w:val="20"/>
      <w:szCs w:val="20"/>
    </w:rPr>
  </w:style>
  <w:style w:type="paragraph" w:styleId="TM9">
    <w:name w:val="toc 9"/>
    <w:basedOn w:val="Normal"/>
    <w:next w:val="Normal"/>
    <w:autoRedefine/>
    <w:uiPriority w:val="39"/>
    <w:rsid w:val="009A1C44"/>
    <w:pPr>
      <w:ind w:left="1440"/>
      <w:jc w:val="left"/>
    </w:pPr>
    <w:rPr>
      <w:rFonts w:ascii="Times New Roman" w:hAnsi="Times New Roman"/>
      <w:sz w:val="20"/>
      <w:szCs w:val="20"/>
    </w:rPr>
  </w:style>
  <w:style w:type="paragraph" w:customStyle="1" w:styleId="StyleHeading1Before12ptAfter3pt">
    <w:name w:val="Style Heading 1 + Before:  12 pt After:  3 pt"/>
    <w:basedOn w:val="Titre1"/>
    <w:semiHidden/>
    <w:rsid w:val="009A1C44"/>
    <w:pPr>
      <w:numPr>
        <w:numId w:val="0"/>
      </w:numPr>
      <w:spacing w:before="240" w:after="60"/>
      <w:ind w:left="432" w:hanging="432"/>
    </w:pPr>
    <w:rPr>
      <w:rFonts w:cs="Times New Roman"/>
      <w:szCs w:val="20"/>
      <w:lang w:val="en-GB"/>
    </w:rPr>
  </w:style>
  <w:style w:type="paragraph" w:customStyle="1" w:styleId="Paragraphedeliste1">
    <w:name w:val="Paragraphe de liste1"/>
    <w:basedOn w:val="Normal"/>
    <w:semiHidden/>
    <w:rsid w:val="009A1C44"/>
    <w:pPr>
      <w:spacing w:after="200" w:line="276" w:lineRule="auto"/>
      <w:ind w:left="720"/>
      <w:contextualSpacing/>
      <w:jc w:val="left"/>
    </w:pPr>
    <w:rPr>
      <w:rFonts w:ascii="Calibri" w:hAnsi="Calibri"/>
      <w:sz w:val="22"/>
      <w:szCs w:val="22"/>
      <w:lang w:val="en-US" w:eastAsia="en-US"/>
    </w:rPr>
  </w:style>
  <w:style w:type="paragraph" w:customStyle="1" w:styleId="Reference">
    <w:name w:val="Reference"/>
    <w:basedOn w:val="Normal"/>
    <w:autoRedefine/>
    <w:semiHidden/>
    <w:rsid w:val="009A1C44"/>
    <w:pPr>
      <w:keepLines/>
      <w:numPr>
        <w:numId w:val="5"/>
      </w:numPr>
      <w:adjustRightInd w:val="0"/>
      <w:snapToGrid w:val="0"/>
      <w:spacing w:after="120" w:line="240" w:lineRule="auto"/>
    </w:pPr>
    <w:rPr>
      <w:rFonts w:ascii="Times New Roman" w:hAnsi="Times New Roman"/>
      <w:sz w:val="24"/>
      <w:lang w:val="en-GB" w:eastAsia="en-US"/>
    </w:rPr>
  </w:style>
  <w:style w:type="character" w:customStyle="1" w:styleId="StyleTrebuchetMS">
    <w:name w:val="Style Trebuchet MS"/>
    <w:semiHidden/>
    <w:rsid w:val="009A1C44"/>
    <w:rPr>
      <w:rFonts w:ascii="Trebuchet MS" w:hAnsi="Trebuchet MS"/>
      <w:sz w:val="18"/>
    </w:rPr>
  </w:style>
  <w:style w:type="paragraph" w:styleId="NormalWeb">
    <w:name w:val="Normal (Web)"/>
    <w:basedOn w:val="Normal"/>
    <w:semiHidden/>
    <w:rsid w:val="009A1C44"/>
    <w:pPr>
      <w:spacing w:before="100" w:beforeAutospacing="1" w:after="100" w:afterAutospacing="1" w:line="240" w:lineRule="auto"/>
      <w:jc w:val="left"/>
    </w:pPr>
    <w:rPr>
      <w:rFonts w:ascii="Times New Roman" w:hAnsi="Times New Roman"/>
      <w:sz w:val="24"/>
      <w:lang w:val="sk-SK" w:eastAsia="sk-SK"/>
    </w:rPr>
  </w:style>
  <w:style w:type="paragraph" w:customStyle="1" w:styleId="ASAMPSAReference">
    <w:name w:val="ASAMPSA Reference"/>
    <w:basedOn w:val="Normal"/>
    <w:next w:val="Normal"/>
    <w:rsid w:val="009A1C44"/>
    <w:pPr>
      <w:numPr>
        <w:numId w:val="7"/>
      </w:numPr>
    </w:pPr>
    <w:rPr>
      <w:lang w:val="en-US"/>
    </w:rPr>
  </w:style>
  <w:style w:type="paragraph" w:customStyle="1" w:styleId="Style1">
    <w:name w:val="Style1"/>
    <w:basedOn w:val="Normal"/>
    <w:semiHidden/>
    <w:rsid w:val="009A1C44"/>
    <w:pPr>
      <w:numPr>
        <w:numId w:val="8"/>
      </w:numPr>
      <w:jc w:val="center"/>
    </w:pPr>
    <w:rPr>
      <w:b/>
      <w:lang w:val="en-GB"/>
    </w:rPr>
  </w:style>
  <w:style w:type="paragraph" w:customStyle="1" w:styleId="ASAMPSAFigure">
    <w:name w:val="ASAMPSA Figure"/>
    <w:basedOn w:val="Normal"/>
    <w:next w:val="Normal"/>
    <w:link w:val="ASAMPSAFigureCarCar"/>
    <w:rsid w:val="009A1C44"/>
    <w:pPr>
      <w:numPr>
        <w:numId w:val="9"/>
      </w:numPr>
      <w:jc w:val="center"/>
    </w:pPr>
    <w:rPr>
      <w:b/>
      <w:lang w:val="en-GB" w:eastAsia="ko-KR"/>
    </w:rPr>
  </w:style>
  <w:style w:type="character" w:customStyle="1" w:styleId="ASAMPSAFigureCarCar">
    <w:name w:val="ASAMPSA Figure Car Car"/>
    <w:link w:val="ASAMPSAFigure"/>
    <w:locked/>
    <w:rsid w:val="009A1C44"/>
    <w:rPr>
      <w:rFonts w:ascii="Trebuchet MS" w:hAnsi="Trebuchet MS"/>
      <w:b/>
      <w:sz w:val="18"/>
      <w:szCs w:val="24"/>
      <w:lang w:val="en-GB" w:eastAsia="ko-KR"/>
    </w:rPr>
  </w:style>
  <w:style w:type="character" w:customStyle="1" w:styleId="Titre1Car0">
    <w:name w:val="Titre1. Car"/>
    <w:aliases w:val="T1 Car Car"/>
    <w:semiHidden/>
    <w:locked/>
    <w:rsid w:val="009A1C44"/>
    <w:rPr>
      <w:rFonts w:ascii="Trebuchet MS" w:hAnsi="Trebuchet MS" w:cs="Arial"/>
      <w:b/>
      <w:bCs/>
      <w:caps/>
      <w:sz w:val="32"/>
      <w:szCs w:val="32"/>
      <w:u w:val="single"/>
      <w:lang w:val="en-GB" w:eastAsia="fr-FR" w:bidi="ar-SA"/>
    </w:rPr>
  </w:style>
  <w:style w:type="character" w:customStyle="1" w:styleId="T2CarCar">
    <w:name w:val="T2 Car Car"/>
    <w:aliases w:val="heading 2 Car,(paragrafi) Car,T2 Car,(paragrafi) Car Car"/>
    <w:semiHidden/>
    <w:rsid w:val="009A1C44"/>
    <w:rPr>
      <w:rFonts w:ascii="Trebuchet MS" w:hAnsi="Trebuchet MS"/>
      <w:b/>
      <w:caps/>
      <w:sz w:val="28"/>
      <w:lang w:val="fr-FR" w:eastAsia="fr-FR"/>
    </w:rPr>
  </w:style>
  <w:style w:type="paragraph" w:customStyle="1" w:styleId="Table">
    <w:name w:val="Table"/>
    <w:basedOn w:val="Normal"/>
    <w:semiHidden/>
    <w:rsid w:val="009A1C44"/>
    <w:pPr>
      <w:tabs>
        <w:tab w:val="left" w:pos="851"/>
      </w:tabs>
      <w:overflowPunct w:val="0"/>
      <w:autoSpaceDE w:val="0"/>
      <w:autoSpaceDN w:val="0"/>
      <w:adjustRightInd w:val="0"/>
      <w:spacing w:before="120" w:line="240" w:lineRule="auto"/>
      <w:textAlignment w:val="baseline"/>
    </w:pPr>
    <w:rPr>
      <w:rFonts w:ascii="Helvetica" w:hAnsi="Helvetica"/>
      <w:bCs/>
      <w:sz w:val="22"/>
      <w:szCs w:val="22"/>
      <w:lang w:val="en-GB" w:eastAsia="de-DE" w:bidi="he-IL"/>
    </w:rPr>
  </w:style>
  <w:style w:type="paragraph" w:customStyle="1" w:styleId="TitleofPaper">
    <w:name w:val="TitleofPaper"/>
    <w:basedOn w:val="Normal"/>
    <w:semiHidden/>
    <w:rsid w:val="009A1C44"/>
    <w:pPr>
      <w:suppressAutoHyphens/>
      <w:autoSpaceDE w:val="0"/>
      <w:autoSpaceDN w:val="0"/>
      <w:spacing w:line="240" w:lineRule="auto"/>
      <w:jc w:val="center"/>
    </w:pPr>
    <w:rPr>
      <w:rFonts w:ascii="Times New Roman" w:eastAsia="PMingLiU" w:hAnsi="Times New Roman"/>
      <w:b/>
      <w:bCs/>
      <w:sz w:val="28"/>
      <w:szCs w:val="28"/>
      <w:lang w:val="en-US" w:eastAsia="en-US"/>
    </w:rPr>
  </w:style>
  <w:style w:type="paragraph" w:customStyle="1" w:styleId="StyleMotifTransparenteBlanc">
    <w:name w:val="Style Motif : Transparente (Blanc)"/>
    <w:basedOn w:val="Normal"/>
    <w:autoRedefine/>
    <w:semiHidden/>
    <w:rsid w:val="00026241"/>
    <w:pPr>
      <w:widowControl w:val="0"/>
      <w:shd w:val="clear" w:color="auto" w:fill="FFFFFF"/>
      <w:tabs>
        <w:tab w:val="left" w:pos="2870"/>
      </w:tabs>
      <w:autoSpaceDE w:val="0"/>
      <w:autoSpaceDN w:val="0"/>
      <w:adjustRightInd w:val="0"/>
      <w:spacing w:line="240" w:lineRule="auto"/>
      <w:jc w:val="left"/>
    </w:pPr>
    <w:rPr>
      <w:rFonts w:ascii="Times New Roman" w:hAnsi="Times New Roman"/>
      <w:sz w:val="22"/>
      <w:szCs w:val="20"/>
      <w:lang w:val="en-US"/>
    </w:rPr>
  </w:style>
  <w:style w:type="paragraph" w:customStyle="1" w:styleId="Standard1">
    <w:name w:val="Standard1"/>
    <w:basedOn w:val="Normal"/>
    <w:next w:val="Normal"/>
    <w:link w:val="NormalCar"/>
    <w:rsid w:val="00026241"/>
    <w:rPr>
      <w:rFonts w:eastAsia="Batang"/>
    </w:rPr>
  </w:style>
  <w:style w:type="character" w:customStyle="1" w:styleId="NormalCar">
    <w:name w:val="Normal Car"/>
    <w:link w:val="Standard1"/>
    <w:rsid w:val="00026241"/>
    <w:rPr>
      <w:rFonts w:ascii="Trebuchet MS" w:eastAsia="Batang" w:hAnsi="Trebuchet MS"/>
      <w:sz w:val="18"/>
      <w:szCs w:val="24"/>
      <w:lang w:val="fr-FR" w:eastAsia="fr-FR" w:bidi="ar-SA"/>
    </w:rPr>
  </w:style>
  <w:style w:type="paragraph" w:customStyle="1" w:styleId="StyleTM1Gauche">
    <w:name w:val="Style TM 1 + Gauche"/>
    <w:basedOn w:val="TM1"/>
    <w:semiHidden/>
    <w:rsid w:val="00E33FCF"/>
    <w:pPr>
      <w:tabs>
        <w:tab w:val="right" w:pos="567"/>
      </w:tabs>
    </w:pPr>
    <w:rPr>
      <w:bCs w:val="0"/>
      <w:szCs w:val="20"/>
    </w:rPr>
  </w:style>
  <w:style w:type="paragraph" w:styleId="TitreTR">
    <w:name w:val="toa heading"/>
    <w:aliases w:val="Table reference"/>
    <w:basedOn w:val="Normal"/>
    <w:next w:val="Normal"/>
    <w:semiHidden/>
    <w:rsid w:val="00E33FCF"/>
    <w:pPr>
      <w:spacing w:before="120"/>
    </w:pPr>
    <w:rPr>
      <w:rFonts w:cs="Arial"/>
      <w:bCs/>
    </w:rPr>
  </w:style>
  <w:style w:type="character" w:styleId="Marquedecommentaire">
    <w:name w:val="annotation reference"/>
    <w:rsid w:val="004444A3"/>
    <w:rPr>
      <w:sz w:val="16"/>
      <w:szCs w:val="16"/>
    </w:rPr>
  </w:style>
  <w:style w:type="paragraph" w:styleId="Commentaire">
    <w:name w:val="annotation text"/>
    <w:basedOn w:val="Normal"/>
    <w:link w:val="CommentaireCar"/>
    <w:rsid w:val="004444A3"/>
    <w:rPr>
      <w:sz w:val="20"/>
      <w:szCs w:val="20"/>
    </w:rPr>
  </w:style>
  <w:style w:type="character" w:customStyle="1" w:styleId="CommentaireCar">
    <w:name w:val="Commentaire Car"/>
    <w:link w:val="Commentaire"/>
    <w:rsid w:val="004444A3"/>
    <w:rPr>
      <w:rFonts w:ascii="Trebuchet MS" w:hAnsi="Trebuchet MS"/>
      <w:lang w:val="fr-FR" w:eastAsia="fr-FR"/>
    </w:rPr>
  </w:style>
  <w:style w:type="paragraph" w:styleId="Objetducommentaire">
    <w:name w:val="annotation subject"/>
    <w:basedOn w:val="Commentaire"/>
    <w:next w:val="Commentaire"/>
    <w:link w:val="ObjetducommentaireCar"/>
    <w:rsid w:val="004444A3"/>
    <w:rPr>
      <w:b/>
      <w:bCs/>
    </w:rPr>
  </w:style>
  <w:style w:type="character" w:customStyle="1" w:styleId="ObjetducommentaireCar">
    <w:name w:val="Objet du commentaire Car"/>
    <w:link w:val="Objetducommentaire"/>
    <w:rsid w:val="004444A3"/>
    <w:rPr>
      <w:rFonts w:ascii="Trebuchet MS" w:hAnsi="Trebuchet MS"/>
      <w:b/>
      <w:bCs/>
      <w:lang w:val="fr-FR" w:eastAsia="fr-FR"/>
    </w:rPr>
  </w:style>
  <w:style w:type="table" w:styleId="Grilledutableau">
    <w:name w:val="Table Grid"/>
    <w:basedOn w:val="TableauNormal"/>
    <w:uiPriority w:val="59"/>
    <w:rsid w:val="001953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rsid w:val="00801BDF"/>
    <w:pPr>
      <w:tabs>
        <w:tab w:val="center" w:pos="4536"/>
        <w:tab w:val="right" w:pos="9072"/>
      </w:tabs>
    </w:pPr>
  </w:style>
  <w:style w:type="character" w:customStyle="1" w:styleId="En-tteCar">
    <w:name w:val="En-tête Car"/>
    <w:link w:val="En-tte"/>
    <w:uiPriority w:val="99"/>
    <w:rsid w:val="00801BDF"/>
    <w:rPr>
      <w:rFonts w:ascii="Trebuchet MS" w:hAnsi="Trebuchet MS"/>
      <w:sz w:val="18"/>
      <w:szCs w:val="24"/>
      <w:lang w:val="fr-FR" w:eastAsia="fr-FR"/>
    </w:rPr>
  </w:style>
  <w:style w:type="paragraph" w:styleId="Lgende">
    <w:name w:val="caption"/>
    <w:basedOn w:val="Normal"/>
    <w:next w:val="Normal"/>
    <w:uiPriority w:val="99"/>
    <w:unhideWhenUsed/>
    <w:qFormat/>
    <w:rsid w:val="002E31AA"/>
    <w:rPr>
      <w:b/>
      <w:bCs/>
      <w:sz w:val="20"/>
      <w:szCs w:val="20"/>
    </w:rPr>
  </w:style>
  <w:style w:type="character" w:styleId="Appelnotedebasdep">
    <w:name w:val="footnote reference"/>
    <w:uiPriority w:val="99"/>
    <w:rsid w:val="00B6319C"/>
    <w:rPr>
      <w:vertAlign w:val="superscript"/>
    </w:rPr>
  </w:style>
  <w:style w:type="paragraph" w:customStyle="1" w:styleId="Default">
    <w:name w:val="Default"/>
    <w:rsid w:val="005C39FA"/>
    <w:pPr>
      <w:autoSpaceDE w:val="0"/>
      <w:autoSpaceDN w:val="0"/>
      <w:adjustRightInd w:val="0"/>
    </w:pPr>
    <w:rPr>
      <w:rFonts w:eastAsia="Calibri"/>
      <w:color w:val="000000"/>
      <w:sz w:val="24"/>
      <w:szCs w:val="24"/>
      <w:lang w:val="en-US" w:eastAsia="en-US"/>
    </w:rPr>
  </w:style>
  <w:style w:type="paragraph" w:styleId="Paragraphedeliste">
    <w:name w:val="List Paragraph"/>
    <w:basedOn w:val="Normal"/>
    <w:uiPriority w:val="34"/>
    <w:qFormat/>
    <w:rsid w:val="0049741E"/>
    <w:pPr>
      <w:spacing w:after="200" w:line="276" w:lineRule="auto"/>
      <w:ind w:left="720"/>
      <w:contextualSpacing/>
      <w:jc w:val="left"/>
    </w:pPr>
    <w:rPr>
      <w:rFonts w:ascii="Times New Roman" w:eastAsia="Calibri" w:hAnsi="Times New Roman"/>
      <w:sz w:val="22"/>
      <w:szCs w:val="22"/>
      <w:lang w:val="en-GB" w:eastAsia="en-US"/>
    </w:rPr>
  </w:style>
  <w:style w:type="paragraph" w:styleId="Rvision">
    <w:name w:val="Revision"/>
    <w:hidden/>
    <w:uiPriority w:val="99"/>
    <w:semiHidden/>
    <w:rsid w:val="00712702"/>
    <w:rPr>
      <w:rFonts w:ascii="Trebuchet MS" w:hAnsi="Trebuchet MS"/>
      <w:sz w:val="18"/>
      <w:szCs w:val="24"/>
      <w:lang w:val="fr-FR" w:eastAsia="fr-FR"/>
    </w:rPr>
  </w:style>
  <w:style w:type="paragraph" w:customStyle="1" w:styleId="Normln1">
    <w:name w:val="Normální1"/>
    <w:basedOn w:val="Normal"/>
    <w:next w:val="Normal"/>
    <w:rsid w:val="006B4D8A"/>
    <w:rPr>
      <w:rFonts w:eastAsia="Batang"/>
    </w:rPr>
  </w:style>
  <w:style w:type="paragraph" w:customStyle="1" w:styleId="Odkraje">
    <w:name w:val="Od kraje"/>
    <w:basedOn w:val="Normal"/>
    <w:link w:val="OdkrajeChar1"/>
    <w:rsid w:val="006B4D8A"/>
    <w:pPr>
      <w:spacing w:after="200" w:line="276" w:lineRule="auto"/>
      <w:jc w:val="left"/>
    </w:pPr>
    <w:rPr>
      <w:rFonts w:ascii="Arial" w:eastAsia="Calibri" w:hAnsi="Arial"/>
      <w:sz w:val="24"/>
      <w:szCs w:val="22"/>
      <w:lang w:val="cs-CZ" w:eastAsia="en-US"/>
    </w:rPr>
  </w:style>
  <w:style w:type="character" w:customStyle="1" w:styleId="OdkrajeChar1">
    <w:name w:val="Od kraje Char1"/>
    <w:link w:val="Odkraje"/>
    <w:rsid w:val="006B4D8A"/>
    <w:rPr>
      <w:rFonts w:ascii="Arial" w:eastAsia="Calibri" w:hAnsi="Arial"/>
      <w:sz w:val="24"/>
      <w:szCs w:val="22"/>
      <w:lang w:val="cs-CZ" w:eastAsia="en-US"/>
    </w:rPr>
  </w:style>
  <w:style w:type="character" w:customStyle="1" w:styleId="hps">
    <w:name w:val="hps"/>
    <w:rsid w:val="006B4D8A"/>
  </w:style>
  <w:style w:type="paragraph" w:customStyle="1" w:styleId="Literatura">
    <w:name w:val="Literatura[]"/>
    <w:basedOn w:val="Normal"/>
    <w:rsid w:val="006B4D8A"/>
    <w:pPr>
      <w:widowControl w:val="0"/>
      <w:spacing w:line="276" w:lineRule="auto"/>
      <w:ind w:left="369" w:hanging="369"/>
      <w:jc w:val="left"/>
    </w:pPr>
    <w:rPr>
      <w:rFonts w:ascii="Arial" w:eastAsia="Calibri" w:hAnsi="Arial"/>
      <w:sz w:val="24"/>
      <w:szCs w:val="22"/>
      <w:lang w:val="cs-CZ" w:eastAsia="en-US"/>
    </w:rPr>
  </w:style>
  <w:style w:type="character" w:customStyle="1" w:styleId="atn">
    <w:name w:val="atn"/>
    <w:rsid w:val="006B4D8A"/>
  </w:style>
  <w:style w:type="character" w:customStyle="1" w:styleId="shorttext">
    <w:name w:val="short_text"/>
    <w:rsid w:val="006B4D8A"/>
  </w:style>
  <w:style w:type="character" w:customStyle="1" w:styleId="st">
    <w:name w:val="st"/>
    <w:rsid w:val="006B4D8A"/>
  </w:style>
  <w:style w:type="character" w:styleId="Textedelespacerserv">
    <w:name w:val="Placeholder Text"/>
    <w:basedOn w:val="Policepardfaut"/>
    <w:uiPriority w:val="99"/>
    <w:semiHidden/>
    <w:rsid w:val="00587DF7"/>
    <w:rPr>
      <w:color w:val="808080"/>
    </w:rPr>
  </w:style>
  <w:style w:type="character" w:customStyle="1" w:styleId="NotedebasdepageCar">
    <w:name w:val="Note de bas de page Car"/>
    <w:link w:val="Notedebasdepage"/>
    <w:uiPriority w:val="99"/>
    <w:semiHidden/>
    <w:locked/>
    <w:rsid w:val="001F7F9A"/>
    <w:rPr>
      <w:lang w:val="fr-FR" w:eastAsia="fr-FR"/>
    </w:rPr>
  </w:style>
  <w:style w:type="paragraph" w:styleId="Corpsdetexte3">
    <w:name w:val="Body Text 3"/>
    <w:basedOn w:val="Normal"/>
    <w:link w:val="Corpsdetexte3Car"/>
    <w:autoRedefine/>
    <w:uiPriority w:val="99"/>
    <w:unhideWhenUsed/>
    <w:rsid w:val="00ED4B5B"/>
    <w:pPr>
      <w:keepNext/>
      <w:wordWrap w:val="0"/>
      <w:autoSpaceDE w:val="0"/>
      <w:autoSpaceDN w:val="0"/>
      <w:spacing w:after="120" w:line="240" w:lineRule="auto"/>
      <w:ind w:firstLine="431"/>
    </w:pPr>
    <w:rPr>
      <w:rFonts w:eastAsia="Batang"/>
      <w:kern w:val="2"/>
      <w:szCs w:val="18"/>
      <w:lang w:val="en-GB" w:eastAsia="en-US"/>
    </w:rPr>
  </w:style>
  <w:style w:type="character" w:customStyle="1" w:styleId="Corpsdetexte3Car">
    <w:name w:val="Corps de texte 3 Car"/>
    <w:basedOn w:val="Policepardfaut"/>
    <w:link w:val="Corpsdetexte3"/>
    <w:uiPriority w:val="99"/>
    <w:rsid w:val="00ED4B5B"/>
    <w:rPr>
      <w:rFonts w:ascii="Trebuchet MS" w:eastAsia="Batang" w:hAnsi="Trebuchet MS"/>
      <w:kern w:val="2"/>
      <w:sz w:val="18"/>
      <w:szCs w:val="18"/>
      <w:lang w:val="en-GB" w:eastAsia="en-US"/>
    </w:rPr>
  </w:style>
  <w:style w:type="paragraph" w:styleId="Titre">
    <w:name w:val="Title"/>
    <w:basedOn w:val="Normal"/>
    <w:link w:val="TitreCar"/>
    <w:uiPriority w:val="99"/>
    <w:qFormat/>
    <w:rsid w:val="00FB2B01"/>
    <w:pPr>
      <w:widowControl w:val="0"/>
      <w:overflowPunct w:val="0"/>
      <w:autoSpaceDE w:val="0"/>
      <w:autoSpaceDN w:val="0"/>
      <w:adjustRightInd w:val="0"/>
      <w:spacing w:before="240" w:after="60" w:line="240" w:lineRule="auto"/>
      <w:jc w:val="center"/>
      <w:outlineLvl w:val="0"/>
    </w:pPr>
    <w:rPr>
      <w:rFonts w:ascii="Times New Roman" w:hAnsi="Times New Roman" w:cs="Arial"/>
      <w:b/>
      <w:bCs/>
      <w:kern w:val="28"/>
      <w:sz w:val="28"/>
      <w:szCs w:val="32"/>
      <w:lang w:val="en-US" w:eastAsia="en-US"/>
    </w:rPr>
  </w:style>
  <w:style w:type="character" w:customStyle="1" w:styleId="TitreCar">
    <w:name w:val="Titre Car"/>
    <w:basedOn w:val="Policepardfaut"/>
    <w:link w:val="Titre"/>
    <w:uiPriority w:val="99"/>
    <w:rsid w:val="00FB2B01"/>
    <w:rPr>
      <w:rFonts w:cs="Arial"/>
      <w:b/>
      <w:bCs/>
      <w:kern w:val="28"/>
      <w:sz w:val="28"/>
      <w:szCs w:val="32"/>
      <w:lang w:val="en-US" w:eastAsia="en-US"/>
    </w:rPr>
  </w:style>
  <w:style w:type="paragraph" w:styleId="Corpsdetexte">
    <w:name w:val="Body Text"/>
    <w:basedOn w:val="Normal"/>
    <w:link w:val="CorpsdetexteCar"/>
    <w:uiPriority w:val="99"/>
    <w:unhideWhenUsed/>
    <w:rsid w:val="00FB2B01"/>
    <w:pPr>
      <w:overflowPunct w:val="0"/>
      <w:autoSpaceDE w:val="0"/>
      <w:autoSpaceDN w:val="0"/>
      <w:adjustRightInd w:val="0"/>
      <w:spacing w:after="120" w:line="240" w:lineRule="auto"/>
      <w:jc w:val="left"/>
    </w:pPr>
    <w:rPr>
      <w:rFonts w:ascii="Times New Roman" w:hAnsi="Times New Roman"/>
      <w:sz w:val="24"/>
      <w:szCs w:val="20"/>
      <w:lang w:val="en-US" w:eastAsia="en-US"/>
    </w:rPr>
  </w:style>
  <w:style w:type="character" w:customStyle="1" w:styleId="CorpsdetexteCar">
    <w:name w:val="Corps de texte Car"/>
    <w:basedOn w:val="Policepardfaut"/>
    <w:link w:val="Corpsdetexte"/>
    <w:uiPriority w:val="99"/>
    <w:rsid w:val="00FB2B01"/>
    <w:rPr>
      <w:sz w:val="24"/>
      <w:lang w:val="en-US" w:eastAsia="en-US"/>
    </w:rPr>
  </w:style>
  <w:style w:type="paragraph" w:customStyle="1" w:styleId="abstract">
    <w:name w:val="abstract"/>
    <w:basedOn w:val="Corpsdetexte3"/>
    <w:uiPriority w:val="99"/>
    <w:rsid w:val="00FB2B01"/>
    <w:pPr>
      <w:spacing w:line="240" w:lineRule="exact"/>
      <w:ind w:left="720" w:right="720"/>
    </w:pPr>
    <w:rPr>
      <w:sz w:val="20"/>
    </w:rPr>
  </w:style>
  <w:style w:type="character" w:styleId="Lienhypertextesuivivisit">
    <w:name w:val="FollowedHyperlink"/>
    <w:basedOn w:val="Policepardfaut"/>
    <w:rsid w:val="000338CA"/>
    <w:rPr>
      <w:color w:val="800080" w:themeColor="followedHyperlink"/>
      <w:u w:val="single"/>
    </w:rPr>
  </w:style>
  <w:style w:type="character" w:customStyle="1" w:styleId="PieddepageCar">
    <w:name w:val="Pied de page Car"/>
    <w:basedOn w:val="Policepardfaut"/>
    <w:link w:val="Pieddepage"/>
    <w:uiPriority w:val="99"/>
    <w:rsid w:val="003A5817"/>
    <w:rPr>
      <w:rFonts w:ascii="Trebuchet MS" w:hAnsi="Trebuchet MS"/>
      <w:sz w:val="18"/>
      <w:szCs w:val="24"/>
      <w:lang w:val="fr-FR" w:eastAsia="fr-FR"/>
    </w:rPr>
  </w:style>
  <w:style w:type="paragraph" w:styleId="Notedefin">
    <w:name w:val="endnote text"/>
    <w:basedOn w:val="Normal"/>
    <w:link w:val="NotedefinCar"/>
    <w:semiHidden/>
    <w:unhideWhenUsed/>
    <w:rsid w:val="00222401"/>
    <w:pPr>
      <w:spacing w:line="240" w:lineRule="auto"/>
    </w:pPr>
    <w:rPr>
      <w:sz w:val="20"/>
      <w:szCs w:val="20"/>
    </w:rPr>
  </w:style>
  <w:style w:type="character" w:customStyle="1" w:styleId="NotedefinCar">
    <w:name w:val="Note de fin Car"/>
    <w:basedOn w:val="Policepardfaut"/>
    <w:link w:val="Notedefin"/>
    <w:semiHidden/>
    <w:rsid w:val="00222401"/>
    <w:rPr>
      <w:rFonts w:ascii="Trebuchet MS" w:hAnsi="Trebuchet MS"/>
      <w:lang w:val="fr-FR" w:eastAsia="fr-FR"/>
    </w:rPr>
  </w:style>
  <w:style w:type="character" w:styleId="Appeldenotedefin">
    <w:name w:val="endnote reference"/>
    <w:basedOn w:val="Policepardfaut"/>
    <w:semiHidden/>
    <w:unhideWhenUsed/>
    <w:rsid w:val="00222401"/>
    <w:rPr>
      <w:vertAlign w:val="superscript"/>
    </w:rPr>
  </w:style>
  <w:style w:type="character" w:styleId="Accentuation">
    <w:name w:val="Emphasis"/>
    <w:basedOn w:val="Policepardfaut"/>
    <w:uiPriority w:val="20"/>
    <w:qFormat/>
    <w:rsid w:val="002901F1"/>
    <w:rPr>
      <w:i/>
      <w:iCs/>
    </w:rPr>
  </w:style>
  <w:style w:type="paragraph" w:styleId="Textebrut">
    <w:name w:val="Plain Text"/>
    <w:basedOn w:val="Normal"/>
    <w:link w:val="TextebrutCar"/>
    <w:uiPriority w:val="99"/>
    <w:unhideWhenUsed/>
    <w:rsid w:val="00D67F2F"/>
    <w:pPr>
      <w:spacing w:line="240" w:lineRule="auto"/>
      <w:jc w:val="left"/>
    </w:pPr>
    <w:rPr>
      <w:rFonts w:ascii="Calibri" w:eastAsiaTheme="minorHAnsi" w:hAnsi="Calibri" w:cs="Consolas"/>
      <w:sz w:val="22"/>
      <w:szCs w:val="21"/>
      <w:lang w:val="sl-SI" w:eastAsia="en-US"/>
    </w:rPr>
  </w:style>
  <w:style w:type="character" w:customStyle="1" w:styleId="TextebrutCar">
    <w:name w:val="Texte brut Car"/>
    <w:basedOn w:val="Policepardfaut"/>
    <w:link w:val="Textebrut"/>
    <w:uiPriority w:val="99"/>
    <w:rsid w:val="00D67F2F"/>
    <w:rPr>
      <w:rFonts w:ascii="Calibri" w:eastAsiaTheme="minorHAnsi" w:hAnsi="Calibri" w:cs="Consolas"/>
      <w:sz w:val="22"/>
      <w:szCs w:val="21"/>
      <w:lang w:val="sl-SI"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semiHidden="0" w:uiPriority="99" w:unhideWhenUsed="0" w:qFormat="1"/>
    <w:lsdException w:name="heading 4" w:semiHidden="0" w:uiPriority="99" w:unhideWhenUsed="0" w:qFormat="1"/>
    <w:lsdException w:name="heading 5" w:semiHidden="0" w:uiPriority="99" w:unhideWhenUsed="0"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uiPriority="99" w:qFormat="1"/>
    <w:lsdException w:name="footnote reference" w:uiPriority="99"/>
    <w:lsdException w:name="List Bullet" w:semiHidden="0" w:unhideWhenUsed="0"/>
    <w:lsdException w:name="List 3" w:semiHidden="0" w:unhideWhenUsed="0"/>
    <w:lsdException w:name="List 4" w:semiHidden="0" w:unhideWhenUsed="0"/>
    <w:lsdException w:name="Title" w:semiHidden="0" w:uiPriority="99" w:unhideWhenUsed="0" w:qFormat="1"/>
    <w:lsdException w:name="Default Paragraph Font" w:uiPriority="1"/>
    <w:lsdException w:name="Body Text" w:uiPriority="99"/>
    <w:lsdException w:name="Message Header" w:semiHidden="0" w:unhideWhenUsed="0"/>
    <w:lsdException w:name="Subtitle" w:semiHidden="0" w:unhideWhenUsed="0" w:qFormat="1"/>
    <w:lsdException w:name="Salutation" w:semiHidden="0" w:unhideWhenUsed="0"/>
    <w:lsdException w:name="Date" w:semiHidden="0" w:unhideWhenUsed="0"/>
    <w:lsdException w:name="Body Text 3" w:uiPriority="99"/>
    <w:lsdException w:name="Hyperlink" w:uiPriority="99"/>
    <w:lsdException w:name="Strong" w:semiHidden="0" w:unhideWhenUsed="0" w:qFormat="1"/>
    <w:lsdException w:name="Emphasis" w:semiHidden="0" w:uiPriority="20" w:unhideWhenUsed="0" w:qFormat="1"/>
    <w:lsdException w:name="Plain Text"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1E36"/>
    <w:pPr>
      <w:spacing w:line="348" w:lineRule="atLeast"/>
      <w:jc w:val="both"/>
    </w:pPr>
    <w:rPr>
      <w:rFonts w:ascii="Trebuchet MS" w:hAnsi="Trebuchet MS"/>
      <w:sz w:val="18"/>
      <w:szCs w:val="24"/>
      <w:lang w:val="fr-FR" w:eastAsia="fr-FR"/>
    </w:rPr>
  </w:style>
  <w:style w:type="paragraph" w:styleId="Titre1">
    <w:name w:val="heading 1"/>
    <w:aliases w:val="heading 1,Titre1.,T1"/>
    <w:basedOn w:val="Normal"/>
    <w:next w:val="Normal"/>
    <w:link w:val="Titre1Car"/>
    <w:uiPriority w:val="99"/>
    <w:qFormat/>
    <w:rsid w:val="00026241"/>
    <w:pPr>
      <w:keepNext/>
      <w:numPr>
        <w:numId w:val="1"/>
      </w:numPr>
      <w:spacing w:before="320" w:after="100" w:line="240" w:lineRule="auto"/>
      <w:jc w:val="left"/>
      <w:outlineLvl w:val="0"/>
    </w:pPr>
    <w:rPr>
      <w:rFonts w:cs="Arial"/>
      <w:b/>
      <w:bCs/>
      <w:caps/>
      <w:sz w:val="32"/>
      <w:szCs w:val="32"/>
      <w:u w:val="single"/>
    </w:rPr>
  </w:style>
  <w:style w:type="paragraph" w:styleId="Titre2">
    <w:name w:val="heading 2"/>
    <w:aliases w:val="T2,heading 2,(paragrafi),Rubrique évènement,Titre 1.1"/>
    <w:basedOn w:val="Normal"/>
    <w:next w:val="Normal"/>
    <w:link w:val="Titre2Car"/>
    <w:uiPriority w:val="99"/>
    <w:qFormat/>
    <w:rsid w:val="00026241"/>
    <w:pPr>
      <w:keepNext/>
      <w:numPr>
        <w:ilvl w:val="1"/>
        <w:numId w:val="1"/>
      </w:numPr>
      <w:spacing w:before="320" w:after="100"/>
      <w:outlineLvl w:val="1"/>
    </w:pPr>
    <w:rPr>
      <w:rFonts w:cs="Arial"/>
      <w:b/>
      <w:bCs/>
      <w:iCs/>
      <w:caps/>
      <w:sz w:val="28"/>
      <w:szCs w:val="28"/>
    </w:rPr>
  </w:style>
  <w:style w:type="paragraph" w:styleId="Titre3">
    <w:name w:val="heading 3"/>
    <w:aliases w:val="Titre 1.1.1,T3"/>
    <w:basedOn w:val="Normal"/>
    <w:next w:val="Normal"/>
    <w:link w:val="Titre3Car"/>
    <w:uiPriority w:val="99"/>
    <w:qFormat/>
    <w:rsid w:val="00026241"/>
    <w:pPr>
      <w:keepNext/>
      <w:numPr>
        <w:ilvl w:val="2"/>
        <w:numId w:val="1"/>
      </w:numPr>
      <w:spacing w:before="320" w:after="100"/>
      <w:jc w:val="left"/>
      <w:outlineLvl w:val="2"/>
    </w:pPr>
    <w:rPr>
      <w:rFonts w:cs="Arial"/>
      <w:bCs/>
      <w:i/>
      <w:caps/>
      <w:sz w:val="26"/>
      <w:szCs w:val="26"/>
    </w:rPr>
  </w:style>
  <w:style w:type="paragraph" w:styleId="Titre4">
    <w:name w:val="heading 4"/>
    <w:aliases w:val="heading 4,T4,Titre 1.1.1.1"/>
    <w:basedOn w:val="Normal"/>
    <w:next w:val="Normal"/>
    <w:link w:val="Titre4Car"/>
    <w:uiPriority w:val="99"/>
    <w:qFormat/>
    <w:rsid w:val="00026241"/>
    <w:pPr>
      <w:keepNext/>
      <w:numPr>
        <w:ilvl w:val="3"/>
        <w:numId w:val="1"/>
      </w:numPr>
      <w:spacing w:before="240" w:after="100"/>
      <w:jc w:val="left"/>
      <w:outlineLvl w:val="3"/>
    </w:pPr>
    <w:rPr>
      <w:b/>
      <w:bCs/>
      <w:sz w:val="23"/>
      <w:szCs w:val="28"/>
      <w:u w:val="single"/>
    </w:rPr>
  </w:style>
  <w:style w:type="paragraph" w:styleId="Titre5">
    <w:name w:val="heading 5"/>
    <w:aliases w:val="T5,Titre 1.1.1.1.1"/>
    <w:basedOn w:val="Normal"/>
    <w:next w:val="Normal"/>
    <w:uiPriority w:val="99"/>
    <w:qFormat/>
    <w:rsid w:val="00026241"/>
    <w:pPr>
      <w:numPr>
        <w:ilvl w:val="4"/>
        <w:numId w:val="1"/>
      </w:numPr>
      <w:spacing w:before="240" w:after="100"/>
      <w:jc w:val="left"/>
      <w:outlineLvl w:val="4"/>
    </w:pPr>
    <w:rPr>
      <w:b/>
      <w:bCs/>
      <w:iCs/>
      <w:sz w:val="23"/>
      <w:szCs w:val="26"/>
    </w:rPr>
  </w:style>
  <w:style w:type="paragraph" w:styleId="Titre6">
    <w:name w:val="heading 6"/>
    <w:aliases w:val="T6"/>
    <w:basedOn w:val="Normal"/>
    <w:next w:val="Normal"/>
    <w:uiPriority w:val="99"/>
    <w:qFormat/>
    <w:rsid w:val="00026241"/>
    <w:pPr>
      <w:numPr>
        <w:ilvl w:val="5"/>
        <w:numId w:val="1"/>
      </w:numPr>
      <w:spacing w:before="240" w:after="100"/>
      <w:jc w:val="left"/>
      <w:outlineLvl w:val="5"/>
    </w:pPr>
    <w:rPr>
      <w:bCs/>
      <w:i/>
      <w:sz w:val="23"/>
      <w:szCs w:val="22"/>
    </w:rPr>
  </w:style>
  <w:style w:type="paragraph" w:styleId="Titre7">
    <w:name w:val="heading 7"/>
    <w:aliases w:val="T7"/>
    <w:basedOn w:val="Normal"/>
    <w:next w:val="Normal"/>
    <w:uiPriority w:val="99"/>
    <w:qFormat/>
    <w:rsid w:val="00026241"/>
    <w:pPr>
      <w:numPr>
        <w:ilvl w:val="6"/>
        <w:numId w:val="1"/>
      </w:numPr>
      <w:spacing w:before="240" w:after="100"/>
      <w:jc w:val="left"/>
      <w:outlineLvl w:val="6"/>
    </w:pPr>
    <w:rPr>
      <w:b/>
      <w:sz w:val="20"/>
      <w:u w:val="single"/>
    </w:rPr>
  </w:style>
  <w:style w:type="paragraph" w:styleId="Titre8">
    <w:name w:val="heading 8"/>
    <w:aliases w:val="T8"/>
    <w:basedOn w:val="Normal"/>
    <w:next w:val="Normal"/>
    <w:uiPriority w:val="99"/>
    <w:qFormat/>
    <w:rsid w:val="00026241"/>
    <w:pPr>
      <w:numPr>
        <w:ilvl w:val="7"/>
        <w:numId w:val="1"/>
      </w:numPr>
      <w:spacing w:before="240" w:after="100"/>
      <w:jc w:val="left"/>
      <w:outlineLvl w:val="7"/>
    </w:pPr>
    <w:rPr>
      <w:b/>
      <w:iCs/>
      <w:sz w:val="20"/>
    </w:rPr>
  </w:style>
  <w:style w:type="paragraph" w:styleId="Titre9">
    <w:name w:val="heading 9"/>
    <w:aliases w:val="T9"/>
    <w:basedOn w:val="Normal"/>
    <w:next w:val="Normal"/>
    <w:uiPriority w:val="99"/>
    <w:qFormat/>
    <w:rsid w:val="00026241"/>
    <w:pPr>
      <w:numPr>
        <w:ilvl w:val="8"/>
        <w:numId w:val="1"/>
      </w:numPr>
      <w:spacing w:before="240" w:after="100"/>
      <w:jc w:val="left"/>
      <w:outlineLvl w:val="8"/>
    </w:pPr>
    <w:rPr>
      <w:rFonts w:cs="Arial"/>
      <w:i/>
      <w:sz w:val="20"/>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heading 1 Car,Titre1. Car1,T1 Car"/>
    <w:link w:val="Titre1"/>
    <w:uiPriority w:val="99"/>
    <w:rsid w:val="00026241"/>
    <w:rPr>
      <w:rFonts w:ascii="Trebuchet MS" w:hAnsi="Trebuchet MS" w:cs="Arial"/>
      <w:b/>
      <w:bCs/>
      <w:caps/>
      <w:sz w:val="32"/>
      <w:szCs w:val="32"/>
      <w:u w:val="single"/>
      <w:lang w:val="fr-FR" w:eastAsia="fr-FR"/>
    </w:rPr>
  </w:style>
  <w:style w:type="character" w:customStyle="1" w:styleId="Titre2Car">
    <w:name w:val="Titre 2 Car"/>
    <w:aliases w:val="T2 Car1,heading 2 Car1,(paragrafi) Car1,Rubrique évènement Car,Titre 1.1 Car"/>
    <w:link w:val="Titre2"/>
    <w:uiPriority w:val="99"/>
    <w:locked/>
    <w:rsid w:val="00026241"/>
    <w:rPr>
      <w:rFonts w:ascii="Trebuchet MS" w:hAnsi="Trebuchet MS" w:cs="Arial"/>
      <w:b/>
      <w:bCs/>
      <w:iCs/>
      <w:caps/>
      <w:sz w:val="28"/>
      <w:szCs w:val="28"/>
      <w:lang w:val="fr-FR" w:eastAsia="fr-FR"/>
    </w:rPr>
  </w:style>
  <w:style w:type="character" w:customStyle="1" w:styleId="Titre3Car">
    <w:name w:val="Titre 3 Car"/>
    <w:aliases w:val="Titre 1.1.1 Car,T3 Car"/>
    <w:link w:val="Titre3"/>
    <w:uiPriority w:val="99"/>
    <w:rsid w:val="00026241"/>
    <w:rPr>
      <w:rFonts w:ascii="Trebuchet MS" w:hAnsi="Trebuchet MS" w:cs="Arial"/>
      <w:bCs/>
      <w:i/>
      <w:caps/>
      <w:sz w:val="26"/>
      <w:szCs w:val="26"/>
      <w:lang w:val="fr-FR" w:eastAsia="fr-FR"/>
    </w:rPr>
  </w:style>
  <w:style w:type="character" w:customStyle="1" w:styleId="Titre4Car">
    <w:name w:val="Titre 4 Car"/>
    <w:aliases w:val="heading 4 Car,T4 Car,Titre 1.1.1.1 Car"/>
    <w:link w:val="Titre4"/>
    <w:uiPriority w:val="99"/>
    <w:rsid w:val="004E0510"/>
    <w:rPr>
      <w:rFonts w:ascii="Trebuchet MS" w:hAnsi="Trebuchet MS"/>
      <w:b/>
      <w:bCs/>
      <w:sz w:val="23"/>
      <w:szCs w:val="28"/>
      <w:u w:val="single"/>
      <w:lang w:val="fr-FR" w:eastAsia="fr-FR"/>
    </w:rPr>
  </w:style>
  <w:style w:type="paragraph" w:styleId="Explorateurdedocuments">
    <w:name w:val="Document Map"/>
    <w:basedOn w:val="Normal"/>
    <w:semiHidden/>
    <w:rsid w:val="00BC5399"/>
    <w:pPr>
      <w:shd w:val="clear" w:color="auto" w:fill="000080"/>
    </w:pPr>
    <w:rPr>
      <w:rFonts w:ascii="Tahoma" w:hAnsi="Tahoma" w:cs="Tahoma"/>
      <w:sz w:val="20"/>
      <w:szCs w:val="20"/>
    </w:rPr>
  </w:style>
  <w:style w:type="paragraph" w:customStyle="1" w:styleId="ASAMPSAtable">
    <w:name w:val="ASAMPSA table"/>
    <w:basedOn w:val="Normal"/>
    <w:next w:val="Normal"/>
    <w:link w:val="ASAMPSAtableCarCar"/>
    <w:rsid w:val="00E55C9E"/>
    <w:pPr>
      <w:widowControl w:val="0"/>
      <w:numPr>
        <w:numId w:val="6"/>
      </w:numPr>
      <w:jc w:val="center"/>
    </w:pPr>
    <w:rPr>
      <w:b/>
      <w:lang w:val="en-US" w:eastAsia="ko-KR"/>
    </w:rPr>
  </w:style>
  <w:style w:type="character" w:customStyle="1" w:styleId="ASAMPSAtableCarCar">
    <w:name w:val="ASAMPSA table Car Car"/>
    <w:link w:val="ASAMPSAtable"/>
    <w:locked/>
    <w:rsid w:val="00E55C9E"/>
    <w:rPr>
      <w:rFonts w:ascii="Trebuchet MS" w:hAnsi="Trebuchet MS"/>
      <w:b/>
      <w:sz w:val="18"/>
      <w:szCs w:val="24"/>
      <w:lang w:val="en-US" w:eastAsia="ko-KR"/>
    </w:rPr>
  </w:style>
  <w:style w:type="character" w:styleId="Lienhypertexte">
    <w:name w:val="Hyperlink"/>
    <w:uiPriority w:val="99"/>
    <w:rsid w:val="00BC5399"/>
    <w:rPr>
      <w:color w:val="0000FF"/>
      <w:u w:val="single"/>
    </w:rPr>
  </w:style>
  <w:style w:type="paragraph" w:customStyle="1" w:styleId="TitreCouverture">
    <w:name w:val="Titre Couverture"/>
    <w:basedOn w:val="Normal"/>
    <w:next w:val="Normal"/>
    <w:pPr>
      <w:spacing w:line="240" w:lineRule="auto"/>
      <w:jc w:val="left"/>
    </w:pPr>
    <w:rPr>
      <w:i/>
      <w:sz w:val="56"/>
    </w:rPr>
  </w:style>
  <w:style w:type="paragraph" w:styleId="TM1">
    <w:name w:val="toc 1"/>
    <w:basedOn w:val="Normal"/>
    <w:next w:val="Normal"/>
    <w:uiPriority w:val="39"/>
    <w:rsid w:val="005252B9"/>
    <w:pPr>
      <w:spacing w:before="120" w:line="360" w:lineRule="auto"/>
      <w:jc w:val="left"/>
    </w:pPr>
    <w:rPr>
      <w:rFonts w:ascii="Times New Roman" w:hAnsi="Times New Roman"/>
      <w:bCs/>
      <w:iCs/>
    </w:rPr>
  </w:style>
  <w:style w:type="paragraph" w:styleId="TM2">
    <w:name w:val="toc 2"/>
    <w:basedOn w:val="Normal"/>
    <w:next w:val="Normal"/>
    <w:autoRedefine/>
    <w:uiPriority w:val="39"/>
    <w:rsid w:val="005252B9"/>
    <w:pPr>
      <w:spacing w:before="120"/>
      <w:ind w:left="180"/>
      <w:jc w:val="left"/>
    </w:pPr>
    <w:rPr>
      <w:rFonts w:ascii="Times New Roman" w:hAnsi="Times New Roman"/>
      <w:bCs/>
      <w:szCs w:val="22"/>
    </w:rPr>
  </w:style>
  <w:style w:type="paragraph" w:styleId="TM3">
    <w:name w:val="toc 3"/>
    <w:basedOn w:val="Normal"/>
    <w:next w:val="Normal"/>
    <w:autoRedefine/>
    <w:uiPriority w:val="39"/>
    <w:pPr>
      <w:ind w:left="360"/>
      <w:jc w:val="left"/>
    </w:pPr>
    <w:rPr>
      <w:rFonts w:ascii="Times New Roman" w:hAnsi="Times New Roman"/>
      <w:sz w:val="20"/>
      <w:szCs w:val="20"/>
    </w:rPr>
  </w:style>
  <w:style w:type="paragraph" w:styleId="TM4">
    <w:name w:val="toc 4"/>
    <w:basedOn w:val="Normal"/>
    <w:next w:val="Normal"/>
    <w:autoRedefine/>
    <w:uiPriority w:val="39"/>
    <w:pPr>
      <w:ind w:left="540"/>
      <w:jc w:val="left"/>
    </w:pPr>
    <w:rPr>
      <w:rFonts w:ascii="Times New Roman" w:hAnsi="Times New Roman"/>
      <w:sz w:val="20"/>
      <w:szCs w:val="20"/>
    </w:rPr>
  </w:style>
  <w:style w:type="paragraph" w:styleId="Pieddepage">
    <w:name w:val="footer"/>
    <w:basedOn w:val="Normal"/>
    <w:link w:val="PieddepageCar"/>
    <w:uiPriority w:val="99"/>
    <w:pPr>
      <w:tabs>
        <w:tab w:val="center" w:pos="4536"/>
        <w:tab w:val="right" w:pos="9072"/>
      </w:tabs>
    </w:pPr>
  </w:style>
  <w:style w:type="character" w:styleId="Numrodepage">
    <w:name w:val="page number"/>
    <w:basedOn w:val="Policepardfaut"/>
    <w:semiHidden/>
    <w:rsid w:val="00F6424B"/>
  </w:style>
  <w:style w:type="paragraph" w:customStyle="1" w:styleId="TABLEAUCentr">
    <w:name w:val="TABLEAU + Centré"/>
    <w:basedOn w:val="Normal"/>
    <w:next w:val="Normal"/>
    <w:autoRedefine/>
    <w:semiHidden/>
    <w:rsid w:val="00C24D41"/>
    <w:pPr>
      <w:spacing w:line="240" w:lineRule="auto"/>
      <w:jc w:val="center"/>
    </w:pPr>
    <w:rPr>
      <w:rFonts w:cs="Arial"/>
      <w:sz w:val="20"/>
      <w:szCs w:val="20"/>
      <w:lang w:eastAsia="en-US"/>
    </w:rPr>
  </w:style>
  <w:style w:type="paragraph" w:customStyle="1" w:styleId="StyleTABLEAU9pt">
    <w:name w:val="Style TABLEAU + 9 pt"/>
    <w:basedOn w:val="Normal"/>
    <w:autoRedefine/>
    <w:semiHidden/>
    <w:rsid w:val="00C24D41"/>
    <w:pPr>
      <w:spacing w:before="240" w:after="120" w:line="240" w:lineRule="auto"/>
      <w:jc w:val="center"/>
    </w:pPr>
    <w:rPr>
      <w:szCs w:val="20"/>
      <w:lang w:eastAsia="en-US"/>
    </w:rPr>
  </w:style>
  <w:style w:type="paragraph" w:customStyle="1" w:styleId="TABLEAU">
    <w:name w:val="TABLEAU"/>
    <w:basedOn w:val="Normal"/>
    <w:next w:val="Normal"/>
    <w:autoRedefine/>
    <w:semiHidden/>
    <w:rsid w:val="00C24D41"/>
    <w:pPr>
      <w:numPr>
        <w:numId w:val="2"/>
      </w:numPr>
      <w:spacing w:before="240" w:after="120" w:line="240" w:lineRule="auto"/>
      <w:jc w:val="center"/>
    </w:pPr>
    <w:rPr>
      <w:szCs w:val="20"/>
      <w:lang w:eastAsia="en-US"/>
    </w:rPr>
  </w:style>
  <w:style w:type="paragraph" w:customStyle="1" w:styleId="TABLEAU1">
    <w:name w:val="TABLEAU1"/>
    <w:basedOn w:val="Normal"/>
    <w:next w:val="Normal"/>
    <w:semiHidden/>
    <w:rsid w:val="00C24D41"/>
    <w:pPr>
      <w:spacing w:before="240" w:after="120" w:line="240" w:lineRule="auto"/>
      <w:jc w:val="left"/>
    </w:pPr>
    <w:rPr>
      <w:szCs w:val="20"/>
      <w:lang w:eastAsia="en-US"/>
    </w:rPr>
  </w:style>
  <w:style w:type="paragraph" w:customStyle="1" w:styleId="TABLEAUbis">
    <w:name w:val="TABLEAU bis"/>
    <w:basedOn w:val="Normal"/>
    <w:next w:val="Normal"/>
    <w:semiHidden/>
    <w:rsid w:val="00C24D41"/>
    <w:pPr>
      <w:spacing w:before="240" w:after="120" w:line="240" w:lineRule="auto"/>
      <w:jc w:val="center"/>
    </w:pPr>
    <w:rPr>
      <w:szCs w:val="20"/>
      <w:lang w:eastAsia="en-US"/>
    </w:rPr>
  </w:style>
  <w:style w:type="paragraph" w:customStyle="1" w:styleId="Question">
    <w:name w:val="Question"/>
    <w:basedOn w:val="Normal"/>
    <w:semiHidden/>
    <w:rsid w:val="00C24D41"/>
    <w:pPr>
      <w:widowControl w:val="0"/>
      <w:numPr>
        <w:numId w:val="3"/>
      </w:numPr>
      <w:autoSpaceDE w:val="0"/>
      <w:autoSpaceDN w:val="0"/>
      <w:adjustRightInd w:val="0"/>
      <w:spacing w:line="240" w:lineRule="auto"/>
      <w:jc w:val="center"/>
    </w:pPr>
    <w:rPr>
      <w:rFonts w:ascii="Times New Roman" w:hAnsi="Times New Roman"/>
      <w:sz w:val="20"/>
      <w:szCs w:val="20"/>
      <w:lang w:val="en-GB"/>
    </w:rPr>
  </w:style>
  <w:style w:type="paragraph" w:styleId="Notedebasdepage">
    <w:name w:val="footnote text"/>
    <w:basedOn w:val="Normal"/>
    <w:link w:val="NotedebasdepageCar"/>
    <w:uiPriority w:val="99"/>
    <w:semiHidden/>
    <w:rsid w:val="00C24D41"/>
    <w:pPr>
      <w:widowControl w:val="0"/>
      <w:autoSpaceDE w:val="0"/>
      <w:autoSpaceDN w:val="0"/>
      <w:adjustRightInd w:val="0"/>
      <w:spacing w:line="240" w:lineRule="auto"/>
      <w:jc w:val="left"/>
    </w:pPr>
    <w:rPr>
      <w:rFonts w:ascii="Times New Roman" w:hAnsi="Times New Roman"/>
      <w:sz w:val="20"/>
      <w:szCs w:val="20"/>
    </w:rPr>
  </w:style>
  <w:style w:type="paragraph" w:customStyle="1" w:styleId="StyleTitre4Gauche222cm">
    <w:name w:val="Style Titre 4 + Gauche :  222 cm"/>
    <w:basedOn w:val="Titre4"/>
    <w:semiHidden/>
    <w:rsid w:val="00C24D41"/>
    <w:pPr>
      <w:widowControl w:val="0"/>
      <w:numPr>
        <w:ilvl w:val="0"/>
        <w:numId w:val="0"/>
      </w:numPr>
      <w:tabs>
        <w:tab w:val="left" w:pos="1134"/>
      </w:tabs>
      <w:autoSpaceDE w:val="0"/>
      <w:autoSpaceDN w:val="0"/>
      <w:adjustRightInd w:val="0"/>
      <w:spacing w:after="60" w:line="240" w:lineRule="auto"/>
      <w:ind w:left="1260" w:firstLine="1134"/>
    </w:pPr>
    <w:rPr>
      <w:rFonts w:ascii="Times New Roman" w:hAnsi="Times New Roman" w:cs="Arial"/>
      <w:b w:val="0"/>
      <w:bCs w:val="0"/>
      <w:i/>
      <w:iCs/>
      <w:sz w:val="24"/>
      <w:szCs w:val="20"/>
      <w:u w:val="none"/>
      <w:lang w:val="en-GB"/>
    </w:rPr>
  </w:style>
  <w:style w:type="paragraph" w:styleId="Textedebulles">
    <w:name w:val="Balloon Text"/>
    <w:basedOn w:val="Normal"/>
    <w:semiHidden/>
    <w:rsid w:val="004C4B57"/>
    <w:rPr>
      <w:rFonts w:ascii="Tahoma" w:hAnsi="Tahoma" w:cs="Tahoma"/>
      <w:sz w:val="16"/>
      <w:szCs w:val="16"/>
    </w:rPr>
  </w:style>
  <w:style w:type="paragraph" w:customStyle="1" w:styleId="Paragraphe">
    <w:name w:val="Paragraphe"/>
    <w:basedOn w:val="Normal"/>
    <w:uiPriority w:val="99"/>
    <w:rsid w:val="00D855EF"/>
    <w:pPr>
      <w:spacing w:before="60" w:after="60" w:line="290" w:lineRule="atLeast"/>
      <w:ind w:firstLine="567"/>
    </w:pPr>
    <w:rPr>
      <w:sz w:val="20"/>
      <w:szCs w:val="20"/>
    </w:rPr>
  </w:style>
  <w:style w:type="paragraph" w:customStyle="1" w:styleId="SP3176228">
    <w:name w:val="SP.3.176228"/>
    <w:basedOn w:val="Normal"/>
    <w:next w:val="Normal"/>
    <w:semiHidden/>
    <w:rsid w:val="009A1C44"/>
    <w:pPr>
      <w:autoSpaceDE w:val="0"/>
      <w:autoSpaceDN w:val="0"/>
      <w:adjustRightInd w:val="0"/>
      <w:spacing w:line="240" w:lineRule="auto"/>
      <w:jc w:val="left"/>
    </w:pPr>
    <w:rPr>
      <w:rFonts w:ascii="Times Ten" w:hAnsi="Times Ten"/>
      <w:sz w:val="24"/>
      <w:lang w:val="en-GB"/>
    </w:rPr>
  </w:style>
  <w:style w:type="paragraph" w:customStyle="1" w:styleId="SP3176268">
    <w:name w:val="SP.3.176268"/>
    <w:basedOn w:val="Normal"/>
    <w:next w:val="Normal"/>
    <w:semiHidden/>
    <w:rsid w:val="009A1C44"/>
    <w:pPr>
      <w:autoSpaceDE w:val="0"/>
      <w:autoSpaceDN w:val="0"/>
      <w:adjustRightInd w:val="0"/>
      <w:spacing w:line="240" w:lineRule="auto"/>
      <w:jc w:val="left"/>
    </w:pPr>
    <w:rPr>
      <w:rFonts w:ascii="Times Ten" w:hAnsi="Times Ten"/>
      <w:sz w:val="24"/>
      <w:lang w:val="en-GB"/>
    </w:rPr>
  </w:style>
  <w:style w:type="paragraph" w:customStyle="1" w:styleId="SP3176173">
    <w:name w:val="SP.3.176173"/>
    <w:basedOn w:val="Normal"/>
    <w:next w:val="Normal"/>
    <w:semiHidden/>
    <w:rsid w:val="009A1C44"/>
    <w:pPr>
      <w:autoSpaceDE w:val="0"/>
      <w:autoSpaceDN w:val="0"/>
      <w:adjustRightInd w:val="0"/>
      <w:spacing w:line="240" w:lineRule="auto"/>
      <w:jc w:val="left"/>
    </w:pPr>
    <w:rPr>
      <w:rFonts w:ascii="Times Ten" w:hAnsi="Times Ten"/>
      <w:sz w:val="24"/>
      <w:lang w:val="en-GB"/>
    </w:rPr>
  </w:style>
  <w:style w:type="paragraph" w:customStyle="1" w:styleId="SP3176183">
    <w:name w:val="SP.3.176183"/>
    <w:basedOn w:val="Normal"/>
    <w:next w:val="Normal"/>
    <w:semiHidden/>
    <w:rsid w:val="009A1C44"/>
    <w:pPr>
      <w:autoSpaceDE w:val="0"/>
      <w:autoSpaceDN w:val="0"/>
      <w:adjustRightInd w:val="0"/>
      <w:spacing w:line="240" w:lineRule="auto"/>
      <w:jc w:val="left"/>
    </w:pPr>
    <w:rPr>
      <w:rFonts w:ascii="Times Ten" w:hAnsi="Times Ten"/>
      <w:sz w:val="24"/>
      <w:lang w:val="en-GB"/>
    </w:rPr>
  </w:style>
  <w:style w:type="character" w:customStyle="1" w:styleId="SC3241800">
    <w:name w:val="SC.3.241800"/>
    <w:semiHidden/>
    <w:rsid w:val="009A1C44"/>
    <w:rPr>
      <w:i/>
      <w:color w:val="000000"/>
      <w:sz w:val="20"/>
    </w:rPr>
  </w:style>
  <w:style w:type="character" w:customStyle="1" w:styleId="SC3241725">
    <w:name w:val="SC.3.241725"/>
    <w:semiHidden/>
    <w:rsid w:val="009A1C44"/>
    <w:rPr>
      <w:i/>
      <w:color w:val="000000"/>
      <w:sz w:val="13"/>
    </w:rPr>
  </w:style>
  <w:style w:type="paragraph" w:customStyle="1" w:styleId="Standard4">
    <w:name w:val="Standard4"/>
    <w:semiHidden/>
    <w:rsid w:val="009A1C44"/>
    <w:pPr>
      <w:widowControl w:val="0"/>
      <w:overflowPunct w:val="0"/>
      <w:autoSpaceDE w:val="0"/>
      <w:autoSpaceDN w:val="0"/>
      <w:adjustRightInd w:val="0"/>
      <w:jc w:val="both"/>
      <w:textAlignment w:val="baseline"/>
    </w:pPr>
    <w:rPr>
      <w:rFonts w:eastAsia="Batang"/>
      <w:sz w:val="24"/>
      <w:szCs w:val="24"/>
      <w:lang w:val="en-US" w:eastAsia="en-US"/>
    </w:rPr>
  </w:style>
  <w:style w:type="paragraph" w:customStyle="1" w:styleId="Paragraph">
    <w:name w:val="Paragraph"/>
    <w:basedOn w:val="Normal"/>
    <w:semiHidden/>
    <w:rsid w:val="009A1C44"/>
    <w:pPr>
      <w:spacing w:line="240" w:lineRule="auto"/>
    </w:pPr>
    <w:rPr>
      <w:rFonts w:ascii="Times New Roman" w:eastAsia="Batang" w:hAnsi="Times New Roman"/>
      <w:sz w:val="24"/>
      <w:lang w:val="en-US" w:eastAsia="ko-KR"/>
    </w:rPr>
  </w:style>
  <w:style w:type="paragraph" w:customStyle="1" w:styleId="Paragraph2">
    <w:name w:val="Paragraph2"/>
    <w:basedOn w:val="Standard4"/>
    <w:semiHidden/>
    <w:rsid w:val="009A1C44"/>
    <w:pPr>
      <w:numPr>
        <w:ilvl w:val="1"/>
        <w:numId w:val="4"/>
      </w:numPr>
    </w:pPr>
  </w:style>
  <w:style w:type="paragraph" w:customStyle="1" w:styleId="Paragraph3">
    <w:name w:val="Paragraph3"/>
    <w:basedOn w:val="Paragraph2"/>
    <w:semiHidden/>
    <w:rsid w:val="009A1C44"/>
    <w:pPr>
      <w:numPr>
        <w:ilvl w:val="0"/>
        <w:numId w:val="0"/>
      </w:numPr>
    </w:pPr>
  </w:style>
  <w:style w:type="paragraph" w:customStyle="1" w:styleId="titleofthepaper">
    <w:name w:val="titleofthepaper"/>
    <w:basedOn w:val="Normal"/>
    <w:semiHidden/>
    <w:rsid w:val="009A1C44"/>
    <w:pPr>
      <w:spacing w:line="240" w:lineRule="auto"/>
      <w:jc w:val="center"/>
    </w:pPr>
    <w:rPr>
      <w:rFonts w:ascii="Arial" w:hAnsi="Arial" w:cs="Arial"/>
      <w:b/>
      <w:bCs/>
      <w:sz w:val="28"/>
      <w:szCs w:val="28"/>
      <w:lang w:val="en-GB"/>
    </w:rPr>
  </w:style>
  <w:style w:type="paragraph" w:customStyle="1" w:styleId="References">
    <w:name w:val="References"/>
    <w:basedOn w:val="Normal"/>
    <w:semiHidden/>
    <w:rsid w:val="00BC5399"/>
    <w:pPr>
      <w:tabs>
        <w:tab w:val="num" w:pos="360"/>
      </w:tabs>
      <w:suppressAutoHyphens/>
      <w:spacing w:line="240" w:lineRule="auto"/>
      <w:ind w:left="360" w:hanging="360"/>
    </w:pPr>
    <w:rPr>
      <w:rFonts w:ascii="Times New Roman" w:hAnsi="Times New Roman"/>
      <w:bCs/>
      <w:kern w:val="14"/>
      <w:sz w:val="20"/>
      <w:szCs w:val="20"/>
      <w:lang w:val="en-GB" w:eastAsia="en-US"/>
    </w:rPr>
  </w:style>
  <w:style w:type="paragraph" w:customStyle="1" w:styleId="NormalStandard">
    <w:name w:val="NormalStandard"/>
    <w:basedOn w:val="Normal"/>
    <w:semiHidden/>
    <w:rsid w:val="009A1C44"/>
    <w:pPr>
      <w:tabs>
        <w:tab w:val="left" w:pos="1134"/>
        <w:tab w:val="left" w:pos="1531"/>
        <w:tab w:val="left" w:pos="1928"/>
        <w:tab w:val="left" w:pos="2325"/>
        <w:tab w:val="left" w:pos="2722"/>
      </w:tabs>
      <w:spacing w:line="240" w:lineRule="auto"/>
      <w:ind w:left="1134"/>
    </w:pPr>
    <w:rPr>
      <w:rFonts w:ascii="Arial" w:hAnsi="Arial"/>
      <w:sz w:val="22"/>
      <w:szCs w:val="20"/>
      <w:lang w:val="en-GB" w:eastAsia="en-US"/>
    </w:rPr>
  </w:style>
  <w:style w:type="paragraph" w:customStyle="1" w:styleId="StyleAvant6ptInterligneExactement16pt">
    <w:name w:val="Style Avant : 6 pt Interligne : Exactement 16 pt"/>
    <w:basedOn w:val="Normal"/>
    <w:semiHidden/>
    <w:rsid w:val="009A1C44"/>
    <w:pPr>
      <w:spacing w:before="120" w:line="320" w:lineRule="exact"/>
      <w:jc w:val="left"/>
    </w:pPr>
    <w:rPr>
      <w:szCs w:val="20"/>
      <w:lang w:val="en-GB"/>
    </w:rPr>
  </w:style>
  <w:style w:type="paragraph" w:styleId="TM5">
    <w:name w:val="toc 5"/>
    <w:basedOn w:val="Normal"/>
    <w:next w:val="Normal"/>
    <w:autoRedefine/>
    <w:uiPriority w:val="39"/>
    <w:rsid w:val="009A1C44"/>
    <w:pPr>
      <w:ind w:left="720"/>
      <w:jc w:val="left"/>
    </w:pPr>
    <w:rPr>
      <w:rFonts w:ascii="Times New Roman" w:hAnsi="Times New Roman"/>
      <w:sz w:val="20"/>
      <w:szCs w:val="20"/>
    </w:rPr>
  </w:style>
  <w:style w:type="paragraph" w:styleId="TM6">
    <w:name w:val="toc 6"/>
    <w:basedOn w:val="Normal"/>
    <w:next w:val="Normal"/>
    <w:autoRedefine/>
    <w:uiPriority w:val="39"/>
    <w:rsid w:val="009A1C44"/>
    <w:pPr>
      <w:ind w:left="900"/>
      <w:jc w:val="left"/>
    </w:pPr>
    <w:rPr>
      <w:rFonts w:ascii="Times New Roman" w:hAnsi="Times New Roman"/>
      <w:sz w:val="20"/>
      <w:szCs w:val="20"/>
    </w:rPr>
  </w:style>
  <w:style w:type="paragraph" w:styleId="TM7">
    <w:name w:val="toc 7"/>
    <w:basedOn w:val="Normal"/>
    <w:next w:val="Normal"/>
    <w:autoRedefine/>
    <w:uiPriority w:val="39"/>
    <w:rsid w:val="009A1C44"/>
    <w:pPr>
      <w:ind w:left="1080"/>
      <w:jc w:val="left"/>
    </w:pPr>
    <w:rPr>
      <w:rFonts w:ascii="Times New Roman" w:hAnsi="Times New Roman"/>
      <w:sz w:val="20"/>
      <w:szCs w:val="20"/>
    </w:rPr>
  </w:style>
  <w:style w:type="paragraph" w:styleId="TM8">
    <w:name w:val="toc 8"/>
    <w:basedOn w:val="Normal"/>
    <w:next w:val="Normal"/>
    <w:autoRedefine/>
    <w:uiPriority w:val="39"/>
    <w:rsid w:val="009A1C44"/>
    <w:pPr>
      <w:ind w:left="1260"/>
      <w:jc w:val="left"/>
    </w:pPr>
    <w:rPr>
      <w:rFonts w:ascii="Times New Roman" w:hAnsi="Times New Roman"/>
      <w:sz w:val="20"/>
      <w:szCs w:val="20"/>
    </w:rPr>
  </w:style>
  <w:style w:type="paragraph" w:styleId="TM9">
    <w:name w:val="toc 9"/>
    <w:basedOn w:val="Normal"/>
    <w:next w:val="Normal"/>
    <w:autoRedefine/>
    <w:uiPriority w:val="39"/>
    <w:rsid w:val="009A1C44"/>
    <w:pPr>
      <w:ind w:left="1440"/>
      <w:jc w:val="left"/>
    </w:pPr>
    <w:rPr>
      <w:rFonts w:ascii="Times New Roman" w:hAnsi="Times New Roman"/>
      <w:sz w:val="20"/>
      <w:szCs w:val="20"/>
    </w:rPr>
  </w:style>
  <w:style w:type="paragraph" w:customStyle="1" w:styleId="StyleHeading1Before12ptAfter3pt">
    <w:name w:val="Style Heading 1 + Before:  12 pt After:  3 pt"/>
    <w:basedOn w:val="Titre1"/>
    <w:semiHidden/>
    <w:rsid w:val="009A1C44"/>
    <w:pPr>
      <w:numPr>
        <w:numId w:val="0"/>
      </w:numPr>
      <w:spacing w:before="240" w:after="60"/>
      <w:ind w:left="432" w:hanging="432"/>
    </w:pPr>
    <w:rPr>
      <w:rFonts w:cs="Times New Roman"/>
      <w:szCs w:val="20"/>
      <w:lang w:val="en-GB"/>
    </w:rPr>
  </w:style>
  <w:style w:type="paragraph" w:customStyle="1" w:styleId="Paragraphedeliste1">
    <w:name w:val="Paragraphe de liste1"/>
    <w:basedOn w:val="Normal"/>
    <w:semiHidden/>
    <w:rsid w:val="009A1C44"/>
    <w:pPr>
      <w:spacing w:after="200" w:line="276" w:lineRule="auto"/>
      <w:ind w:left="720"/>
      <w:contextualSpacing/>
      <w:jc w:val="left"/>
    </w:pPr>
    <w:rPr>
      <w:rFonts w:ascii="Calibri" w:hAnsi="Calibri"/>
      <w:sz w:val="22"/>
      <w:szCs w:val="22"/>
      <w:lang w:val="en-US" w:eastAsia="en-US"/>
    </w:rPr>
  </w:style>
  <w:style w:type="paragraph" w:customStyle="1" w:styleId="Reference">
    <w:name w:val="Reference"/>
    <w:basedOn w:val="Normal"/>
    <w:autoRedefine/>
    <w:semiHidden/>
    <w:rsid w:val="009A1C44"/>
    <w:pPr>
      <w:keepLines/>
      <w:numPr>
        <w:numId w:val="5"/>
      </w:numPr>
      <w:adjustRightInd w:val="0"/>
      <w:snapToGrid w:val="0"/>
      <w:spacing w:after="120" w:line="240" w:lineRule="auto"/>
    </w:pPr>
    <w:rPr>
      <w:rFonts w:ascii="Times New Roman" w:hAnsi="Times New Roman"/>
      <w:sz w:val="24"/>
      <w:lang w:val="en-GB" w:eastAsia="en-US"/>
    </w:rPr>
  </w:style>
  <w:style w:type="character" w:customStyle="1" w:styleId="StyleTrebuchetMS">
    <w:name w:val="Style Trebuchet MS"/>
    <w:semiHidden/>
    <w:rsid w:val="009A1C44"/>
    <w:rPr>
      <w:rFonts w:ascii="Trebuchet MS" w:hAnsi="Trebuchet MS"/>
      <w:sz w:val="18"/>
    </w:rPr>
  </w:style>
  <w:style w:type="paragraph" w:styleId="NormalWeb">
    <w:name w:val="Normal (Web)"/>
    <w:basedOn w:val="Normal"/>
    <w:semiHidden/>
    <w:rsid w:val="009A1C44"/>
    <w:pPr>
      <w:spacing w:before="100" w:beforeAutospacing="1" w:after="100" w:afterAutospacing="1" w:line="240" w:lineRule="auto"/>
      <w:jc w:val="left"/>
    </w:pPr>
    <w:rPr>
      <w:rFonts w:ascii="Times New Roman" w:hAnsi="Times New Roman"/>
      <w:sz w:val="24"/>
      <w:lang w:val="sk-SK" w:eastAsia="sk-SK"/>
    </w:rPr>
  </w:style>
  <w:style w:type="paragraph" w:customStyle="1" w:styleId="ASAMPSAReference">
    <w:name w:val="ASAMPSA Reference"/>
    <w:basedOn w:val="Normal"/>
    <w:next w:val="Normal"/>
    <w:rsid w:val="009A1C44"/>
    <w:pPr>
      <w:numPr>
        <w:numId w:val="7"/>
      </w:numPr>
    </w:pPr>
    <w:rPr>
      <w:lang w:val="en-US"/>
    </w:rPr>
  </w:style>
  <w:style w:type="paragraph" w:customStyle="1" w:styleId="Style1">
    <w:name w:val="Style1"/>
    <w:basedOn w:val="Normal"/>
    <w:semiHidden/>
    <w:rsid w:val="009A1C44"/>
    <w:pPr>
      <w:numPr>
        <w:numId w:val="8"/>
      </w:numPr>
      <w:jc w:val="center"/>
    </w:pPr>
    <w:rPr>
      <w:b/>
      <w:lang w:val="en-GB"/>
    </w:rPr>
  </w:style>
  <w:style w:type="paragraph" w:customStyle="1" w:styleId="ASAMPSAFigure">
    <w:name w:val="ASAMPSA Figure"/>
    <w:basedOn w:val="Normal"/>
    <w:next w:val="Normal"/>
    <w:link w:val="ASAMPSAFigureCarCar"/>
    <w:rsid w:val="009A1C44"/>
    <w:pPr>
      <w:numPr>
        <w:numId w:val="9"/>
      </w:numPr>
      <w:jc w:val="center"/>
    </w:pPr>
    <w:rPr>
      <w:b/>
      <w:lang w:val="en-GB" w:eastAsia="ko-KR"/>
    </w:rPr>
  </w:style>
  <w:style w:type="character" w:customStyle="1" w:styleId="ASAMPSAFigureCarCar">
    <w:name w:val="ASAMPSA Figure Car Car"/>
    <w:link w:val="ASAMPSAFigure"/>
    <w:locked/>
    <w:rsid w:val="009A1C44"/>
    <w:rPr>
      <w:rFonts w:ascii="Trebuchet MS" w:hAnsi="Trebuchet MS"/>
      <w:b/>
      <w:sz w:val="18"/>
      <w:szCs w:val="24"/>
      <w:lang w:val="en-GB" w:eastAsia="ko-KR"/>
    </w:rPr>
  </w:style>
  <w:style w:type="character" w:customStyle="1" w:styleId="Titre1Car0">
    <w:name w:val="Titre1. Car"/>
    <w:aliases w:val="T1 Car Car"/>
    <w:semiHidden/>
    <w:locked/>
    <w:rsid w:val="009A1C44"/>
    <w:rPr>
      <w:rFonts w:ascii="Trebuchet MS" w:hAnsi="Trebuchet MS" w:cs="Arial"/>
      <w:b/>
      <w:bCs/>
      <w:caps/>
      <w:sz w:val="32"/>
      <w:szCs w:val="32"/>
      <w:u w:val="single"/>
      <w:lang w:val="en-GB" w:eastAsia="fr-FR" w:bidi="ar-SA"/>
    </w:rPr>
  </w:style>
  <w:style w:type="character" w:customStyle="1" w:styleId="T2CarCar">
    <w:name w:val="T2 Car Car"/>
    <w:aliases w:val="heading 2 Car,(paragrafi) Car,T2 Car,(paragrafi) Car Car"/>
    <w:semiHidden/>
    <w:rsid w:val="009A1C44"/>
    <w:rPr>
      <w:rFonts w:ascii="Trebuchet MS" w:hAnsi="Trebuchet MS"/>
      <w:b/>
      <w:caps/>
      <w:sz w:val="28"/>
      <w:lang w:val="fr-FR" w:eastAsia="fr-FR"/>
    </w:rPr>
  </w:style>
  <w:style w:type="paragraph" w:customStyle="1" w:styleId="Table">
    <w:name w:val="Table"/>
    <w:basedOn w:val="Normal"/>
    <w:semiHidden/>
    <w:rsid w:val="009A1C44"/>
    <w:pPr>
      <w:tabs>
        <w:tab w:val="left" w:pos="851"/>
      </w:tabs>
      <w:overflowPunct w:val="0"/>
      <w:autoSpaceDE w:val="0"/>
      <w:autoSpaceDN w:val="0"/>
      <w:adjustRightInd w:val="0"/>
      <w:spacing w:before="120" w:line="240" w:lineRule="auto"/>
      <w:textAlignment w:val="baseline"/>
    </w:pPr>
    <w:rPr>
      <w:rFonts w:ascii="Helvetica" w:hAnsi="Helvetica"/>
      <w:bCs/>
      <w:sz w:val="22"/>
      <w:szCs w:val="22"/>
      <w:lang w:val="en-GB" w:eastAsia="de-DE" w:bidi="he-IL"/>
    </w:rPr>
  </w:style>
  <w:style w:type="paragraph" w:customStyle="1" w:styleId="TitleofPaper">
    <w:name w:val="TitleofPaper"/>
    <w:basedOn w:val="Normal"/>
    <w:semiHidden/>
    <w:rsid w:val="009A1C44"/>
    <w:pPr>
      <w:suppressAutoHyphens/>
      <w:autoSpaceDE w:val="0"/>
      <w:autoSpaceDN w:val="0"/>
      <w:spacing w:line="240" w:lineRule="auto"/>
      <w:jc w:val="center"/>
    </w:pPr>
    <w:rPr>
      <w:rFonts w:ascii="Times New Roman" w:eastAsia="PMingLiU" w:hAnsi="Times New Roman"/>
      <w:b/>
      <w:bCs/>
      <w:sz w:val="28"/>
      <w:szCs w:val="28"/>
      <w:lang w:val="en-US" w:eastAsia="en-US"/>
    </w:rPr>
  </w:style>
  <w:style w:type="paragraph" w:customStyle="1" w:styleId="StyleMotifTransparenteBlanc">
    <w:name w:val="Style Motif : Transparente (Blanc)"/>
    <w:basedOn w:val="Normal"/>
    <w:autoRedefine/>
    <w:semiHidden/>
    <w:rsid w:val="00026241"/>
    <w:pPr>
      <w:widowControl w:val="0"/>
      <w:shd w:val="clear" w:color="auto" w:fill="FFFFFF"/>
      <w:tabs>
        <w:tab w:val="left" w:pos="2870"/>
      </w:tabs>
      <w:autoSpaceDE w:val="0"/>
      <w:autoSpaceDN w:val="0"/>
      <w:adjustRightInd w:val="0"/>
      <w:spacing w:line="240" w:lineRule="auto"/>
      <w:jc w:val="left"/>
    </w:pPr>
    <w:rPr>
      <w:rFonts w:ascii="Times New Roman" w:hAnsi="Times New Roman"/>
      <w:sz w:val="22"/>
      <w:szCs w:val="20"/>
      <w:lang w:val="en-US"/>
    </w:rPr>
  </w:style>
  <w:style w:type="paragraph" w:customStyle="1" w:styleId="Standard1">
    <w:name w:val="Standard1"/>
    <w:basedOn w:val="Normal"/>
    <w:next w:val="Normal"/>
    <w:link w:val="NormalCar"/>
    <w:rsid w:val="00026241"/>
    <w:rPr>
      <w:rFonts w:eastAsia="Batang"/>
    </w:rPr>
  </w:style>
  <w:style w:type="character" w:customStyle="1" w:styleId="NormalCar">
    <w:name w:val="Normal Car"/>
    <w:link w:val="Standard1"/>
    <w:rsid w:val="00026241"/>
    <w:rPr>
      <w:rFonts w:ascii="Trebuchet MS" w:eastAsia="Batang" w:hAnsi="Trebuchet MS"/>
      <w:sz w:val="18"/>
      <w:szCs w:val="24"/>
      <w:lang w:val="fr-FR" w:eastAsia="fr-FR" w:bidi="ar-SA"/>
    </w:rPr>
  </w:style>
  <w:style w:type="paragraph" w:customStyle="1" w:styleId="StyleTM1Gauche">
    <w:name w:val="Style TM 1 + Gauche"/>
    <w:basedOn w:val="TM1"/>
    <w:semiHidden/>
    <w:rsid w:val="00E33FCF"/>
    <w:pPr>
      <w:tabs>
        <w:tab w:val="right" w:pos="567"/>
      </w:tabs>
    </w:pPr>
    <w:rPr>
      <w:bCs w:val="0"/>
      <w:szCs w:val="20"/>
    </w:rPr>
  </w:style>
  <w:style w:type="paragraph" w:styleId="TitreTR">
    <w:name w:val="toa heading"/>
    <w:aliases w:val="Table reference"/>
    <w:basedOn w:val="Normal"/>
    <w:next w:val="Normal"/>
    <w:semiHidden/>
    <w:rsid w:val="00E33FCF"/>
    <w:pPr>
      <w:spacing w:before="120"/>
    </w:pPr>
    <w:rPr>
      <w:rFonts w:cs="Arial"/>
      <w:bCs/>
    </w:rPr>
  </w:style>
  <w:style w:type="character" w:styleId="Marquedecommentaire">
    <w:name w:val="annotation reference"/>
    <w:rsid w:val="004444A3"/>
    <w:rPr>
      <w:sz w:val="16"/>
      <w:szCs w:val="16"/>
    </w:rPr>
  </w:style>
  <w:style w:type="paragraph" w:styleId="Commentaire">
    <w:name w:val="annotation text"/>
    <w:basedOn w:val="Normal"/>
    <w:link w:val="CommentaireCar"/>
    <w:rsid w:val="004444A3"/>
    <w:rPr>
      <w:sz w:val="20"/>
      <w:szCs w:val="20"/>
    </w:rPr>
  </w:style>
  <w:style w:type="character" w:customStyle="1" w:styleId="CommentaireCar">
    <w:name w:val="Commentaire Car"/>
    <w:link w:val="Commentaire"/>
    <w:rsid w:val="004444A3"/>
    <w:rPr>
      <w:rFonts w:ascii="Trebuchet MS" w:hAnsi="Trebuchet MS"/>
      <w:lang w:val="fr-FR" w:eastAsia="fr-FR"/>
    </w:rPr>
  </w:style>
  <w:style w:type="paragraph" w:styleId="Objetducommentaire">
    <w:name w:val="annotation subject"/>
    <w:basedOn w:val="Commentaire"/>
    <w:next w:val="Commentaire"/>
    <w:link w:val="ObjetducommentaireCar"/>
    <w:rsid w:val="004444A3"/>
    <w:rPr>
      <w:b/>
      <w:bCs/>
    </w:rPr>
  </w:style>
  <w:style w:type="character" w:customStyle="1" w:styleId="ObjetducommentaireCar">
    <w:name w:val="Objet du commentaire Car"/>
    <w:link w:val="Objetducommentaire"/>
    <w:rsid w:val="004444A3"/>
    <w:rPr>
      <w:rFonts w:ascii="Trebuchet MS" w:hAnsi="Trebuchet MS"/>
      <w:b/>
      <w:bCs/>
      <w:lang w:val="fr-FR" w:eastAsia="fr-FR"/>
    </w:rPr>
  </w:style>
  <w:style w:type="table" w:styleId="Grilledutableau">
    <w:name w:val="Table Grid"/>
    <w:basedOn w:val="TableauNormal"/>
    <w:uiPriority w:val="59"/>
    <w:rsid w:val="001953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rsid w:val="00801BDF"/>
    <w:pPr>
      <w:tabs>
        <w:tab w:val="center" w:pos="4536"/>
        <w:tab w:val="right" w:pos="9072"/>
      </w:tabs>
    </w:pPr>
  </w:style>
  <w:style w:type="character" w:customStyle="1" w:styleId="En-tteCar">
    <w:name w:val="En-tête Car"/>
    <w:link w:val="En-tte"/>
    <w:uiPriority w:val="99"/>
    <w:rsid w:val="00801BDF"/>
    <w:rPr>
      <w:rFonts w:ascii="Trebuchet MS" w:hAnsi="Trebuchet MS"/>
      <w:sz w:val="18"/>
      <w:szCs w:val="24"/>
      <w:lang w:val="fr-FR" w:eastAsia="fr-FR"/>
    </w:rPr>
  </w:style>
  <w:style w:type="paragraph" w:styleId="Lgende">
    <w:name w:val="caption"/>
    <w:basedOn w:val="Normal"/>
    <w:next w:val="Normal"/>
    <w:uiPriority w:val="99"/>
    <w:unhideWhenUsed/>
    <w:qFormat/>
    <w:rsid w:val="002E31AA"/>
    <w:rPr>
      <w:b/>
      <w:bCs/>
      <w:sz w:val="20"/>
      <w:szCs w:val="20"/>
    </w:rPr>
  </w:style>
  <w:style w:type="character" w:styleId="Appelnotedebasdep">
    <w:name w:val="footnote reference"/>
    <w:uiPriority w:val="99"/>
    <w:rsid w:val="00B6319C"/>
    <w:rPr>
      <w:vertAlign w:val="superscript"/>
    </w:rPr>
  </w:style>
  <w:style w:type="paragraph" w:customStyle="1" w:styleId="Default">
    <w:name w:val="Default"/>
    <w:rsid w:val="005C39FA"/>
    <w:pPr>
      <w:autoSpaceDE w:val="0"/>
      <w:autoSpaceDN w:val="0"/>
      <w:adjustRightInd w:val="0"/>
    </w:pPr>
    <w:rPr>
      <w:rFonts w:eastAsia="Calibri"/>
      <w:color w:val="000000"/>
      <w:sz w:val="24"/>
      <w:szCs w:val="24"/>
      <w:lang w:val="en-US" w:eastAsia="en-US"/>
    </w:rPr>
  </w:style>
  <w:style w:type="paragraph" w:styleId="Paragraphedeliste">
    <w:name w:val="List Paragraph"/>
    <w:basedOn w:val="Normal"/>
    <w:uiPriority w:val="34"/>
    <w:qFormat/>
    <w:rsid w:val="0049741E"/>
    <w:pPr>
      <w:spacing w:after="200" w:line="276" w:lineRule="auto"/>
      <w:ind w:left="720"/>
      <w:contextualSpacing/>
      <w:jc w:val="left"/>
    </w:pPr>
    <w:rPr>
      <w:rFonts w:ascii="Times New Roman" w:eastAsia="Calibri" w:hAnsi="Times New Roman"/>
      <w:sz w:val="22"/>
      <w:szCs w:val="22"/>
      <w:lang w:val="en-GB" w:eastAsia="en-US"/>
    </w:rPr>
  </w:style>
  <w:style w:type="paragraph" w:styleId="Rvision">
    <w:name w:val="Revision"/>
    <w:hidden/>
    <w:uiPriority w:val="99"/>
    <w:semiHidden/>
    <w:rsid w:val="00712702"/>
    <w:rPr>
      <w:rFonts w:ascii="Trebuchet MS" w:hAnsi="Trebuchet MS"/>
      <w:sz w:val="18"/>
      <w:szCs w:val="24"/>
      <w:lang w:val="fr-FR" w:eastAsia="fr-FR"/>
    </w:rPr>
  </w:style>
  <w:style w:type="paragraph" w:customStyle="1" w:styleId="Normln1">
    <w:name w:val="Normální1"/>
    <w:basedOn w:val="Normal"/>
    <w:next w:val="Normal"/>
    <w:rsid w:val="006B4D8A"/>
    <w:rPr>
      <w:rFonts w:eastAsia="Batang"/>
    </w:rPr>
  </w:style>
  <w:style w:type="paragraph" w:customStyle="1" w:styleId="Odkraje">
    <w:name w:val="Od kraje"/>
    <w:basedOn w:val="Normal"/>
    <w:link w:val="OdkrajeChar1"/>
    <w:rsid w:val="006B4D8A"/>
    <w:pPr>
      <w:spacing w:after="200" w:line="276" w:lineRule="auto"/>
      <w:jc w:val="left"/>
    </w:pPr>
    <w:rPr>
      <w:rFonts w:ascii="Arial" w:eastAsia="Calibri" w:hAnsi="Arial"/>
      <w:sz w:val="24"/>
      <w:szCs w:val="22"/>
      <w:lang w:val="cs-CZ" w:eastAsia="en-US"/>
    </w:rPr>
  </w:style>
  <w:style w:type="character" w:customStyle="1" w:styleId="OdkrajeChar1">
    <w:name w:val="Od kraje Char1"/>
    <w:link w:val="Odkraje"/>
    <w:rsid w:val="006B4D8A"/>
    <w:rPr>
      <w:rFonts w:ascii="Arial" w:eastAsia="Calibri" w:hAnsi="Arial"/>
      <w:sz w:val="24"/>
      <w:szCs w:val="22"/>
      <w:lang w:val="cs-CZ" w:eastAsia="en-US"/>
    </w:rPr>
  </w:style>
  <w:style w:type="character" w:customStyle="1" w:styleId="hps">
    <w:name w:val="hps"/>
    <w:rsid w:val="006B4D8A"/>
  </w:style>
  <w:style w:type="paragraph" w:customStyle="1" w:styleId="Literatura">
    <w:name w:val="Literatura[]"/>
    <w:basedOn w:val="Normal"/>
    <w:rsid w:val="006B4D8A"/>
    <w:pPr>
      <w:widowControl w:val="0"/>
      <w:spacing w:line="276" w:lineRule="auto"/>
      <w:ind w:left="369" w:hanging="369"/>
      <w:jc w:val="left"/>
    </w:pPr>
    <w:rPr>
      <w:rFonts w:ascii="Arial" w:eastAsia="Calibri" w:hAnsi="Arial"/>
      <w:sz w:val="24"/>
      <w:szCs w:val="22"/>
      <w:lang w:val="cs-CZ" w:eastAsia="en-US"/>
    </w:rPr>
  </w:style>
  <w:style w:type="character" w:customStyle="1" w:styleId="atn">
    <w:name w:val="atn"/>
    <w:rsid w:val="006B4D8A"/>
  </w:style>
  <w:style w:type="character" w:customStyle="1" w:styleId="shorttext">
    <w:name w:val="short_text"/>
    <w:rsid w:val="006B4D8A"/>
  </w:style>
  <w:style w:type="character" w:customStyle="1" w:styleId="st">
    <w:name w:val="st"/>
    <w:rsid w:val="006B4D8A"/>
  </w:style>
  <w:style w:type="character" w:styleId="Textedelespacerserv">
    <w:name w:val="Placeholder Text"/>
    <w:basedOn w:val="Policepardfaut"/>
    <w:uiPriority w:val="99"/>
    <w:semiHidden/>
    <w:rsid w:val="00587DF7"/>
    <w:rPr>
      <w:color w:val="808080"/>
    </w:rPr>
  </w:style>
  <w:style w:type="character" w:customStyle="1" w:styleId="NotedebasdepageCar">
    <w:name w:val="Note de bas de page Car"/>
    <w:link w:val="Notedebasdepage"/>
    <w:uiPriority w:val="99"/>
    <w:semiHidden/>
    <w:locked/>
    <w:rsid w:val="001F7F9A"/>
    <w:rPr>
      <w:lang w:val="fr-FR" w:eastAsia="fr-FR"/>
    </w:rPr>
  </w:style>
  <w:style w:type="paragraph" w:styleId="Corpsdetexte3">
    <w:name w:val="Body Text 3"/>
    <w:basedOn w:val="Normal"/>
    <w:link w:val="Corpsdetexte3Car"/>
    <w:autoRedefine/>
    <w:uiPriority w:val="99"/>
    <w:unhideWhenUsed/>
    <w:rsid w:val="00ED4B5B"/>
    <w:pPr>
      <w:keepNext/>
      <w:wordWrap w:val="0"/>
      <w:autoSpaceDE w:val="0"/>
      <w:autoSpaceDN w:val="0"/>
      <w:spacing w:after="120" w:line="240" w:lineRule="auto"/>
      <w:ind w:firstLine="431"/>
    </w:pPr>
    <w:rPr>
      <w:rFonts w:eastAsia="Batang"/>
      <w:kern w:val="2"/>
      <w:szCs w:val="18"/>
      <w:lang w:val="en-GB" w:eastAsia="en-US"/>
    </w:rPr>
  </w:style>
  <w:style w:type="character" w:customStyle="1" w:styleId="Corpsdetexte3Car">
    <w:name w:val="Corps de texte 3 Car"/>
    <w:basedOn w:val="Policepardfaut"/>
    <w:link w:val="Corpsdetexte3"/>
    <w:uiPriority w:val="99"/>
    <w:rsid w:val="00ED4B5B"/>
    <w:rPr>
      <w:rFonts w:ascii="Trebuchet MS" w:eastAsia="Batang" w:hAnsi="Trebuchet MS"/>
      <w:kern w:val="2"/>
      <w:sz w:val="18"/>
      <w:szCs w:val="18"/>
      <w:lang w:val="en-GB" w:eastAsia="en-US"/>
    </w:rPr>
  </w:style>
  <w:style w:type="paragraph" w:styleId="Titre">
    <w:name w:val="Title"/>
    <w:basedOn w:val="Normal"/>
    <w:link w:val="TitreCar"/>
    <w:uiPriority w:val="99"/>
    <w:qFormat/>
    <w:rsid w:val="00FB2B01"/>
    <w:pPr>
      <w:widowControl w:val="0"/>
      <w:overflowPunct w:val="0"/>
      <w:autoSpaceDE w:val="0"/>
      <w:autoSpaceDN w:val="0"/>
      <w:adjustRightInd w:val="0"/>
      <w:spacing w:before="240" w:after="60" w:line="240" w:lineRule="auto"/>
      <w:jc w:val="center"/>
      <w:outlineLvl w:val="0"/>
    </w:pPr>
    <w:rPr>
      <w:rFonts w:ascii="Times New Roman" w:hAnsi="Times New Roman" w:cs="Arial"/>
      <w:b/>
      <w:bCs/>
      <w:kern w:val="28"/>
      <w:sz w:val="28"/>
      <w:szCs w:val="32"/>
      <w:lang w:val="en-US" w:eastAsia="en-US"/>
    </w:rPr>
  </w:style>
  <w:style w:type="character" w:customStyle="1" w:styleId="TitreCar">
    <w:name w:val="Titre Car"/>
    <w:basedOn w:val="Policepardfaut"/>
    <w:link w:val="Titre"/>
    <w:uiPriority w:val="99"/>
    <w:rsid w:val="00FB2B01"/>
    <w:rPr>
      <w:rFonts w:cs="Arial"/>
      <w:b/>
      <w:bCs/>
      <w:kern w:val="28"/>
      <w:sz w:val="28"/>
      <w:szCs w:val="32"/>
      <w:lang w:val="en-US" w:eastAsia="en-US"/>
    </w:rPr>
  </w:style>
  <w:style w:type="paragraph" w:styleId="Corpsdetexte">
    <w:name w:val="Body Text"/>
    <w:basedOn w:val="Normal"/>
    <w:link w:val="CorpsdetexteCar"/>
    <w:uiPriority w:val="99"/>
    <w:unhideWhenUsed/>
    <w:rsid w:val="00FB2B01"/>
    <w:pPr>
      <w:overflowPunct w:val="0"/>
      <w:autoSpaceDE w:val="0"/>
      <w:autoSpaceDN w:val="0"/>
      <w:adjustRightInd w:val="0"/>
      <w:spacing w:after="120" w:line="240" w:lineRule="auto"/>
      <w:jc w:val="left"/>
    </w:pPr>
    <w:rPr>
      <w:rFonts w:ascii="Times New Roman" w:hAnsi="Times New Roman"/>
      <w:sz w:val="24"/>
      <w:szCs w:val="20"/>
      <w:lang w:val="en-US" w:eastAsia="en-US"/>
    </w:rPr>
  </w:style>
  <w:style w:type="character" w:customStyle="1" w:styleId="CorpsdetexteCar">
    <w:name w:val="Corps de texte Car"/>
    <w:basedOn w:val="Policepardfaut"/>
    <w:link w:val="Corpsdetexte"/>
    <w:uiPriority w:val="99"/>
    <w:rsid w:val="00FB2B01"/>
    <w:rPr>
      <w:sz w:val="24"/>
      <w:lang w:val="en-US" w:eastAsia="en-US"/>
    </w:rPr>
  </w:style>
  <w:style w:type="paragraph" w:customStyle="1" w:styleId="abstract">
    <w:name w:val="abstract"/>
    <w:basedOn w:val="Corpsdetexte3"/>
    <w:uiPriority w:val="99"/>
    <w:rsid w:val="00FB2B01"/>
    <w:pPr>
      <w:spacing w:line="240" w:lineRule="exact"/>
      <w:ind w:left="720" w:right="720"/>
    </w:pPr>
    <w:rPr>
      <w:sz w:val="20"/>
    </w:rPr>
  </w:style>
  <w:style w:type="character" w:styleId="Lienhypertextesuivivisit">
    <w:name w:val="FollowedHyperlink"/>
    <w:basedOn w:val="Policepardfaut"/>
    <w:rsid w:val="000338CA"/>
    <w:rPr>
      <w:color w:val="800080" w:themeColor="followedHyperlink"/>
      <w:u w:val="single"/>
    </w:rPr>
  </w:style>
  <w:style w:type="character" w:customStyle="1" w:styleId="PieddepageCar">
    <w:name w:val="Pied de page Car"/>
    <w:basedOn w:val="Policepardfaut"/>
    <w:link w:val="Pieddepage"/>
    <w:uiPriority w:val="99"/>
    <w:rsid w:val="003A5817"/>
    <w:rPr>
      <w:rFonts w:ascii="Trebuchet MS" w:hAnsi="Trebuchet MS"/>
      <w:sz w:val="18"/>
      <w:szCs w:val="24"/>
      <w:lang w:val="fr-FR" w:eastAsia="fr-FR"/>
    </w:rPr>
  </w:style>
  <w:style w:type="paragraph" w:styleId="Notedefin">
    <w:name w:val="endnote text"/>
    <w:basedOn w:val="Normal"/>
    <w:link w:val="NotedefinCar"/>
    <w:semiHidden/>
    <w:unhideWhenUsed/>
    <w:rsid w:val="00222401"/>
    <w:pPr>
      <w:spacing w:line="240" w:lineRule="auto"/>
    </w:pPr>
    <w:rPr>
      <w:sz w:val="20"/>
      <w:szCs w:val="20"/>
    </w:rPr>
  </w:style>
  <w:style w:type="character" w:customStyle="1" w:styleId="NotedefinCar">
    <w:name w:val="Note de fin Car"/>
    <w:basedOn w:val="Policepardfaut"/>
    <w:link w:val="Notedefin"/>
    <w:semiHidden/>
    <w:rsid w:val="00222401"/>
    <w:rPr>
      <w:rFonts w:ascii="Trebuchet MS" w:hAnsi="Trebuchet MS"/>
      <w:lang w:val="fr-FR" w:eastAsia="fr-FR"/>
    </w:rPr>
  </w:style>
  <w:style w:type="character" w:styleId="Appeldenotedefin">
    <w:name w:val="endnote reference"/>
    <w:basedOn w:val="Policepardfaut"/>
    <w:semiHidden/>
    <w:unhideWhenUsed/>
    <w:rsid w:val="00222401"/>
    <w:rPr>
      <w:vertAlign w:val="superscript"/>
    </w:rPr>
  </w:style>
  <w:style w:type="character" w:styleId="Accentuation">
    <w:name w:val="Emphasis"/>
    <w:basedOn w:val="Policepardfaut"/>
    <w:uiPriority w:val="20"/>
    <w:qFormat/>
    <w:rsid w:val="002901F1"/>
    <w:rPr>
      <w:i/>
      <w:iCs/>
    </w:rPr>
  </w:style>
  <w:style w:type="paragraph" w:styleId="Textebrut">
    <w:name w:val="Plain Text"/>
    <w:basedOn w:val="Normal"/>
    <w:link w:val="TextebrutCar"/>
    <w:uiPriority w:val="99"/>
    <w:unhideWhenUsed/>
    <w:rsid w:val="00D67F2F"/>
    <w:pPr>
      <w:spacing w:line="240" w:lineRule="auto"/>
      <w:jc w:val="left"/>
    </w:pPr>
    <w:rPr>
      <w:rFonts w:ascii="Calibri" w:eastAsiaTheme="minorHAnsi" w:hAnsi="Calibri" w:cs="Consolas"/>
      <w:sz w:val="22"/>
      <w:szCs w:val="21"/>
      <w:lang w:val="sl-SI" w:eastAsia="en-US"/>
    </w:rPr>
  </w:style>
  <w:style w:type="character" w:customStyle="1" w:styleId="TextebrutCar">
    <w:name w:val="Texte brut Car"/>
    <w:basedOn w:val="Policepardfaut"/>
    <w:link w:val="Textebrut"/>
    <w:uiPriority w:val="99"/>
    <w:rsid w:val="00D67F2F"/>
    <w:rPr>
      <w:rFonts w:ascii="Calibri" w:eastAsiaTheme="minorHAnsi" w:hAnsi="Calibri" w:cs="Consolas"/>
      <w:sz w:val="22"/>
      <w:szCs w:val="21"/>
      <w:lang w:val="sl-SI"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7392">
      <w:bodyDiv w:val="1"/>
      <w:marLeft w:val="0"/>
      <w:marRight w:val="0"/>
      <w:marTop w:val="0"/>
      <w:marBottom w:val="0"/>
      <w:divBdr>
        <w:top w:val="none" w:sz="0" w:space="0" w:color="auto"/>
        <w:left w:val="none" w:sz="0" w:space="0" w:color="auto"/>
        <w:bottom w:val="none" w:sz="0" w:space="0" w:color="auto"/>
        <w:right w:val="none" w:sz="0" w:space="0" w:color="auto"/>
      </w:divBdr>
    </w:div>
    <w:div w:id="124584532">
      <w:bodyDiv w:val="1"/>
      <w:marLeft w:val="0"/>
      <w:marRight w:val="0"/>
      <w:marTop w:val="0"/>
      <w:marBottom w:val="0"/>
      <w:divBdr>
        <w:top w:val="none" w:sz="0" w:space="0" w:color="auto"/>
        <w:left w:val="none" w:sz="0" w:space="0" w:color="auto"/>
        <w:bottom w:val="none" w:sz="0" w:space="0" w:color="auto"/>
        <w:right w:val="none" w:sz="0" w:space="0" w:color="auto"/>
      </w:divBdr>
      <w:divsChild>
        <w:div w:id="1371033556">
          <w:marLeft w:val="0"/>
          <w:marRight w:val="0"/>
          <w:marTop w:val="0"/>
          <w:marBottom w:val="0"/>
          <w:divBdr>
            <w:top w:val="none" w:sz="0" w:space="0" w:color="auto"/>
            <w:left w:val="none" w:sz="0" w:space="0" w:color="auto"/>
            <w:bottom w:val="none" w:sz="0" w:space="0" w:color="auto"/>
            <w:right w:val="none" w:sz="0" w:space="0" w:color="auto"/>
          </w:divBdr>
          <w:divsChild>
            <w:div w:id="102111396">
              <w:marLeft w:val="0"/>
              <w:marRight w:val="0"/>
              <w:marTop w:val="0"/>
              <w:marBottom w:val="0"/>
              <w:divBdr>
                <w:top w:val="none" w:sz="0" w:space="0" w:color="auto"/>
                <w:left w:val="none" w:sz="0" w:space="0" w:color="auto"/>
                <w:bottom w:val="none" w:sz="0" w:space="0" w:color="auto"/>
                <w:right w:val="none" w:sz="0" w:space="0" w:color="auto"/>
              </w:divBdr>
            </w:div>
            <w:div w:id="469783523">
              <w:marLeft w:val="0"/>
              <w:marRight w:val="0"/>
              <w:marTop w:val="0"/>
              <w:marBottom w:val="0"/>
              <w:divBdr>
                <w:top w:val="none" w:sz="0" w:space="0" w:color="auto"/>
                <w:left w:val="none" w:sz="0" w:space="0" w:color="auto"/>
                <w:bottom w:val="none" w:sz="0" w:space="0" w:color="auto"/>
                <w:right w:val="none" w:sz="0" w:space="0" w:color="auto"/>
              </w:divBdr>
            </w:div>
            <w:div w:id="1030380627">
              <w:marLeft w:val="0"/>
              <w:marRight w:val="0"/>
              <w:marTop w:val="0"/>
              <w:marBottom w:val="0"/>
              <w:divBdr>
                <w:top w:val="none" w:sz="0" w:space="0" w:color="auto"/>
                <w:left w:val="none" w:sz="0" w:space="0" w:color="auto"/>
                <w:bottom w:val="none" w:sz="0" w:space="0" w:color="auto"/>
                <w:right w:val="none" w:sz="0" w:space="0" w:color="auto"/>
              </w:divBdr>
            </w:div>
            <w:div w:id="158271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314803">
      <w:bodyDiv w:val="1"/>
      <w:marLeft w:val="0"/>
      <w:marRight w:val="0"/>
      <w:marTop w:val="0"/>
      <w:marBottom w:val="0"/>
      <w:divBdr>
        <w:top w:val="none" w:sz="0" w:space="0" w:color="auto"/>
        <w:left w:val="none" w:sz="0" w:space="0" w:color="auto"/>
        <w:bottom w:val="none" w:sz="0" w:space="0" w:color="auto"/>
        <w:right w:val="none" w:sz="0" w:space="0" w:color="auto"/>
      </w:divBdr>
      <w:divsChild>
        <w:div w:id="1759908562">
          <w:marLeft w:val="0"/>
          <w:marRight w:val="0"/>
          <w:marTop w:val="0"/>
          <w:marBottom w:val="0"/>
          <w:divBdr>
            <w:top w:val="none" w:sz="0" w:space="0" w:color="auto"/>
            <w:left w:val="none" w:sz="0" w:space="0" w:color="auto"/>
            <w:bottom w:val="none" w:sz="0" w:space="0" w:color="auto"/>
            <w:right w:val="none" w:sz="0" w:space="0" w:color="auto"/>
          </w:divBdr>
          <w:divsChild>
            <w:div w:id="147452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630349">
      <w:bodyDiv w:val="1"/>
      <w:marLeft w:val="0"/>
      <w:marRight w:val="0"/>
      <w:marTop w:val="0"/>
      <w:marBottom w:val="0"/>
      <w:divBdr>
        <w:top w:val="none" w:sz="0" w:space="0" w:color="auto"/>
        <w:left w:val="none" w:sz="0" w:space="0" w:color="auto"/>
        <w:bottom w:val="none" w:sz="0" w:space="0" w:color="auto"/>
        <w:right w:val="none" w:sz="0" w:space="0" w:color="auto"/>
      </w:divBdr>
      <w:divsChild>
        <w:div w:id="1739326862">
          <w:marLeft w:val="0"/>
          <w:marRight w:val="0"/>
          <w:marTop w:val="0"/>
          <w:marBottom w:val="0"/>
          <w:divBdr>
            <w:top w:val="none" w:sz="0" w:space="0" w:color="auto"/>
            <w:left w:val="none" w:sz="0" w:space="0" w:color="auto"/>
            <w:bottom w:val="none" w:sz="0" w:space="0" w:color="auto"/>
            <w:right w:val="none" w:sz="0" w:space="0" w:color="auto"/>
          </w:divBdr>
          <w:divsChild>
            <w:div w:id="21371241">
              <w:marLeft w:val="0"/>
              <w:marRight w:val="0"/>
              <w:marTop w:val="0"/>
              <w:marBottom w:val="0"/>
              <w:divBdr>
                <w:top w:val="none" w:sz="0" w:space="0" w:color="auto"/>
                <w:left w:val="none" w:sz="0" w:space="0" w:color="auto"/>
                <w:bottom w:val="none" w:sz="0" w:space="0" w:color="auto"/>
                <w:right w:val="none" w:sz="0" w:space="0" w:color="auto"/>
              </w:divBdr>
            </w:div>
            <w:div w:id="299503710">
              <w:marLeft w:val="0"/>
              <w:marRight w:val="0"/>
              <w:marTop w:val="0"/>
              <w:marBottom w:val="0"/>
              <w:divBdr>
                <w:top w:val="none" w:sz="0" w:space="0" w:color="auto"/>
                <w:left w:val="none" w:sz="0" w:space="0" w:color="auto"/>
                <w:bottom w:val="none" w:sz="0" w:space="0" w:color="auto"/>
                <w:right w:val="none" w:sz="0" w:space="0" w:color="auto"/>
              </w:divBdr>
            </w:div>
            <w:div w:id="1310742547">
              <w:marLeft w:val="0"/>
              <w:marRight w:val="0"/>
              <w:marTop w:val="0"/>
              <w:marBottom w:val="0"/>
              <w:divBdr>
                <w:top w:val="none" w:sz="0" w:space="0" w:color="auto"/>
                <w:left w:val="none" w:sz="0" w:space="0" w:color="auto"/>
                <w:bottom w:val="none" w:sz="0" w:space="0" w:color="auto"/>
                <w:right w:val="none" w:sz="0" w:space="0" w:color="auto"/>
              </w:divBdr>
            </w:div>
            <w:div w:id="1685398874">
              <w:marLeft w:val="0"/>
              <w:marRight w:val="0"/>
              <w:marTop w:val="0"/>
              <w:marBottom w:val="0"/>
              <w:divBdr>
                <w:top w:val="none" w:sz="0" w:space="0" w:color="auto"/>
                <w:left w:val="none" w:sz="0" w:space="0" w:color="auto"/>
                <w:bottom w:val="none" w:sz="0" w:space="0" w:color="auto"/>
                <w:right w:val="none" w:sz="0" w:space="0" w:color="auto"/>
              </w:divBdr>
            </w:div>
            <w:div w:id="1689795184">
              <w:marLeft w:val="0"/>
              <w:marRight w:val="0"/>
              <w:marTop w:val="0"/>
              <w:marBottom w:val="0"/>
              <w:divBdr>
                <w:top w:val="none" w:sz="0" w:space="0" w:color="auto"/>
                <w:left w:val="none" w:sz="0" w:space="0" w:color="auto"/>
                <w:bottom w:val="none" w:sz="0" w:space="0" w:color="auto"/>
                <w:right w:val="none" w:sz="0" w:space="0" w:color="auto"/>
              </w:divBdr>
            </w:div>
            <w:div w:id="193974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759125">
      <w:bodyDiv w:val="1"/>
      <w:marLeft w:val="0"/>
      <w:marRight w:val="0"/>
      <w:marTop w:val="0"/>
      <w:marBottom w:val="0"/>
      <w:divBdr>
        <w:top w:val="none" w:sz="0" w:space="0" w:color="auto"/>
        <w:left w:val="none" w:sz="0" w:space="0" w:color="auto"/>
        <w:bottom w:val="none" w:sz="0" w:space="0" w:color="auto"/>
        <w:right w:val="none" w:sz="0" w:space="0" w:color="auto"/>
      </w:divBdr>
      <w:divsChild>
        <w:div w:id="1698388435">
          <w:marLeft w:val="0"/>
          <w:marRight w:val="0"/>
          <w:marTop w:val="0"/>
          <w:marBottom w:val="0"/>
          <w:divBdr>
            <w:top w:val="none" w:sz="0" w:space="0" w:color="auto"/>
            <w:left w:val="none" w:sz="0" w:space="0" w:color="auto"/>
            <w:bottom w:val="none" w:sz="0" w:space="0" w:color="auto"/>
            <w:right w:val="none" w:sz="0" w:space="0" w:color="auto"/>
          </w:divBdr>
        </w:div>
      </w:divsChild>
    </w:div>
    <w:div w:id="539130242">
      <w:bodyDiv w:val="1"/>
      <w:marLeft w:val="0"/>
      <w:marRight w:val="0"/>
      <w:marTop w:val="0"/>
      <w:marBottom w:val="0"/>
      <w:divBdr>
        <w:top w:val="none" w:sz="0" w:space="0" w:color="auto"/>
        <w:left w:val="none" w:sz="0" w:space="0" w:color="auto"/>
        <w:bottom w:val="none" w:sz="0" w:space="0" w:color="auto"/>
        <w:right w:val="none" w:sz="0" w:space="0" w:color="auto"/>
      </w:divBdr>
      <w:divsChild>
        <w:div w:id="1176075704">
          <w:marLeft w:val="0"/>
          <w:marRight w:val="0"/>
          <w:marTop w:val="0"/>
          <w:marBottom w:val="0"/>
          <w:divBdr>
            <w:top w:val="none" w:sz="0" w:space="0" w:color="auto"/>
            <w:left w:val="none" w:sz="0" w:space="0" w:color="auto"/>
            <w:bottom w:val="none" w:sz="0" w:space="0" w:color="auto"/>
            <w:right w:val="none" w:sz="0" w:space="0" w:color="auto"/>
          </w:divBdr>
          <w:divsChild>
            <w:div w:id="83116035">
              <w:marLeft w:val="0"/>
              <w:marRight w:val="0"/>
              <w:marTop w:val="0"/>
              <w:marBottom w:val="0"/>
              <w:divBdr>
                <w:top w:val="none" w:sz="0" w:space="0" w:color="auto"/>
                <w:left w:val="none" w:sz="0" w:space="0" w:color="auto"/>
                <w:bottom w:val="none" w:sz="0" w:space="0" w:color="auto"/>
                <w:right w:val="none" w:sz="0" w:space="0" w:color="auto"/>
              </w:divBdr>
            </w:div>
            <w:div w:id="621497077">
              <w:marLeft w:val="0"/>
              <w:marRight w:val="0"/>
              <w:marTop w:val="0"/>
              <w:marBottom w:val="0"/>
              <w:divBdr>
                <w:top w:val="none" w:sz="0" w:space="0" w:color="auto"/>
                <w:left w:val="none" w:sz="0" w:space="0" w:color="auto"/>
                <w:bottom w:val="none" w:sz="0" w:space="0" w:color="auto"/>
                <w:right w:val="none" w:sz="0" w:space="0" w:color="auto"/>
              </w:divBdr>
            </w:div>
            <w:div w:id="828448304">
              <w:marLeft w:val="0"/>
              <w:marRight w:val="0"/>
              <w:marTop w:val="0"/>
              <w:marBottom w:val="0"/>
              <w:divBdr>
                <w:top w:val="none" w:sz="0" w:space="0" w:color="auto"/>
                <w:left w:val="none" w:sz="0" w:space="0" w:color="auto"/>
                <w:bottom w:val="none" w:sz="0" w:space="0" w:color="auto"/>
                <w:right w:val="none" w:sz="0" w:space="0" w:color="auto"/>
              </w:divBdr>
            </w:div>
            <w:div w:id="841700460">
              <w:marLeft w:val="0"/>
              <w:marRight w:val="0"/>
              <w:marTop w:val="0"/>
              <w:marBottom w:val="0"/>
              <w:divBdr>
                <w:top w:val="none" w:sz="0" w:space="0" w:color="auto"/>
                <w:left w:val="none" w:sz="0" w:space="0" w:color="auto"/>
                <w:bottom w:val="none" w:sz="0" w:space="0" w:color="auto"/>
                <w:right w:val="none" w:sz="0" w:space="0" w:color="auto"/>
              </w:divBdr>
            </w:div>
            <w:div w:id="866524042">
              <w:marLeft w:val="0"/>
              <w:marRight w:val="0"/>
              <w:marTop w:val="0"/>
              <w:marBottom w:val="0"/>
              <w:divBdr>
                <w:top w:val="none" w:sz="0" w:space="0" w:color="auto"/>
                <w:left w:val="none" w:sz="0" w:space="0" w:color="auto"/>
                <w:bottom w:val="none" w:sz="0" w:space="0" w:color="auto"/>
                <w:right w:val="none" w:sz="0" w:space="0" w:color="auto"/>
              </w:divBdr>
            </w:div>
            <w:div w:id="934485007">
              <w:marLeft w:val="0"/>
              <w:marRight w:val="0"/>
              <w:marTop w:val="0"/>
              <w:marBottom w:val="0"/>
              <w:divBdr>
                <w:top w:val="none" w:sz="0" w:space="0" w:color="auto"/>
                <w:left w:val="none" w:sz="0" w:space="0" w:color="auto"/>
                <w:bottom w:val="none" w:sz="0" w:space="0" w:color="auto"/>
                <w:right w:val="none" w:sz="0" w:space="0" w:color="auto"/>
              </w:divBdr>
            </w:div>
            <w:div w:id="1295058489">
              <w:marLeft w:val="0"/>
              <w:marRight w:val="0"/>
              <w:marTop w:val="0"/>
              <w:marBottom w:val="0"/>
              <w:divBdr>
                <w:top w:val="none" w:sz="0" w:space="0" w:color="auto"/>
                <w:left w:val="none" w:sz="0" w:space="0" w:color="auto"/>
                <w:bottom w:val="none" w:sz="0" w:space="0" w:color="auto"/>
                <w:right w:val="none" w:sz="0" w:space="0" w:color="auto"/>
              </w:divBdr>
            </w:div>
            <w:div w:id="1303121476">
              <w:marLeft w:val="0"/>
              <w:marRight w:val="0"/>
              <w:marTop w:val="0"/>
              <w:marBottom w:val="0"/>
              <w:divBdr>
                <w:top w:val="none" w:sz="0" w:space="0" w:color="auto"/>
                <w:left w:val="none" w:sz="0" w:space="0" w:color="auto"/>
                <w:bottom w:val="none" w:sz="0" w:space="0" w:color="auto"/>
                <w:right w:val="none" w:sz="0" w:space="0" w:color="auto"/>
              </w:divBdr>
            </w:div>
            <w:div w:id="1486315713">
              <w:marLeft w:val="0"/>
              <w:marRight w:val="0"/>
              <w:marTop w:val="0"/>
              <w:marBottom w:val="0"/>
              <w:divBdr>
                <w:top w:val="none" w:sz="0" w:space="0" w:color="auto"/>
                <w:left w:val="none" w:sz="0" w:space="0" w:color="auto"/>
                <w:bottom w:val="none" w:sz="0" w:space="0" w:color="auto"/>
                <w:right w:val="none" w:sz="0" w:space="0" w:color="auto"/>
              </w:divBdr>
            </w:div>
            <w:div w:id="1509714313">
              <w:marLeft w:val="0"/>
              <w:marRight w:val="0"/>
              <w:marTop w:val="0"/>
              <w:marBottom w:val="0"/>
              <w:divBdr>
                <w:top w:val="none" w:sz="0" w:space="0" w:color="auto"/>
                <w:left w:val="none" w:sz="0" w:space="0" w:color="auto"/>
                <w:bottom w:val="none" w:sz="0" w:space="0" w:color="auto"/>
                <w:right w:val="none" w:sz="0" w:space="0" w:color="auto"/>
              </w:divBdr>
            </w:div>
            <w:div w:id="1669744710">
              <w:marLeft w:val="0"/>
              <w:marRight w:val="0"/>
              <w:marTop w:val="0"/>
              <w:marBottom w:val="0"/>
              <w:divBdr>
                <w:top w:val="none" w:sz="0" w:space="0" w:color="auto"/>
                <w:left w:val="none" w:sz="0" w:space="0" w:color="auto"/>
                <w:bottom w:val="none" w:sz="0" w:space="0" w:color="auto"/>
                <w:right w:val="none" w:sz="0" w:space="0" w:color="auto"/>
              </w:divBdr>
            </w:div>
            <w:div w:id="208883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390688">
      <w:bodyDiv w:val="1"/>
      <w:marLeft w:val="0"/>
      <w:marRight w:val="0"/>
      <w:marTop w:val="0"/>
      <w:marBottom w:val="0"/>
      <w:divBdr>
        <w:top w:val="none" w:sz="0" w:space="0" w:color="auto"/>
        <w:left w:val="none" w:sz="0" w:space="0" w:color="auto"/>
        <w:bottom w:val="none" w:sz="0" w:space="0" w:color="auto"/>
        <w:right w:val="none" w:sz="0" w:space="0" w:color="auto"/>
      </w:divBdr>
      <w:divsChild>
        <w:div w:id="81681872">
          <w:marLeft w:val="0"/>
          <w:marRight w:val="0"/>
          <w:marTop w:val="0"/>
          <w:marBottom w:val="0"/>
          <w:divBdr>
            <w:top w:val="none" w:sz="0" w:space="0" w:color="auto"/>
            <w:left w:val="none" w:sz="0" w:space="0" w:color="auto"/>
            <w:bottom w:val="none" w:sz="0" w:space="0" w:color="auto"/>
            <w:right w:val="none" w:sz="0" w:space="0" w:color="auto"/>
          </w:divBdr>
        </w:div>
        <w:div w:id="95104378">
          <w:marLeft w:val="0"/>
          <w:marRight w:val="0"/>
          <w:marTop w:val="0"/>
          <w:marBottom w:val="0"/>
          <w:divBdr>
            <w:top w:val="none" w:sz="0" w:space="0" w:color="auto"/>
            <w:left w:val="none" w:sz="0" w:space="0" w:color="auto"/>
            <w:bottom w:val="none" w:sz="0" w:space="0" w:color="auto"/>
            <w:right w:val="none" w:sz="0" w:space="0" w:color="auto"/>
          </w:divBdr>
        </w:div>
        <w:div w:id="145782143">
          <w:marLeft w:val="0"/>
          <w:marRight w:val="0"/>
          <w:marTop w:val="0"/>
          <w:marBottom w:val="0"/>
          <w:divBdr>
            <w:top w:val="none" w:sz="0" w:space="0" w:color="auto"/>
            <w:left w:val="none" w:sz="0" w:space="0" w:color="auto"/>
            <w:bottom w:val="none" w:sz="0" w:space="0" w:color="auto"/>
            <w:right w:val="none" w:sz="0" w:space="0" w:color="auto"/>
          </w:divBdr>
        </w:div>
        <w:div w:id="334308733">
          <w:marLeft w:val="0"/>
          <w:marRight w:val="0"/>
          <w:marTop w:val="0"/>
          <w:marBottom w:val="0"/>
          <w:divBdr>
            <w:top w:val="none" w:sz="0" w:space="0" w:color="auto"/>
            <w:left w:val="none" w:sz="0" w:space="0" w:color="auto"/>
            <w:bottom w:val="none" w:sz="0" w:space="0" w:color="auto"/>
            <w:right w:val="none" w:sz="0" w:space="0" w:color="auto"/>
          </w:divBdr>
        </w:div>
        <w:div w:id="361982605">
          <w:marLeft w:val="0"/>
          <w:marRight w:val="0"/>
          <w:marTop w:val="0"/>
          <w:marBottom w:val="0"/>
          <w:divBdr>
            <w:top w:val="none" w:sz="0" w:space="0" w:color="auto"/>
            <w:left w:val="none" w:sz="0" w:space="0" w:color="auto"/>
            <w:bottom w:val="none" w:sz="0" w:space="0" w:color="auto"/>
            <w:right w:val="none" w:sz="0" w:space="0" w:color="auto"/>
          </w:divBdr>
        </w:div>
        <w:div w:id="459227155">
          <w:marLeft w:val="0"/>
          <w:marRight w:val="0"/>
          <w:marTop w:val="0"/>
          <w:marBottom w:val="0"/>
          <w:divBdr>
            <w:top w:val="none" w:sz="0" w:space="0" w:color="auto"/>
            <w:left w:val="none" w:sz="0" w:space="0" w:color="auto"/>
            <w:bottom w:val="none" w:sz="0" w:space="0" w:color="auto"/>
            <w:right w:val="none" w:sz="0" w:space="0" w:color="auto"/>
          </w:divBdr>
        </w:div>
        <w:div w:id="767118915">
          <w:marLeft w:val="0"/>
          <w:marRight w:val="0"/>
          <w:marTop w:val="0"/>
          <w:marBottom w:val="0"/>
          <w:divBdr>
            <w:top w:val="none" w:sz="0" w:space="0" w:color="auto"/>
            <w:left w:val="none" w:sz="0" w:space="0" w:color="auto"/>
            <w:bottom w:val="none" w:sz="0" w:space="0" w:color="auto"/>
            <w:right w:val="none" w:sz="0" w:space="0" w:color="auto"/>
          </w:divBdr>
        </w:div>
        <w:div w:id="769737432">
          <w:marLeft w:val="0"/>
          <w:marRight w:val="0"/>
          <w:marTop w:val="0"/>
          <w:marBottom w:val="0"/>
          <w:divBdr>
            <w:top w:val="none" w:sz="0" w:space="0" w:color="auto"/>
            <w:left w:val="none" w:sz="0" w:space="0" w:color="auto"/>
            <w:bottom w:val="none" w:sz="0" w:space="0" w:color="auto"/>
            <w:right w:val="none" w:sz="0" w:space="0" w:color="auto"/>
          </w:divBdr>
        </w:div>
        <w:div w:id="880241803">
          <w:marLeft w:val="0"/>
          <w:marRight w:val="0"/>
          <w:marTop w:val="0"/>
          <w:marBottom w:val="0"/>
          <w:divBdr>
            <w:top w:val="none" w:sz="0" w:space="0" w:color="auto"/>
            <w:left w:val="none" w:sz="0" w:space="0" w:color="auto"/>
            <w:bottom w:val="none" w:sz="0" w:space="0" w:color="auto"/>
            <w:right w:val="none" w:sz="0" w:space="0" w:color="auto"/>
          </w:divBdr>
        </w:div>
        <w:div w:id="978220913">
          <w:marLeft w:val="0"/>
          <w:marRight w:val="0"/>
          <w:marTop w:val="0"/>
          <w:marBottom w:val="0"/>
          <w:divBdr>
            <w:top w:val="none" w:sz="0" w:space="0" w:color="auto"/>
            <w:left w:val="none" w:sz="0" w:space="0" w:color="auto"/>
            <w:bottom w:val="none" w:sz="0" w:space="0" w:color="auto"/>
            <w:right w:val="none" w:sz="0" w:space="0" w:color="auto"/>
          </w:divBdr>
        </w:div>
        <w:div w:id="1020816232">
          <w:marLeft w:val="0"/>
          <w:marRight w:val="0"/>
          <w:marTop w:val="0"/>
          <w:marBottom w:val="0"/>
          <w:divBdr>
            <w:top w:val="none" w:sz="0" w:space="0" w:color="auto"/>
            <w:left w:val="none" w:sz="0" w:space="0" w:color="auto"/>
            <w:bottom w:val="none" w:sz="0" w:space="0" w:color="auto"/>
            <w:right w:val="none" w:sz="0" w:space="0" w:color="auto"/>
          </w:divBdr>
        </w:div>
        <w:div w:id="1029256007">
          <w:marLeft w:val="0"/>
          <w:marRight w:val="0"/>
          <w:marTop w:val="0"/>
          <w:marBottom w:val="0"/>
          <w:divBdr>
            <w:top w:val="none" w:sz="0" w:space="0" w:color="auto"/>
            <w:left w:val="none" w:sz="0" w:space="0" w:color="auto"/>
            <w:bottom w:val="none" w:sz="0" w:space="0" w:color="auto"/>
            <w:right w:val="none" w:sz="0" w:space="0" w:color="auto"/>
          </w:divBdr>
        </w:div>
        <w:div w:id="1117522965">
          <w:marLeft w:val="0"/>
          <w:marRight w:val="0"/>
          <w:marTop w:val="0"/>
          <w:marBottom w:val="0"/>
          <w:divBdr>
            <w:top w:val="none" w:sz="0" w:space="0" w:color="auto"/>
            <w:left w:val="none" w:sz="0" w:space="0" w:color="auto"/>
            <w:bottom w:val="none" w:sz="0" w:space="0" w:color="auto"/>
            <w:right w:val="none" w:sz="0" w:space="0" w:color="auto"/>
          </w:divBdr>
        </w:div>
        <w:div w:id="1193686410">
          <w:marLeft w:val="0"/>
          <w:marRight w:val="0"/>
          <w:marTop w:val="0"/>
          <w:marBottom w:val="0"/>
          <w:divBdr>
            <w:top w:val="none" w:sz="0" w:space="0" w:color="auto"/>
            <w:left w:val="none" w:sz="0" w:space="0" w:color="auto"/>
            <w:bottom w:val="none" w:sz="0" w:space="0" w:color="auto"/>
            <w:right w:val="none" w:sz="0" w:space="0" w:color="auto"/>
          </w:divBdr>
        </w:div>
        <w:div w:id="1235511871">
          <w:marLeft w:val="0"/>
          <w:marRight w:val="0"/>
          <w:marTop w:val="0"/>
          <w:marBottom w:val="0"/>
          <w:divBdr>
            <w:top w:val="none" w:sz="0" w:space="0" w:color="auto"/>
            <w:left w:val="none" w:sz="0" w:space="0" w:color="auto"/>
            <w:bottom w:val="none" w:sz="0" w:space="0" w:color="auto"/>
            <w:right w:val="none" w:sz="0" w:space="0" w:color="auto"/>
          </w:divBdr>
        </w:div>
        <w:div w:id="1514419030">
          <w:marLeft w:val="0"/>
          <w:marRight w:val="0"/>
          <w:marTop w:val="0"/>
          <w:marBottom w:val="0"/>
          <w:divBdr>
            <w:top w:val="none" w:sz="0" w:space="0" w:color="auto"/>
            <w:left w:val="none" w:sz="0" w:space="0" w:color="auto"/>
            <w:bottom w:val="none" w:sz="0" w:space="0" w:color="auto"/>
            <w:right w:val="none" w:sz="0" w:space="0" w:color="auto"/>
          </w:divBdr>
        </w:div>
        <w:div w:id="1790660805">
          <w:marLeft w:val="0"/>
          <w:marRight w:val="0"/>
          <w:marTop w:val="0"/>
          <w:marBottom w:val="0"/>
          <w:divBdr>
            <w:top w:val="none" w:sz="0" w:space="0" w:color="auto"/>
            <w:left w:val="none" w:sz="0" w:space="0" w:color="auto"/>
            <w:bottom w:val="none" w:sz="0" w:space="0" w:color="auto"/>
            <w:right w:val="none" w:sz="0" w:space="0" w:color="auto"/>
          </w:divBdr>
        </w:div>
        <w:div w:id="1958220910">
          <w:marLeft w:val="0"/>
          <w:marRight w:val="0"/>
          <w:marTop w:val="0"/>
          <w:marBottom w:val="0"/>
          <w:divBdr>
            <w:top w:val="none" w:sz="0" w:space="0" w:color="auto"/>
            <w:left w:val="none" w:sz="0" w:space="0" w:color="auto"/>
            <w:bottom w:val="none" w:sz="0" w:space="0" w:color="auto"/>
            <w:right w:val="none" w:sz="0" w:space="0" w:color="auto"/>
          </w:divBdr>
        </w:div>
        <w:div w:id="2081364634">
          <w:marLeft w:val="0"/>
          <w:marRight w:val="0"/>
          <w:marTop w:val="0"/>
          <w:marBottom w:val="0"/>
          <w:divBdr>
            <w:top w:val="none" w:sz="0" w:space="0" w:color="auto"/>
            <w:left w:val="none" w:sz="0" w:space="0" w:color="auto"/>
            <w:bottom w:val="none" w:sz="0" w:space="0" w:color="auto"/>
            <w:right w:val="none" w:sz="0" w:space="0" w:color="auto"/>
          </w:divBdr>
        </w:div>
        <w:div w:id="2125532892">
          <w:marLeft w:val="0"/>
          <w:marRight w:val="0"/>
          <w:marTop w:val="0"/>
          <w:marBottom w:val="0"/>
          <w:divBdr>
            <w:top w:val="none" w:sz="0" w:space="0" w:color="auto"/>
            <w:left w:val="none" w:sz="0" w:space="0" w:color="auto"/>
            <w:bottom w:val="none" w:sz="0" w:space="0" w:color="auto"/>
            <w:right w:val="none" w:sz="0" w:space="0" w:color="auto"/>
          </w:divBdr>
        </w:div>
      </w:divsChild>
    </w:div>
    <w:div w:id="743453066">
      <w:bodyDiv w:val="1"/>
      <w:marLeft w:val="0"/>
      <w:marRight w:val="0"/>
      <w:marTop w:val="0"/>
      <w:marBottom w:val="0"/>
      <w:divBdr>
        <w:top w:val="none" w:sz="0" w:space="0" w:color="auto"/>
        <w:left w:val="none" w:sz="0" w:space="0" w:color="auto"/>
        <w:bottom w:val="none" w:sz="0" w:space="0" w:color="auto"/>
        <w:right w:val="none" w:sz="0" w:space="0" w:color="auto"/>
      </w:divBdr>
    </w:div>
    <w:div w:id="771434637">
      <w:bodyDiv w:val="1"/>
      <w:marLeft w:val="0"/>
      <w:marRight w:val="0"/>
      <w:marTop w:val="0"/>
      <w:marBottom w:val="0"/>
      <w:divBdr>
        <w:top w:val="none" w:sz="0" w:space="0" w:color="auto"/>
        <w:left w:val="none" w:sz="0" w:space="0" w:color="auto"/>
        <w:bottom w:val="none" w:sz="0" w:space="0" w:color="auto"/>
        <w:right w:val="none" w:sz="0" w:space="0" w:color="auto"/>
      </w:divBdr>
    </w:div>
    <w:div w:id="849950741">
      <w:bodyDiv w:val="1"/>
      <w:marLeft w:val="0"/>
      <w:marRight w:val="0"/>
      <w:marTop w:val="0"/>
      <w:marBottom w:val="0"/>
      <w:divBdr>
        <w:top w:val="none" w:sz="0" w:space="0" w:color="auto"/>
        <w:left w:val="none" w:sz="0" w:space="0" w:color="auto"/>
        <w:bottom w:val="none" w:sz="0" w:space="0" w:color="auto"/>
        <w:right w:val="none" w:sz="0" w:space="0" w:color="auto"/>
      </w:divBdr>
      <w:divsChild>
        <w:div w:id="1681928857">
          <w:marLeft w:val="0"/>
          <w:marRight w:val="0"/>
          <w:marTop w:val="0"/>
          <w:marBottom w:val="0"/>
          <w:divBdr>
            <w:top w:val="none" w:sz="0" w:space="0" w:color="auto"/>
            <w:left w:val="none" w:sz="0" w:space="0" w:color="auto"/>
            <w:bottom w:val="none" w:sz="0" w:space="0" w:color="auto"/>
            <w:right w:val="none" w:sz="0" w:space="0" w:color="auto"/>
          </w:divBdr>
          <w:divsChild>
            <w:div w:id="59834603">
              <w:marLeft w:val="0"/>
              <w:marRight w:val="0"/>
              <w:marTop w:val="0"/>
              <w:marBottom w:val="0"/>
              <w:divBdr>
                <w:top w:val="none" w:sz="0" w:space="0" w:color="auto"/>
                <w:left w:val="none" w:sz="0" w:space="0" w:color="auto"/>
                <w:bottom w:val="none" w:sz="0" w:space="0" w:color="auto"/>
                <w:right w:val="none" w:sz="0" w:space="0" w:color="auto"/>
              </w:divBdr>
            </w:div>
            <w:div w:id="455024452">
              <w:marLeft w:val="0"/>
              <w:marRight w:val="0"/>
              <w:marTop w:val="0"/>
              <w:marBottom w:val="0"/>
              <w:divBdr>
                <w:top w:val="none" w:sz="0" w:space="0" w:color="auto"/>
                <w:left w:val="none" w:sz="0" w:space="0" w:color="auto"/>
                <w:bottom w:val="none" w:sz="0" w:space="0" w:color="auto"/>
                <w:right w:val="none" w:sz="0" w:space="0" w:color="auto"/>
              </w:divBdr>
            </w:div>
            <w:div w:id="557663901">
              <w:marLeft w:val="0"/>
              <w:marRight w:val="0"/>
              <w:marTop w:val="0"/>
              <w:marBottom w:val="0"/>
              <w:divBdr>
                <w:top w:val="none" w:sz="0" w:space="0" w:color="auto"/>
                <w:left w:val="none" w:sz="0" w:space="0" w:color="auto"/>
                <w:bottom w:val="none" w:sz="0" w:space="0" w:color="auto"/>
                <w:right w:val="none" w:sz="0" w:space="0" w:color="auto"/>
              </w:divBdr>
            </w:div>
            <w:div w:id="103207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02851">
      <w:bodyDiv w:val="1"/>
      <w:marLeft w:val="0"/>
      <w:marRight w:val="0"/>
      <w:marTop w:val="0"/>
      <w:marBottom w:val="0"/>
      <w:divBdr>
        <w:top w:val="none" w:sz="0" w:space="0" w:color="auto"/>
        <w:left w:val="none" w:sz="0" w:space="0" w:color="auto"/>
        <w:bottom w:val="none" w:sz="0" w:space="0" w:color="auto"/>
        <w:right w:val="none" w:sz="0" w:space="0" w:color="auto"/>
      </w:divBdr>
      <w:divsChild>
        <w:div w:id="1033264132">
          <w:marLeft w:val="0"/>
          <w:marRight w:val="0"/>
          <w:marTop w:val="0"/>
          <w:marBottom w:val="0"/>
          <w:divBdr>
            <w:top w:val="none" w:sz="0" w:space="0" w:color="auto"/>
            <w:left w:val="none" w:sz="0" w:space="0" w:color="auto"/>
            <w:bottom w:val="none" w:sz="0" w:space="0" w:color="auto"/>
            <w:right w:val="none" w:sz="0" w:space="0" w:color="auto"/>
          </w:divBdr>
          <w:divsChild>
            <w:div w:id="444350343">
              <w:marLeft w:val="0"/>
              <w:marRight w:val="0"/>
              <w:marTop w:val="0"/>
              <w:marBottom w:val="0"/>
              <w:divBdr>
                <w:top w:val="none" w:sz="0" w:space="0" w:color="auto"/>
                <w:left w:val="none" w:sz="0" w:space="0" w:color="auto"/>
                <w:bottom w:val="none" w:sz="0" w:space="0" w:color="auto"/>
                <w:right w:val="none" w:sz="0" w:space="0" w:color="auto"/>
              </w:divBdr>
            </w:div>
            <w:div w:id="652872179">
              <w:marLeft w:val="0"/>
              <w:marRight w:val="0"/>
              <w:marTop w:val="0"/>
              <w:marBottom w:val="0"/>
              <w:divBdr>
                <w:top w:val="none" w:sz="0" w:space="0" w:color="auto"/>
                <w:left w:val="none" w:sz="0" w:space="0" w:color="auto"/>
                <w:bottom w:val="none" w:sz="0" w:space="0" w:color="auto"/>
                <w:right w:val="none" w:sz="0" w:space="0" w:color="auto"/>
              </w:divBdr>
            </w:div>
            <w:div w:id="94208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266755">
      <w:bodyDiv w:val="1"/>
      <w:marLeft w:val="0"/>
      <w:marRight w:val="0"/>
      <w:marTop w:val="0"/>
      <w:marBottom w:val="0"/>
      <w:divBdr>
        <w:top w:val="none" w:sz="0" w:space="0" w:color="auto"/>
        <w:left w:val="none" w:sz="0" w:space="0" w:color="auto"/>
        <w:bottom w:val="none" w:sz="0" w:space="0" w:color="auto"/>
        <w:right w:val="none" w:sz="0" w:space="0" w:color="auto"/>
      </w:divBdr>
    </w:div>
    <w:div w:id="875312314">
      <w:bodyDiv w:val="1"/>
      <w:marLeft w:val="0"/>
      <w:marRight w:val="0"/>
      <w:marTop w:val="0"/>
      <w:marBottom w:val="0"/>
      <w:divBdr>
        <w:top w:val="none" w:sz="0" w:space="0" w:color="auto"/>
        <w:left w:val="none" w:sz="0" w:space="0" w:color="auto"/>
        <w:bottom w:val="none" w:sz="0" w:space="0" w:color="auto"/>
        <w:right w:val="none" w:sz="0" w:space="0" w:color="auto"/>
      </w:divBdr>
      <w:divsChild>
        <w:div w:id="125782963">
          <w:marLeft w:val="0"/>
          <w:marRight w:val="0"/>
          <w:marTop w:val="0"/>
          <w:marBottom w:val="0"/>
          <w:divBdr>
            <w:top w:val="none" w:sz="0" w:space="0" w:color="auto"/>
            <w:left w:val="none" w:sz="0" w:space="0" w:color="auto"/>
            <w:bottom w:val="none" w:sz="0" w:space="0" w:color="auto"/>
            <w:right w:val="none" w:sz="0" w:space="0" w:color="auto"/>
          </w:divBdr>
        </w:div>
      </w:divsChild>
    </w:div>
    <w:div w:id="926307831">
      <w:bodyDiv w:val="1"/>
      <w:marLeft w:val="0"/>
      <w:marRight w:val="0"/>
      <w:marTop w:val="0"/>
      <w:marBottom w:val="0"/>
      <w:divBdr>
        <w:top w:val="none" w:sz="0" w:space="0" w:color="auto"/>
        <w:left w:val="none" w:sz="0" w:space="0" w:color="auto"/>
        <w:bottom w:val="none" w:sz="0" w:space="0" w:color="auto"/>
        <w:right w:val="none" w:sz="0" w:space="0" w:color="auto"/>
      </w:divBdr>
    </w:div>
    <w:div w:id="982463830">
      <w:bodyDiv w:val="1"/>
      <w:marLeft w:val="0"/>
      <w:marRight w:val="0"/>
      <w:marTop w:val="0"/>
      <w:marBottom w:val="0"/>
      <w:divBdr>
        <w:top w:val="none" w:sz="0" w:space="0" w:color="auto"/>
        <w:left w:val="none" w:sz="0" w:space="0" w:color="auto"/>
        <w:bottom w:val="none" w:sz="0" w:space="0" w:color="auto"/>
        <w:right w:val="none" w:sz="0" w:space="0" w:color="auto"/>
      </w:divBdr>
    </w:div>
    <w:div w:id="986128073">
      <w:bodyDiv w:val="1"/>
      <w:marLeft w:val="0"/>
      <w:marRight w:val="0"/>
      <w:marTop w:val="0"/>
      <w:marBottom w:val="0"/>
      <w:divBdr>
        <w:top w:val="none" w:sz="0" w:space="0" w:color="auto"/>
        <w:left w:val="none" w:sz="0" w:space="0" w:color="auto"/>
        <w:bottom w:val="none" w:sz="0" w:space="0" w:color="auto"/>
        <w:right w:val="none" w:sz="0" w:space="0" w:color="auto"/>
      </w:divBdr>
      <w:divsChild>
        <w:div w:id="1047070468">
          <w:marLeft w:val="0"/>
          <w:marRight w:val="0"/>
          <w:marTop w:val="0"/>
          <w:marBottom w:val="0"/>
          <w:divBdr>
            <w:top w:val="none" w:sz="0" w:space="0" w:color="auto"/>
            <w:left w:val="none" w:sz="0" w:space="0" w:color="auto"/>
            <w:bottom w:val="none" w:sz="0" w:space="0" w:color="auto"/>
            <w:right w:val="none" w:sz="0" w:space="0" w:color="auto"/>
          </w:divBdr>
          <w:divsChild>
            <w:div w:id="74135333">
              <w:marLeft w:val="0"/>
              <w:marRight w:val="0"/>
              <w:marTop w:val="0"/>
              <w:marBottom w:val="0"/>
              <w:divBdr>
                <w:top w:val="none" w:sz="0" w:space="0" w:color="auto"/>
                <w:left w:val="none" w:sz="0" w:space="0" w:color="auto"/>
                <w:bottom w:val="none" w:sz="0" w:space="0" w:color="auto"/>
                <w:right w:val="none" w:sz="0" w:space="0" w:color="auto"/>
              </w:divBdr>
            </w:div>
            <w:div w:id="338309695">
              <w:marLeft w:val="0"/>
              <w:marRight w:val="0"/>
              <w:marTop w:val="0"/>
              <w:marBottom w:val="0"/>
              <w:divBdr>
                <w:top w:val="none" w:sz="0" w:space="0" w:color="auto"/>
                <w:left w:val="none" w:sz="0" w:space="0" w:color="auto"/>
                <w:bottom w:val="none" w:sz="0" w:space="0" w:color="auto"/>
                <w:right w:val="none" w:sz="0" w:space="0" w:color="auto"/>
              </w:divBdr>
            </w:div>
            <w:div w:id="532696657">
              <w:marLeft w:val="0"/>
              <w:marRight w:val="0"/>
              <w:marTop w:val="0"/>
              <w:marBottom w:val="0"/>
              <w:divBdr>
                <w:top w:val="none" w:sz="0" w:space="0" w:color="auto"/>
                <w:left w:val="none" w:sz="0" w:space="0" w:color="auto"/>
                <w:bottom w:val="none" w:sz="0" w:space="0" w:color="auto"/>
                <w:right w:val="none" w:sz="0" w:space="0" w:color="auto"/>
              </w:divBdr>
            </w:div>
            <w:div w:id="551582079">
              <w:marLeft w:val="0"/>
              <w:marRight w:val="0"/>
              <w:marTop w:val="0"/>
              <w:marBottom w:val="0"/>
              <w:divBdr>
                <w:top w:val="none" w:sz="0" w:space="0" w:color="auto"/>
                <w:left w:val="none" w:sz="0" w:space="0" w:color="auto"/>
                <w:bottom w:val="none" w:sz="0" w:space="0" w:color="auto"/>
                <w:right w:val="none" w:sz="0" w:space="0" w:color="auto"/>
              </w:divBdr>
            </w:div>
            <w:div w:id="553658620">
              <w:marLeft w:val="0"/>
              <w:marRight w:val="0"/>
              <w:marTop w:val="0"/>
              <w:marBottom w:val="0"/>
              <w:divBdr>
                <w:top w:val="none" w:sz="0" w:space="0" w:color="auto"/>
                <w:left w:val="none" w:sz="0" w:space="0" w:color="auto"/>
                <w:bottom w:val="none" w:sz="0" w:space="0" w:color="auto"/>
                <w:right w:val="none" w:sz="0" w:space="0" w:color="auto"/>
              </w:divBdr>
            </w:div>
            <w:div w:id="833035708">
              <w:marLeft w:val="0"/>
              <w:marRight w:val="0"/>
              <w:marTop w:val="0"/>
              <w:marBottom w:val="0"/>
              <w:divBdr>
                <w:top w:val="none" w:sz="0" w:space="0" w:color="auto"/>
                <w:left w:val="none" w:sz="0" w:space="0" w:color="auto"/>
                <w:bottom w:val="none" w:sz="0" w:space="0" w:color="auto"/>
                <w:right w:val="none" w:sz="0" w:space="0" w:color="auto"/>
              </w:divBdr>
            </w:div>
            <w:div w:id="890118375">
              <w:marLeft w:val="0"/>
              <w:marRight w:val="0"/>
              <w:marTop w:val="0"/>
              <w:marBottom w:val="0"/>
              <w:divBdr>
                <w:top w:val="none" w:sz="0" w:space="0" w:color="auto"/>
                <w:left w:val="none" w:sz="0" w:space="0" w:color="auto"/>
                <w:bottom w:val="none" w:sz="0" w:space="0" w:color="auto"/>
                <w:right w:val="none" w:sz="0" w:space="0" w:color="auto"/>
              </w:divBdr>
            </w:div>
            <w:div w:id="917591464">
              <w:marLeft w:val="0"/>
              <w:marRight w:val="0"/>
              <w:marTop w:val="0"/>
              <w:marBottom w:val="0"/>
              <w:divBdr>
                <w:top w:val="none" w:sz="0" w:space="0" w:color="auto"/>
                <w:left w:val="none" w:sz="0" w:space="0" w:color="auto"/>
                <w:bottom w:val="none" w:sz="0" w:space="0" w:color="auto"/>
                <w:right w:val="none" w:sz="0" w:space="0" w:color="auto"/>
              </w:divBdr>
            </w:div>
            <w:div w:id="989599212">
              <w:marLeft w:val="0"/>
              <w:marRight w:val="0"/>
              <w:marTop w:val="0"/>
              <w:marBottom w:val="0"/>
              <w:divBdr>
                <w:top w:val="none" w:sz="0" w:space="0" w:color="auto"/>
                <w:left w:val="none" w:sz="0" w:space="0" w:color="auto"/>
                <w:bottom w:val="none" w:sz="0" w:space="0" w:color="auto"/>
                <w:right w:val="none" w:sz="0" w:space="0" w:color="auto"/>
              </w:divBdr>
            </w:div>
            <w:div w:id="1036199687">
              <w:marLeft w:val="0"/>
              <w:marRight w:val="0"/>
              <w:marTop w:val="0"/>
              <w:marBottom w:val="0"/>
              <w:divBdr>
                <w:top w:val="none" w:sz="0" w:space="0" w:color="auto"/>
                <w:left w:val="none" w:sz="0" w:space="0" w:color="auto"/>
                <w:bottom w:val="none" w:sz="0" w:space="0" w:color="auto"/>
                <w:right w:val="none" w:sz="0" w:space="0" w:color="auto"/>
              </w:divBdr>
            </w:div>
            <w:div w:id="1057818135">
              <w:marLeft w:val="0"/>
              <w:marRight w:val="0"/>
              <w:marTop w:val="0"/>
              <w:marBottom w:val="0"/>
              <w:divBdr>
                <w:top w:val="none" w:sz="0" w:space="0" w:color="auto"/>
                <w:left w:val="none" w:sz="0" w:space="0" w:color="auto"/>
                <w:bottom w:val="none" w:sz="0" w:space="0" w:color="auto"/>
                <w:right w:val="none" w:sz="0" w:space="0" w:color="auto"/>
              </w:divBdr>
            </w:div>
            <w:div w:id="1131249069">
              <w:marLeft w:val="0"/>
              <w:marRight w:val="0"/>
              <w:marTop w:val="0"/>
              <w:marBottom w:val="0"/>
              <w:divBdr>
                <w:top w:val="none" w:sz="0" w:space="0" w:color="auto"/>
                <w:left w:val="none" w:sz="0" w:space="0" w:color="auto"/>
                <w:bottom w:val="none" w:sz="0" w:space="0" w:color="auto"/>
                <w:right w:val="none" w:sz="0" w:space="0" w:color="auto"/>
              </w:divBdr>
            </w:div>
            <w:div w:id="1230775176">
              <w:marLeft w:val="0"/>
              <w:marRight w:val="0"/>
              <w:marTop w:val="0"/>
              <w:marBottom w:val="0"/>
              <w:divBdr>
                <w:top w:val="none" w:sz="0" w:space="0" w:color="auto"/>
                <w:left w:val="none" w:sz="0" w:space="0" w:color="auto"/>
                <w:bottom w:val="none" w:sz="0" w:space="0" w:color="auto"/>
                <w:right w:val="none" w:sz="0" w:space="0" w:color="auto"/>
              </w:divBdr>
            </w:div>
            <w:div w:id="1438136182">
              <w:marLeft w:val="0"/>
              <w:marRight w:val="0"/>
              <w:marTop w:val="0"/>
              <w:marBottom w:val="0"/>
              <w:divBdr>
                <w:top w:val="none" w:sz="0" w:space="0" w:color="auto"/>
                <w:left w:val="none" w:sz="0" w:space="0" w:color="auto"/>
                <w:bottom w:val="none" w:sz="0" w:space="0" w:color="auto"/>
                <w:right w:val="none" w:sz="0" w:space="0" w:color="auto"/>
              </w:divBdr>
            </w:div>
            <w:div w:id="193929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829357">
      <w:bodyDiv w:val="1"/>
      <w:marLeft w:val="0"/>
      <w:marRight w:val="0"/>
      <w:marTop w:val="0"/>
      <w:marBottom w:val="0"/>
      <w:divBdr>
        <w:top w:val="none" w:sz="0" w:space="0" w:color="auto"/>
        <w:left w:val="none" w:sz="0" w:space="0" w:color="auto"/>
        <w:bottom w:val="none" w:sz="0" w:space="0" w:color="auto"/>
        <w:right w:val="none" w:sz="0" w:space="0" w:color="auto"/>
      </w:divBdr>
    </w:div>
    <w:div w:id="1078209881">
      <w:bodyDiv w:val="1"/>
      <w:marLeft w:val="0"/>
      <w:marRight w:val="0"/>
      <w:marTop w:val="0"/>
      <w:marBottom w:val="0"/>
      <w:divBdr>
        <w:top w:val="none" w:sz="0" w:space="0" w:color="auto"/>
        <w:left w:val="none" w:sz="0" w:space="0" w:color="auto"/>
        <w:bottom w:val="none" w:sz="0" w:space="0" w:color="auto"/>
        <w:right w:val="none" w:sz="0" w:space="0" w:color="auto"/>
      </w:divBdr>
    </w:div>
    <w:div w:id="1129781594">
      <w:bodyDiv w:val="1"/>
      <w:marLeft w:val="0"/>
      <w:marRight w:val="0"/>
      <w:marTop w:val="0"/>
      <w:marBottom w:val="0"/>
      <w:divBdr>
        <w:top w:val="none" w:sz="0" w:space="0" w:color="auto"/>
        <w:left w:val="none" w:sz="0" w:space="0" w:color="auto"/>
        <w:bottom w:val="none" w:sz="0" w:space="0" w:color="auto"/>
        <w:right w:val="none" w:sz="0" w:space="0" w:color="auto"/>
      </w:divBdr>
      <w:divsChild>
        <w:div w:id="1321040603">
          <w:marLeft w:val="0"/>
          <w:marRight w:val="0"/>
          <w:marTop w:val="0"/>
          <w:marBottom w:val="0"/>
          <w:divBdr>
            <w:top w:val="none" w:sz="0" w:space="0" w:color="auto"/>
            <w:left w:val="none" w:sz="0" w:space="0" w:color="auto"/>
            <w:bottom w:val="none" w:sz="0" w:space="0" w:color="auto"/>
            <w:right w:val="none" w:sz="0" w:space="0" w:color="auto"/>
          </w:divBdr>
          <w:divsChild>
            <w:div w:id="193662175">
              <w:marLeft w:val="0"/>
              <w:marRight w:val="0"/>
              <w:marTop w:val="0"/>
              <w:marBottom w:val="0"/>
              <w:divBdr>
                <w:top w:val="none" w:sz="0" w:space="0" w:color="auto"/>
                <w:left w:val="none" w:sz="0" w:space="0" w:color="auto"/>
                <w:bottom w:val="none" w:sz="0" w:space="0" w:color="auto"/>
                <w:right w:val="none" w:sz="0" w:space="0" w:color="auto"/>
              </w:divBdr>
            </w:div>
            <w:div w:id="404570171">
              <w:marLeft w:val="0"/>
              <w:marRight w:val="0"/>
              <w:marTop w:val="0"/>
              <w:marBottom w:val="0"/>
              <w:divBdr>
                <w:top w:val="none" w:sz="0" w:space="0" w:color="auto"/>
                <w:left w:val="none" w:sz="0" w:space="0" w:color="auto"/>
                <w:bottom w:val="none" w:sz="0" w:space="0" w:color="auto"/>
                <w:right w:val="none" w:sz="0" w:space="0" w:color="auto"/>
              </w:divBdr>
            </w:div>
            <w:div w:id="656492028">
              <w:marLeft w:val="0"/>
              <w:marRight w:val="0"/>
              <w:marTop w:val="0"/>
              <w:marBottom w:val="0"/>
              <w:divBdr>
                <w:top w:val="none" w:sz="0" w:space="0" w:color="auto"/>
                <w:left w:val="none" w:sz="0" w:space="0" w:color="auto"/>
                <w:bottom w:val="none" w:sz="0" w:space="0" w:color="auto"/>
                <w:right w:val="none" w:sz="0" w:space="0" w:color="auto"/>
              </w:divBdr>
            </w:div>
            <w:div w:id="773669322">
              <w:marLeft w:val="0"/>
              <w:marRight w:val="0"/>
              <w:marTop w:val="0"/>
              <w:marBottom w:val="0"/>
              <w:divBdr>
                <w:top w:val="none" w:sz="0" w:space="0" w:color="auto"/>
                <w:left w:val="none" w:sz="0" w:space="0" w:color="auto"/>
                <w:bottom w:val="none" w:sz="0" w:space="0" w:color="auto"/>
                <w:right w:val="none" w:sz="0" w:space="0" w:color="auto"/>
              </w:divBdr>
            </w:div>
            <w:div w:id="1281032929">
              <w:marLeft w:val="0"/>
              <w:marRight w:val="0"/>
              <w:marTop w:val="0"/>
              <w:marBottom w:val="0"/>
              <w:divBdr>
                <w:top w:val="none" w:sz="0" w:space="0" w:color="auto"/>
                <w:left w:val="none" w:sz="0" w:space="0" w:color="auto"/>
                <w:bottom w:val="none" w:sz="0" w:space="0" w:color="auto"/>
                <w:right w:val="none" w:sz="0" w:space="0" w:color="auto"/>
              </w:divBdr>
            </w:div>
            <w:div w:id="1644576554">
              <w:marLeft w:val="0"/>
              <w:marRight w:val="0"/>
              <w:marTop w:val="0"/>
              <w:marBottom w:val="0"/>
              <w:divBdr>
                <w:top w:val="none" w:sz="0" w:space="0" w:color="auto"/>
                <w:left w:val="none" w:sz="0" w:space="0" w:color="auto"/>
                <w:bottom w:val="none" w:sz="0" w:space="0" w:color="auto"/>
                <w:right w:val="none" w:sz="0" w:space="0" w:color="auto"/>
              </w:divBdr>
            </w:div>
            <w:div w:id="1681660600">
              <w:marLeft w:val="0"/>
              <w:marRight w:val="0"/>
              <w:marTop w:val="0"/>
              <w:marBottom w:val="0"/>
              <w:divBdr>
                <w:top w:val="none" w:sz="0" w:space="0" w:color="auto"/>
                <w:left w:val="none" w:sz="0" w:space="0" w:color="auto"/>
                <w:bottom w:val="none" w:sz="0" w:space="0" w:color="auto"/>
                <w:right w:val="none" w:sz="0" w:space="0" w:color="auto"/>
              </w:divBdr>
            </w:div>
            <w:div w:id="1979988897">
              <w:marLeft w:val="0"/>
              <w:marRight w:val="0"/>
              <w:marTop w:val="0"/>
              <w:marBottom w:val="0"/>
              <w:divBdr>
                <w:top w:val="none" w:sz="0" w:space="0" w:color="auto"/>
                <w:left w:val="none" w:sz="0" w:space="0" w:color="auto"/>
                <w:bottom w:val="none" w:sz="0" w:space="0" w:color="auto"/>
                <w:right w:val="none" w:sz="0" w:space="0" w:color="auto"/>
              </w:divBdr>
            </w:div>
            <w:div w:id="2020310271">
              <w:marLeft w:val="0"/>
              <w:marRight w:val="0"/>
              <w:marTop w:val="0"/>
              <w:marBottom w:val="0"/>
              <w:divBdr>
                <w:top w:val="none" w:sz="0" w:space="0" w:color="auto"/>
                <w:left w:val="none" w:sz="0" w:space="0" w:color="auto"/>
                <w:bottom w:val="none" w:sz="0" w:space="0" w:color="auto"/>
                <w:right w:val="none" w:sz="0" w:space="0" w:color="auto"/>
              </w:divBdr>
            </w:div>
            <w:div w:id="212684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569292">
      <w:bodyDiv w:val="1"/>
      <w:marLeft w:val="0"/>
      <w:marRight w:val="0"/>
      <w:marTop w:val="0"/>
      <w:marBottom w:val="0"/>
      <w:divBdr>
        <w:top w:val="none" w:sz="0" w:space="0" w:color="auto"/>
        <w:left w:val="none" w:sz="0" w:space="0" w:color="auto"/>
        <w:bottom w:val="none" w:sz="0" w:space="0" w:color="auto"/>
        <w:right w:val="none" w:sz="0" w:space="0" w:color="auto"/>
      </w:divBdr>
      <w:divsChild>
        <w:div w:id="73552978">
          <w:marLeft w:val="0"/>
          <w:marRight w:val="0"/>
          <w:marTop w:val="0"/>
          <w:marBottom w:val="0"/>
          <w:divBdr>
            <w:top w:val="none" w:sz="0" w:space="0" w:color="auto"/>
            <w:left w:val="none" w:sz="0" w:space="0" w:color="auto"/>
            <w:bottom w:val="none" w:sz="0" w:space="0" w:color="auto"/>
            <w:right w:val="none" w:sz="0" w:space="0" w:color="auto"/>
          </w:divBdr>
        </w:div>
        <w:div w:id="859394385">
          <w:marLeft w:val="0"/>
          <w:marRight w:val="0"/>
          <w:marTop w:val="0"/>
          <w:marBottom w:val="0"/>
          <w:divBdr>
            <w:top w:val="none" w:sz="0" w:space="0" w:color="auto"/>
            <w:left w:val="none" w:sz="0" w:space="0" w:color="auto"/>
            <w:bottom w:val="none" w:sz="0" w:space="0" w:color="auto"/>
            <w:right w:val="none" w:sz="0" w:space="0" w:color="auto"/>
          </w:divBdr>
        </w:div>
        <w:div w:id="918825299">
          <w:marLeft w:val="0"/>
          <w:marRight w:val="0"/>
          <w:marTop w:val="0"/>
          <w:marBottom w:val="0"/>
          <w:divBdr>
            <w:top w:val="none" w:sz="0" w:space="0" w:color="auto"/>
            <w:left w:val="none" w:sz="0" w:space="0" w:color="auto"/>
            <w:bottom w:val="none" w:sz="0" w:space="0" w:color="auto"/>
            <w:right w:val="none" w:sz="0" w:space="0" w:color="auto"/>
          </w:divBdr>
        </w:div>
        <w:div w:id="934897089">
          <w:marLeft w:val="0"/>
          <w:marRight w:val="0"/>
          <w:marTop w:val="0"/>
          <w:marBottom w:val="0"/>
          <w:divBdr>
            <w:top w:val="none" w:sz="0" w:space="0" w:color="auto"/>
            <w:left w:val="none" w:sz="0" w:space="0" w:color="auto"/>
            <w:bottom w:val="none" w:sz="0" w:space="0" w:color="auto"/>
            <w:right w:val="none" w:sz="0" w:space="0" w:color="auto"/>
          </w:divBdr>
        </w:div>
        <w:div w:id="1003557718">
          <w:marLeft w:val="0"/>
          <w:marRight w:val="0"/>
          <w:marTop w:val="0"/>
          <w:marBottom w:val="0"/>
          <w:divBdr>
            <w:top w:val="none" w:sz="0" w:space="0" w:color="auto"/>
            <w:left w:val="none" w:sz="0" w:space="0" w:color="auto"/>
            <w:bottom w:val="none" w:sz="0" w:space="0" w:color="auto"/>
            <w:right w:val="none" w:sz="0" w:space="0" w:color="auto"/>
          </w:divBdr>
        </w:div>
        <w:div w:id="1112751180">
          <w:marLeft w:val="0"/>
          <w:marRight w:val="0"/>
          <w:marTop w:val="0"/>
          <w:marBottom w:val="0"/>
          <w:divBdr>
            <w:top w:val="none" w:sz="0" w:space="0" w:color="auto"/>
            <w:left w:val="none" w:sz="0" w:space="0" w:color="auto"/>
            <w:bottom w:val="none" w:sz="0" w:space="0" w:color="auto"/>
            <w:right w:val="none" w:sz="0" w:space="0" w:color="auto"/>
          </w:divBdr>
        </w:div>
        <w:div w:id="1116870407">
          <w:marLeft w:val="0"/>
          <w:marRight w:val="0"/>
          <w:marTop w:val="0"/>
          <w:marBottom w:val="0"/>
          <w:divBdr>
            <w:top w:val="none" w:sz="0" w:space="0" w:color="auto"/>
            <w:left w:val="none" w:sz="0" w:space="0" w:color="auto"/>
            <w:bottom w:val="none" w:sz="0" w:space="0" w:color="auto"/>
            <w:right w:val="none" w:sz="0" w:space="0" w:color="auto"/>
          </w:divBdr>
        </w:div>
        <w:div w:id="1669482315">
          <w:marLeft w:val="0"/>
          <w:marRight w:val="0"/>
          <w:marTop w:val="0"/>
          <w:marBottom w:val="0"/>
          <w:divBdr>
            <w:top w:val="none" w:sz="0" w:space="0" w:color="auto"/>
            <w:left w:val="none" w:sz="0" w:space="0" w:color="auto"/>
            <w:bottom w:val="none" w:sz="0" w:space="0" w:color="auto"/>
            <w:right w:val="none" w:sz="0" w:space="0" w:color="auto"/>
          </w:divBdr>
        </w:div>
        <w:div w:id="1683045502">
          <w:marLeft w:val="0"/>
          <w:marRight w:val="0"/>
          <w:marTop w:val="0"/>
          <w:marBottom w:val="0"/>
          <w:divBdr>
            <w:top w:val="none" w:sz="0" w:space="0" w:color="auto"/>
            <w:left w:val="none" w:sz="0" w:space="0" w:color="auto"/>
            <w:bottom w:val="none" w:sz="0" w:space="0" w:color="auto"/>
            <w:right w:val="none" w:sz="0" w:space="0" w:color="auto"/>
          </w:divBdr>
        </w:div>
        <w:div w:id="1778792847">
          <w:marLeft w:val="0"/>
          <w:marRight w:val="0"/>
          <w:marTop w:val="0"/>
          <w:marBottom w:val="0"/>
          <w:divBdr>
            <w:top w:val="none" w:sz="0" w:space="0" w:color="auto"/>
            <w:left w:val="none" w:sz="0" w:space="0" w:color="auto"/>
            <w:bottom w:val="none" w:sz="0" w:space="0" w:color="auto"/>
            <w:right w:val="none" w:sz="0" w:space="0" w:color="auto"/>
          </w:divBdr>
        </w:div>
      </w:divsChild>
    </w:div>
    <w:div w:id="1178886690">
      <w:bodyDiv w:val="1"/>
      <w:marLeft w:val="0"/>
      <w:marRight w:val="0"/>
      <w:marTop w:val="0"/>
      <w:marBottom w:val="0"/>
      <w:divBdr>
        <w:top w:val="none" w:sz="0" w:space="0" w:color="auto"/>
        <w:left w:val="none" w:sz="0" w:space="0" w:color="auto"/>
        <w:bottom w:val="none" w:sz="0" w:space="0" w:color="auto"/>
        <w:right w:val="none" w:sz="0" w:space="0" w:color="auto"/>
      </w:divBdr>
    </w:div>
    <w:div w:id="1193230499">
      <w:bodyDiv w:val="1"/>
      <w:marLeft w:val="0"/>
      <w:marRight w:val="0"/>
      <w:marTop w:val="0"/>
      <w:marBottom w:val="0"/>
      <w:divBdr>
        <w:top w:val="none" w:sz="0" w:space="0" w:color="auto"/>
        <w:left w:val="none" w:sz="0" w:space="0" w:color="auto"/>
        <w:bottom w:val="none" w:sz="0" w:space="0" w:color="auto"/>
        <w:right w:val="none" w:sz="0" w:space="0" w:color="auto"/>
      </w:divBdr>
    </w:div>
    <w:div w:id="1197809603">
      <w:bodyDiv w:val="1"/>
      <w:marLeft w:val="0"/>
      <w:marRight w:val="0"/>
      <w:marTop w:val="0"/>
      <w:marBottom w:val="0"/>
      <w:divBdr>
        <w:top w:val="none" w:sz="0" w:space="0" w:color="auto"/>
        <w:left w:val="none" w:sz="0" w:space="0" w:color="auto"/>
        <w:bottom w:val="none" w:sz="0" w:space="0" w:color="auto"/>
        <w:right w:val="none" w:sz="0" w:space="0" w:color="auto"/>
      </w:divBdr>
      <w:divsChild>
        <w:div w:id="1028986997">
          <w:marLeft w:val="0"/>
          <w:marRight w:val="0"/>
          <w:marTop w:val="0"/>
          <w:marBottom w:val="0"/>
          <w:divBdr>
            <w:top w:val="none" w:sz="0" w:space="0" w:color="auto"/>
            <w:left w:val="none" w:sz="0" w:space="0" w:color="auto"/>
            <w:bottom w:val="none" w:sz="0" w:space="0" w:color="auto"/>
            <w:right w:val="none" w:sz="0" w:space="0" w:color="auto"/>
          </w:divBdr>
          <w:divsChild>
            <w:div w:id="70124687">
              <w:marLeft w:val="0"/>
              <w:marRight w:val="0"/>
              <w:marTop w:val="0"/>
              <w:marBottom w:val="0"/>
              <w:divBdr>
                <w:top w:val="none" w:sz="0" w:space="0" w:color="auto"/>
                <w:left w:val="none" w:sz="0" w:space="0" w:color="auto"/>
                <w:bottom w:val="none" w:sz="0" w:space="0" w:color="auto"/>
                <w:right w:val="none" w:sz="0" w:space="0" w:color="auto"/>
              </w:divBdr>
            </w:div>
            <w:div w:id="805706453">
              <w:marLeft w:val="0"/>
              <w:marRight w:val="0"/>
              <w:marTop w:val="0"/>
              <w:marBottom w:val="0"/>
              <w:divBdr>
                <w:top w:val="none" w:sz="0" w:space="0" w:color="auto"/>
                <w:left w:val="none" w:sz="0" w:space="0" w:color="auto"/>
                <w:bottom w:val="none" w:sz="0" w:space="0" w:color="auto"/>
                <w:right w:val="none" w:sz="0" w:space="0" w:color="auto"/>
              </w:divBdr>
            </w:div>
            <w:div w:id="1000426152">
              <w:marLeft w:val="0"/>
              <w:marRight w:val="0"/>
              <w:marTop w:val="0"/>
              <w:marBottom w:val="0"/>
              <w:divBdr>
                <w:top w:val="none" w:sz="0" w:space="0" w:color="auto"/>
                <w:left w:val="none" w:sz="0" w:space="0" w:color="auto"/>
                <w:bottom w:val="none" w:sz="0" w:space="0" w:color="auto"/>
                <w:right w:val="none" w:sz="0" w:space="0" w:color="auto"/>
              </w:divBdr>
            </w:div>
            <w:div w:id="1854145354">
              <w:marLeft w:val="0"/>
              <w:marRight w:val="0"/>
              <w:marTop w:val="0"/>
              <w:marBottom w:val="0"/>
              <w:divBdr>
                <w:top w:val="none" w:sz="0" w:space="0" w:color="auto"/>
                <w:left w:val="none" w:sz="0" w:space="0" w:color="auto"/>
                <w:bottom w:val="none" w:sz="0" w:space="0" w:color="auto"/>
                <w:right w:val="none" w:sz="0" w:space="0" w:color="auto"/>
              </w:divBdr>
            </w:div>
            <w:div w:id="204964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47929">
      <w:bodyDiv w:val="1"/>
      <w:marLeft w:val="0"/>
      <w:marRight w:val="0"/>
      <w:marTop w:val="0"/>
      <w:marBottom w:val="0"/>
      <w:divBdr>
        <w:top w:val="none" w:sz="0" w:space="0" w:color="auto"/>
        <w:left w:val="none" w:sz="0" w:space="0" w:color="auto"/>
        <w:bottom w:val="none" w:sz="0" w:space="0" w:color="auto"/>
        <w:right w:val="none" w:sz="0" w:space="0" w:color="auto"/>
      </w:divBdr>
    </w:div>
    <w:div w:id="1304577150">
      <w:bodyDiv w:val="1"/>
      <w:marLeft w:val="0"/>
      <w:marRight w:val="0"/>
      <w:marTop w:val="0"/>
      <w:marBottom w:val="0"/>
      <w:divBdr>
        <w:top w:val="none" w:sz="0" w:space="0" w:color="auto"/>
        <w:left w:val="none" w:sz="0" w:space="0" w:color="auto"/>
        <w:bottom w:val="none" w:sz="0" w:space="0" w:color="auto"/>
        <w:right w:val="none" w:sz="0" w:space="0" w:color="auto"/>
      </w:divBdr>
    </w:div>
    <w:div w:id="1367095526">
      <w:bodyDiv w:val="1"/>
      <w:marLeft w:val="0"/>
      <w:marRight w:val="0"/>
      <w:marTop w:val="0"/>
      <w:marBottom w:val="0"/>
      <w:divBdr>
        <w:top w:val="none" w:sz="0" w:space="0" w:color="auto"/>
        <w:left w:val="none" w:sz="0" w:space="0" w:color="auto"/>
        <w:bottom w:val="none" w:sz="0" w:space="0" w:color="auto"/>
        <w:right w:val="none" w:sz="0" w:space="0" w:color="auto"/>
      </w:divBdr>
      <w:divsChild>
        <w:div w:id="1467039787">
          <w:marLeft w:val="0"/>
          <w:marRight w:val="0"/>
          <w:marTop w:val="0"/>
          <w:marBottom w:val="0"/>
          <w:divBdr>
            <w:top w:val="none" w:sz="0" w:space="0" w:color="auto"/>
            <w:left w:val="none" w:sz="0" w:space="0" w:color="auto"/>
            <w:bottom w:val="none" w:sz="0" w:space="0" w:color="auto"/>
            <w:right w:val="none" w:sz="0" w:space="0" w:color="auto"/>
          </w:divBdr>
          <w:divsChild>
            <w:div w:id="165485002">
              <w:marLeft w:val="0"/>
              <w:marRight w:val="0"/>
              <w:marTop w:val="0"/>
              <w:marBottom w:val="0"/>
              <w:divBdr>
                <w:top w:val="none" w:sz="0" w:space="0" w:color="auto"/>
                <w:left w:val="none" w:sz="0" w:space="0" w:color="auto"/>
                <w:bottom w:val="none" w:sz="0" w:space="0" w:color="auto"/>
                <w:right w:val="none" w:sz="0" w:space="0" w:color="auto"/>
              </w:divBdr>
            </w:div>
            <w:div w:id="328405510">
              <w:marLeft w:val="0"/>
              <w:marRight w:val="0"/>
              <w:marTop w:val="0"/>
              <w:marBottom w:val="0"/>
              <w:divBdr>
                <w:top w:val="none" w:sz="0" w:space="0" w:color="auto"/>
                <w:left w:val="none" w:sz="0" w:space="0" w:color="auto"/>
                <w:bottom w:val="none" w:sz="0" w:space="0" w:color="auto"/>
                <w:right w:val="none" w:sz="0" w:space="0" w:color="auto"/>
              </w:divBdr>
            </w:div>
            <w:div w:id="434331671">
              <w:marLeft w:val="0"/>
              <w:marRight w:val="0"/>
              <w:marTop w:val="0"/>
              <w:marBottom w:val="0"/>
              <w:divBdr>
                <w:top w:val="none" w:sz="0" w:space="0" w:color="auto"/>
                <w:left w:val="none" w:sz="0" w:space="0" w:color="auto"/>
                <w:bottom w:val="none" w:sz="0" w:space="0" w:color="auto"/>
                <w:right w:val="none" w:sz="0" w:space="0" w:color="auto"/>
              </w:divBdr>
            </w:div>
            <w:div w:id="676925847">
              <w:marLeft w:val="0"/>
              <w:marRight w:val="0"/>
              <w:marTop w:val="0"/>
              <w:marBottom w:val="0"/>
              <w:divBdr>
                <w:top w:val="none" w:sz="0" w:space="0" w:color="auto"/>
                <w:left w:val="none" w:sz="0" w:space="0" w:color="auto"/>
                <w:bottom w:val="none" w:sz="0" w:space="0" w:color="auto"/>
                <w:right w:val="none" w:sz="0" w:space="0" w:color="auto"/>
              </w:divBdr>
            </w:div>
            <w:div w:id="1229800163">
              <w:marLeft w:val="0"/>
              <w:marRight w:val="0"/>
              <w:marTop w:val="0"/>
              <w:marBottom w:val="0"/>
              <w:divBdr>
                <w:top w:val="none" w:sz="0" w:space="0" w:color="auto"/>
                <w:left w:val="none" w:sz="0" w:space="0" w:color="auto"/>
                <w:bottom w:val="none" w:sz="0" w:space="0" w:color="auto"/>
                <w:right w:val="none" w:sz="0" w:space="0" w:color="auto"/>
              </w:divBdr>
            </w:div>
            <w:div w:id="1558278174">
              <w:marLeft w:val="0"/>
              <w:marRight w:val="0"/>
              <w:marTop w:val="0"/>
              <w:marBottom w:val="0"/>
              <w:divBdr>
                <w:top w:val="none" w:sz="0" w:space="0" w:color="auto"/>
                <w:left w:val="none" w:sz="0" w:space="0" w:color="auto"/>
                <w:bottom w:val="none" w:sz="0" w:space="0" w:color="auto"/>
                <w:right w:val="none" w:sz="0" w:space="0" w:color="auto"/>
              </w:divBdr>
            </w:div>
            <w:div w:id="1574706285">
              <w:marLeft w:val="0"/>
              <w:marRight w:val="0"/>
              <w:marTop w:val="0"/>
              <w:marBottom w:val="0"/>
              <w:divBdr>
                <w:top w:val="none" w:sz="0" w:space="0" w:color="auto"/>
                <w:left w:val="none" w:sz="0" w:space="0" w:color="auto"/>
                <w:bottom w:val="none" w:sz="0" w:space="0" w:color="auto"/>
                <w:right w:val="none" w:sz="0" w:space="0" w:color="auto"/>
              </w:divBdr>
            </w:div>
            <w:div w:id="1633049544">
              <w:marLeft w:val="0"/>
              <w:marRight w:val="0"/>
              <w:marTop w:val="0"/>
              <w:marBottom w:val="0"/>
              <w:divBdr>
                <w:top w:val="none" w:sz="0" w:space="0" w:color="auto"/>
                <w:left w:val="none" w:sz="0" w:space="0" w:color="auto"/>
                <w:bottom w:val="none" w:sz="0" w:space="0" w:color="auto"/>
                <w:right w:val="none" w:sz="0" w:space="0" w:color="auto"/>
              </w:divBdr>
            </w:div>
            <w:div w:id="1711807952">
              <w:marLeft w:val="0"/>
              <w:marRight w:val="0"/>
              <w:marTop w:val="0"/>
              <w:marBottom w:val="0"/>
              <w:divBdr>
                <w:top w:val="none" w:sz="0" w:space="0" w:color="auto"/>
                <w:left w:val="none" w:sz="0" w:space="0" w:color="auto"/>
                <w:bottom w:val="none" w:sz="0" w:space="0" w:color="auto"/>
                <w:right w:val="none" w:sz="0" w:space="0" w:color="auto"/>
              </w:divBdr>
            </w:div>
            <w:div w:id="193509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013346">
      <w:bodyDiv w:val="1"/>
      <w:marLeft w:val="0"/>
      <w:marRight w:val="0"/>
      <w:marTop w:val="0"/>
      <w:marBottom w:val="0"/>
      <w:divBdr>
        <w:top w:val="none" w:sz="0" w:space="0" w:color="auto"/>
        <w:left w:val="none" w:sz="0" w:space="0" w:color="auto"/>
        <w:bottom w:val="none" w:sz="0" w:space="0" w:color="auto"/>
        <w:right w:val="none" w:sz="0" w:space="0" w:color="auto"/>
      </w:divBdr>
      <w:divsChild>
        <w:div w:id="471749403">
          <w:marLeft w:val="0"/>
          <w:marRight w:val="0"/>
          <w:marTop w:val="0"/>
          <w:marBottom w:val="0"/>
          <w:divBdr>
            <w:top w:val="none" w:sz="0" w:space="0" w:color="auto"/>
            <w:left w:val="none" w:sz="0" w:space="0" w:color="auto"/>
            <w:bottom w:val="none" w:sz="0" w:space="0" w:color="auto"/>
            <w:right w:val="none" w:sz="0" w:space="0" w:color="auto"/>
          </w:divBdr>
          <w:divsChild>
            <w:div w:id="122128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054825">
      <w:bodyDiv w:val="1"/>
      <w:marLeft w:val="0"/>
      <w:marRight w:val="0"/>
      <w:marTop w:val="0"/>
      <w:marBottom w:val="0"/>
      <w:divBdr>
        <w:top w:val="none" w:sz="0" w:space="0" w:color="auto"/>
        <w:left w:val="none" w:sz="0" w:space="0" w:color="auto"/>
        <w:bottom w:val="none" w:sz="0" w:space="0" w:color="auto"/>
        <w:right w:val="none" w:sz="0" w:space="0" w:color="auto"/>
      </w:divBdr>
    </w:div>
    <w:div w:id="1486239689">
      <w:bodyDiv w:val="1"/>
      <w:marLeft w:val="0"/>
      <w:marRight w:val="0"/>
      <w:marTop w:val="0"/>
      <w:marBottom w:val="0"/>
      <w:divBdr>
        <w:top w:val="none" w:sz="0" w:space="0" w:color="auto"/>
        <w:left w:val="none" w:sz="0" w:space="0" w:color="auto"/>
        <w:bottom w:val="none" w:sz="0" w:space="0" w:color="auto"/>
        <w:right w:val="none" w:sz="0" w:space="0" w:color="auto"/>
      </w:divBdr>
    </w:div>
    <w:div w:id="1586306170">
      <w:bodyDiv w:val="1"/>
      <w:marLeft w:val="0"/>
      <w:marRight w:val="0"/>
      <w:marTop w:val="0"/>
      <w:marBottom w:val="0"/>
      <w:divBdr>
        <w:top w:val="none" w:sz="0" w:space="0" w:color="auto"/>
        <w:left w:val="none" w:sz="0" w:space="0" w:color="auto"/>
        <w:bottom w:val="none" w:sz="0" w:space="0" w:color="auto"/>
        <w:right w:val="none" w:sz="0" w:space="0" w:color="auto"/>
      </w:divBdr>
      <w:divsChild>
        <w:div w:id="504592491">
          <w:marLeft w:val="0"/>
          <w:marRight w:val="0"/>
          <w:marTop w:val="0"/>
          <w:marBottom w:val="0"/>
          <w:divBdr>
            <w:top w:val="none" w:sz="0" w:space="0" w:color="auto"/>
            <w:left w:val="none" w:sz="0" w:space="0" w:color="auto"/>
            <w:bottom w:val="none" w:sz="0" w:space="0" w:color="auto"/>
            <w:right w:val="none" w:sz="0" w:space="0" w:color="auto"/>
          </w:divBdr>
          <w:divsChild>
            <w:div w:id="144517855">
              <w:marLeft w:val="0"/>
              <w:marRight w:val="0"/>
              <w:marTop w:val="0"/>
              <w:marBottom w:val="0"/>
              <w:divBdr>
                <w:top w:val="none" w:sz="0" w:space="0" w:color="auto"/>
                <w:left w:val="none" w:sz="0" w:space="0" w:color="auto"/>
                <w:bottom w:val="none" w:sz="0" w:space="0" w:color="auto"/>
                <w:right w:val="none" w:sz="0" w:space="0" w:color="auto"/>
              </w:divBdr>
            </w:div>
            <w:div w:id="334378514">
              <w:marLeft w:val="0"/>
              <w:marRight w:val="0"/>
              <w:marTop w:val="0"/>
              <w:marBottom w:val="0"/>
              <w:divBdr>
                <w:top w:val="none" w:sz="0" w:space="0" w:color="auto"/>
                <w:left w:val="none" w:sz="0" w:space="0" w:color="auto"/>
                <w:bottom w:val="none" w:sz="0" w:space="0" w:color="auto"/>
                <w:right w:val="none" w:sz="0" w:space="0" w:color="auto"/>
              </w:divBdr>
            </w:div>
            <w:div w:id="852572841">
              <w:marLeft w:val="0"/>
              <w:marRight w:val="0"/>
              <w:marTop w:val="0"/>
              <w:marBottom w:val="0"/>
              <w:divBdr>
                <w:top w:val="none" w:sz="0" w:space="0" w:color="auto"/>
                <w:left w:val="none" w:sz="0" w:space="0" w:color="auto"/>
                <w:bottom w:val="none" w:sz="0" w:space="0" w:color="auto"/>
                <w:right w:val="none" w:sz="0" w:space="0" w:color="auto"/>
              </w:divBdr>
            </w:div>
            <w:div w:id="917905150">
              <w:marLeft w:val="0"/>
              <w:marRight w:val="0"/>
              <w:marTop w:val="0"/>
              <w:marBottom w:val="0"/>
              <w:divBdr>
                <w:top w:val="none" w:sz="0" w:space="0" w:color="auto"/>
                <w:left w:val="none" w:sz="0" w:space="0" w:color="auto"/>
                <w:bottom w:val="none" w:sz="0" w:space="0" w:color="auto"/>
                <w:right w:val="none" w:sz="0" w:space="0" w:color="auto"/>
              </w:divBdr>
            </w:div>
            <w:div w:id="1688484071">
              <w:marLeft w:val="0"/>
              <w:marRight w:val="0"/>
              <w:marTop w:val="0"/>
              <w:marBottom w:val="0"/>
              <w:divBdr>
                <w:top w:val="none" w:sz="0" w:space="0" w:color="auto"/>
                <w:left w:val="none" w:sz="0" w:space="0" w:color="auto"/>
                <w:bottom w:val="none" w:sz="0" w:space="0" w:color="auto"/>
                <w:right w:val="none" w:sz="0" w:space="0" w:color="auto"/>
              </w:divBdr>
            </w:div>
            <w:div w:id="1817379663">
              <w:marLeft w:val="0"/>
              <w:marRight w:val="0"/>
              <w:marTop w:val="0"/>
              <w:marBottom w:val="0"/>
              <w:divBdr>
                <w:top w:val="none" w:sz="0" w:space="0" w:color="auto"/>
                <w:left w:val="none" w:sz="0" w:space="0" w:color="auto"/>
                <w:bottom w:val="none" w:sz="0" w:space="0" w:color="auto"/>
                <w:right w:val="none" w:sz="0" w:space="0" w:color="auto"/>
              </w:divBdr>
            </w:div>
            <w:div w:id="209396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222385">
      <w:bodyDiv w:val="1"/>
      <w:marLeft w:val="0"/>
      <w:marRight w:val="0"/>
      <w:marTop w:val="0"/>
      <w:marBottom w:val="0"/>
      <w:divBdr>
        <w:top w:val="none" w:sz="0" w:space="0" w:color="auto"/>
        <w:left w:val="none" w:sz="0" w:space="0" w:color="auto"/>
        <w:bottom w:val="none" w:sz="0" w:space="0" w:color="auto"/>
        <w:right w:val="none" w:sz="0" w:space="0" w:color="auto"/>
      </w:divBdr>
    </w:div>
    <w:div w:id="1617637060">
      <w:bodyDiv w:val="1"/>
      <w:marLeft w:val="0"/>
      <w:marRight w:val="0"/>
      <w:marTop w:val="0"/>
      <w:marBottom w:val="0"/>
      <w:divBdr>
        <w:top w:val="none" w:sz="0" w:space="0" w:color="auto"/>
        <w:left w:val="none" w:sz="0" w:space="0" w:color="auto"/>
        <w:bottom w:val="none" w:sz="0" w:space="0" w:color="auto"/>
        <w:right w:val="none" w:sz="0" w:space="0" w:color="auto"/>
      </w:divBdr>
      <w:divsChild>
        <w:div w:id="1739938871">
          <w:marLeft w:val="0"/>
          <w:marRight w:val="0"/>
          <w:marTop w:val="0"/>
          <w:marBottom w:val="0"/>
          <w:divBdr>
            <w:top w:val="none" w:sz="0" w:space="0" w:color="auto"/>
            <w:left w:val="none" w:sz="0" w:space="0" w:color="auto"/>
            <w:bottom w:val="none" w:sz="0" w:space="0" w:color="auto"/>
            <w:right w:val="none" w:sz="0" w:space="0" w:color="auto"/>
          </w:divBdr>
          <w:divsChild>
            <w:div w:id="454104597">
              <w:marLeft w:val="0"/>
              <w:marRight w:val="0"/>
              <w:marTop w:val="0"/>
              <w:marBottom w:val="0"/>
              <w:divBdr>
                <w:top w:val="none" w:sz="0" w:space="0" w:color="auto"/>
                <w:left w:val="none" w:sz="0" w:space="0" w:color="auto"/>
                <w:bottom w:val="none" w:sz="0" w:space="0" w:color="auto"/>
                <w:right w:val="none" w:sz="0" w:space="0" w:color="auto"/>
              </w:divBdr>
            </w:div>
            <w:div w:id="577639117">
              <w:marLeft w:val="0"/>
              <w:marRight w:val="0"/>
              <w:marTop w:val="0"/>
              <w:marBottom w:val="0"/>
              <w:divBdr>
                <w:top w:val="none" w:sz="0" w:space="0" w:color="auto"/>
                <w:left w:val="none" w:sz="0" w:space="0" w:color="auto"/>
                <w:bottom w:val="none" w:sz="0" w:space="0" w:color="auto"/>
                <w:right w:val="none" w:sz="0" w:space="0" w:color="auto"/>
              </w:divBdr>
            </w:div>
            <w:div w:id="692459695">
              <w:marLeft w:val="0"/>
              <w:marRight w:val="0"/>
              <w:marTop w:val="0"/>
              <w:marBottom w:val="0"/>
              <w:divBdr>
                <w:top w:val="none" w:sz="0" w:space="0" w:color="auto"/>
                <w:left w:val="none" w:sz="0" w:space="0" w:color="auto"/>
                <w:bottom w:val="none" w:sz="0" w:space="0" w:color="auto"/>
                <w:right w:val="none" w:sz="0" w:space="0" w:color="auto"/>
              </w:divBdr>
            </w:div>
            <w:div w:id="1461999753">
              <w:marLeft w:val="0"/>
              <w:marRight w:val="0"/>
              <w:marTop w:val="0"/>
              <w:marBottom w:val="0"/>
              <w:divBdr>
                <w:top w:val="none" w:sz="0" w:space="0" w:color="auto"/>
                <w:left w:val="none" w:sz="0" w:space="0" w:color="auto"/>
                <w:bottom w:val="none" w:sz="0" w:space="0" w:color="auto"/>
                <w:right w:val="none" w:sz="0" w:space="0" w:color="auto"/>
              </w:divBdr>
            </w:div>
            <w:div w:id="1981761534">
              <w:marLeft w:val="0"/>
              <w:marRight w:val="0"/>
              <w:marTop w:val="0"/>
              <w:marBottom w:val="0"/>
              <w:divBdr>
                <w:top w:val="none" w:sz="0" w:space="0" w:color="auto"/>
                <w:left w:val="none" w:sz="0" w:space="0" w:color="auto"/>
                <w:bottom w:val="none" w:sz="0" w:space="0" w:color="auto"/>
                <w:right w:val="none" w:sz="0" w:space="0" w:color="auto"/>
              </w:divBdr>
            </w:div>
            <w:div w:id="2040465665">
              <w:marLeft w:val="0"/>
              <w:marRight w:val="0"/>
              <w:marTop w:val="0"/>
              <w:marBottom w:val="0"/>
              <w:divBdr>
                <w:top w:val="none" w:sz="0" w:space="0" w:color="auto"/>
                <w:left w:val="none" w:sz="0" w:space="0" w:color="auto"/>
                <w:bottom w:val="none" w:sz="0" w:space="0" w:color="auto"/>
                <w:right w:val="none" w:sz="0" w:space="0" w:color="auto"/>
              </w:divBdr>
            </w:div>
            <w:div w:id="209748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413995">
      <w:bodyDiv w:val="1"/>
      <w:marLeft w:val="0"/>
      <w:marRight w:val="0"/>
      <w:marTop w:val="0"/>
      <w:marBottom w:val="0"/>
      <w:divBdr>
        <w:top w:val="none" w:sz="0" w:space="0" w:color="auto"/>
        <w:left w:val="none" w:sz="0" w:space="0" w:color="auto"/>
        <w:bottom w:val="none" w:sz="0" w:space="0" w:color="auto"/>
        <w:right w:val="none" w:sz="0" w:space="0" w:color="auto"/>
      </w:divBdr>
    </w:div>
    <w:div w:id="1791584344">
      <w:bodyDiv w:val="1"/>
      <w:marLeft w:val="0"/>
      <w:marRight w:val="0"/>
      <w:marTop w:val="0"/>
      <w:marBottom w:val="0"/>
      <w:divBdr>
        <w:top w:val="none" w:sz="0" w:space="0" w:color="auto"/>
        <w:left w:val="none" w:sz="0" w:space="0" w:color="auto"/>
        <w:bottom w:val="none" w:sz="0" w:space="0" w:color="auto"/>
        <w:right w:val="none" w:sz="0" w:space="0" w:color="auto"/>
      </w:divBdr>
    </w:div>
    <w:div w:id="1793404824">
      <w:bodyDiv w:val="1"/>
      <w:marLeft w:val="0"/>
      <w:marRight w:val="0"/>
      <w:marTop w:val="0"/>
      <w:marBottom w:val="0"/>
      <w:divBdr>
        <w:top w:val="none" w:sz="0" w:space="0" w:color="auto"/>
        <w:left w:val="none" w:sz="0" w:space="0" w:color="auto"/>
        <w:bottom w:val="none" w:sz="0" w:space="0" w:color="auto"/>
        <w:right w:val="none" w:sz="0" w:space="0" w:color="auto"/>
      </w:divBdr>
    </w:div>
    <w:div w:id="1887796754">
      <w:bodyDiv w:val="1"/>
      <w:marLeft w:val="0"/>
      <w:marRight w:val="0"/>
      <w:marTop w:val="0"/>
      <w:marBottom w:val="0"/>
      <w:divBdr>
        <w:top w:val="none" w:sz="0" w:space="0" w:color="auto"/>
        <w:left w:val="none" w:sz="0" w:space="0" w:color="auto"/>
        <w:bottom w:val="none" w:sz="0" w:space="0" w:color="auto"/>
        <w:right w:val="none" w:sz="0" w:space="0" w:color="auto"/>
      </w:divBdr>
    </w:div>
    <w:div w:id="1920674827">
      <w:bodyDiv w:val="1"/>
      <w:marLeft w:val="0"/>
      <w:marRight w:val="0"/>
      <w:marTop w:val="0"/>
      <w:marBottom w:val="0"/>
      <w:divBdr>
        <w:top w:val="none" w:sz="0" w:space="0" w:color="auto"/>
        <w:left w:val="none" w:sz="0" w:space="0" w:color="auto"/>
        <w:bottom w:val="none" w:sz="0" w:space="0" w:color="auto"/>
        <w:right w:val="none" w:sz="0" w:space="0" w:color="auto"/>
      </w:divBdr>
      <w:divsChild>
        <w:div w:id="966156151">
          <w:marLeft w:val="0"/>
          <w:marRight w:val="0"/>
          <w:marTop w:val="0"/>
          <w:marBottom w:val="0"/>
          <w:divBdr>
            <w:top w:val="none" w:sz="0" w:space="0" w:color="auto"/>
            <w:left w:val="none" w:sz="0" w:space="0" w:color="auto"/>
            <w:bottom w:val="none" w:sz="0" w:space="0" w:color="auto"/>
            <w:right w:val="none" w:sz="0" w:space="0" w:color="auto"/>
          </w:divBdr>
          <w:divsChild>
            <w:div w:id="97914811">
              <w:marLeft w:val="0"/>
              <w:marRight w:val="0"/>
              <w:marTop w:val="0"/>
              <w:marBottom w:val="0"/>
              <w:divBdr>
                <w:top w:val="none" w:sz="0" w:space="0" w:color="auto"/>
                <w:left w:val="none" w:sz="0" w:space="0" w:color="auto"/>
                <w:bottom w:val="none" w:sz="0" w:space="0" w:color="auto"/>
                <w:right w:val="none" w:sz="0" w:space="0" w:color="auto"/>
              </w:divBdr>
            </w:div>
            <w:div w:id="143394005">
              <w:marLeft w:val="0"/>
              <w:marRight w:val="0"/>
              <w:marTop w:val="0"/>
              <w:marBottom w:val="0"/>
              <w:divBdr>
                <w:top w:val="none" w:sz="0" w:space="0" w:color="auto"/>
                <w:left w:val="none" w:sz="0" w:space="0" w:color="auto"/>
                <w:bottom w:val="none" w:sz="0" w:space="0" w:color="auto"/>
                <w:right w:val="none" w:sz="0" w:space="0" w:color="auto"/>
              </w:divBdr>
            </w:div>
            <w:div w:id="144468351">
              <w:marLeft w:val="0"/>
              <w:marRight w:val="0"/>
              <w:marTop w:val="0"/>
              <w:marBottom w:val="0"/>
              <w:divBdr>
                <w:top w:val="none" w:sz="0" w:space="0" w:color="auto"/>
                <w:left w:val="none" w:sz="0" w:space="0" w:color="auto"/>
                <w:bottom w:val="none" w:sz="0" w:space="0" w:color="auto"/>
                <w:right w:val="none" w:sz="0" w:space="0" w:color="auto"/>
              </w:divBdr>
            </w:div>
            <w:div w:id="358972574">
              <w:marLeft w:val="0"/>
              <w:marRight w:val="0"/>
              <w:marTop w:val="0"/>
              <w:marBottom w:val="0"/>
              <w:divBdr>
                <w:top w:val="none" w:sz="0" w:space="0" w:color="auto"/>
                <w:left w:val="none" w:sz="0" w:space="0" w:color="auto"/>
                <w:bottom w:val="none" w:sz="0" w:space="0" w:color="auto"/>
                <w:right w:val="none" w:sz="0" w:space="0" w:color="auto"/>
              </w:divBdr>
            </w:div>
            <w:div w:id="411703437">
              <w:marLeft w:val="0"/>
              <w:marRight w:val="0"/>
              <w:marTop w:val="0"/>
              <w:marBottom w:val="0"/>
              <w:divBdr>
                <w:top w:val="none" w:sz="0" w:space="0" w:color="auto"/>
                <w:left w:val="none" w:sz="0" w:space="0" w:color="auto"/>
                <w:bottom w:val="none" w:sz="0" w:space="0" w:color="auto"/>
                <w:right w:val="none" w:sz="0" w:space="0" w:color="auto"/>
              </w:divBdr>
            </w:div>
            <w:div w:id="480584645">
              <w:marLeft w:val="0"/>
              <w:marRight w:val="0"/>
              <w:marTop w:val="0"/>
              <w:marBottom w:val="0"/>
              <w:divBdr>
                <w:top w:val="none" w:sz="0" w:space="0" w:color="auto"/>
                <w:left w:val="none" w:sz="0" w:space="0" w:color="auto"/>
                <w:bottom w:val="none" w:sz="0" w:space="0" w:color="auto"/>
                <w:right w:val="none" w:sz="0" w:space="0" w:color="auto"/>
              </w:divBdr>
            </w:div>
            <w:div w:id="657927880">
              <w:marLeft w:val="0"/>
              <w:marRight w:val="0"/>
              <w:marTop w:val="0"/>
              <w:marBottom w:val="0"/>
              <w:divBdr>
                <w:top w:val="none" w:sz="0" w:space="0" w:color="auto"/>
                <w:left w:val="none" w:sz="0" w:space="0" w:color="auto"/>
                <w:bottom w:val="none" w:sz="0" w:space="0" w:color="auto"/>
                <w:right w:val="none" w:sz="0" w:space="0" w:color="auto"/>
              </w:divBdr>
            </w:div>
            <w:div w:id="1215897305">
              <w:marLeft w:val="0"/>
              <w:marRight w:val="0"/>
              <w:marTop w:val="0"/>
              <w:marBottom w:val="0"/>
              <w:divBdr>
                <w:top w:val="none" w:sz="0" w:space="0" w:color="auto"/>
                <w:left w:val="none" w:sz="0" w:space="0" w:color="auto"/>
                <w:bottom w:val="none" w:sz="0" w:space="0" w:color="auto"/>
                <w:right w:val="none" w:sz="0" w:space="0" w:color="auto"/>
              </w:divBdr>
            </w:div>
            <w:div w:id="1474450648">
              <w:marLeft w:val="0"/>
              <w:marRight w:val="0"/>
              <w:marTop w:val="0"/>
              <w:marBottom w:val="0"/>
              <w:divBdr>
                <w:top w:val="none" w:sz="0" w:space="0" w:color="auto"/>
                <w:left w:val="none" w:sz="0" w:space="0" w:color="auto"/>
                <w:bottom w:val="none" w:sz="0" w:space="0" w:color="auto"/>
                <w:right w:val="none" w:sz="0" w:space="0" w:color="auto"/>
              </w:divBdr>
            </w:div>
            <w:div w:id="1501844513">
              <w:marLeft w:val="0"/>
              <w:marRight w:val="0"/>
              <w:marTop w:val="0"/>
              <w:marBottom w:val="0"/>
              <w:divBdr>
                <w:top w:val="none" w:sz="0" w:space="0" w:color="auto"/>
                <w:left w:val="none" w:sz="0" w:space="0" w:color="auto"/>
                <w:bottom w:val="none" w:sz="0" w:space="0" w:color="auto"/>
                <w:right w:val="none" w:sz="0" w:space="0" w:color="auto"/>
              </w:divBdr>
            </w:div>
            <w:div w:id="1601990888">
              <w:marLeft w:val="0"/>
              <w:marRight w:val="0"/>
              <w:marTop w:val="0"/>
              <w:marBottom w:val="0"/>
              <w:divBdr>
                <w:top w:val="none" w:sz="0" w:space="0" w:color="auto"/>
                <w:left w:val="none" w:sz="0" w:space="0" w:color="auto"/>
                <w:bottom w:val="none" w:sz="0" w:space="0" w:color="auto"/>
                <w:right w:val="none" w:sz="0" w:space="0" w:color="auto"/>
              </w:divBdr>
            </w:div>
            <w:div w:id="1685982460">
              <w:marLeft w:val="0"/>
              <w:marRight w:val="0"/>
              <w:marTop w:val="0"/>
              <w:marBottom w:val="0"/>
              <w:divBdr>
                <w:top w:val="none" w:sz="0" w:space="0" w:color="auto"/>
                <w:left w:val="none" w:sz="0" w:space="0" w:color="auto"/>
                <w:bottom w:val="none" w:sz="0" w:space="0" w:color="auto"/>
                <w:right w:val="none" w:sz="0" w:space="0" w:color="auto"/>
              </w:divBdr>
            </w:div>
            <w:div w:id="1774859685">
              <w:marLeft w:val="0"/>
              <w:marRight w:val="0"/>
              <w:marTop w:val="0"/>
              <w:marBottom w:val="0"/>
              <w:divBdr>
                <w:top w:val="none" w:sz="0" w:space="0" w:color="auto"/>
                <w:left w:val="none" w:sz="0" w:space="0" w:color="auto"/>
                <w:bottom w:val="none" w:sz="0" w:space="0" w:color="auto"/>
                <w:right w:val="none" w:sz="0" w:space="0" w:color="auto"/>
              </w:divBdr>
            </w:div>
            <w:div w:id="1806237975">
              <w:marLeft w:val="0"/>
              <w:marRight w:val="0"/>
              <w:marTop w:val="0"/>
              <w:marBottom w:val="0"/>
              <w:divBdr>
                <w:top w:val="none" w:sz="0" w:space="0" w:color="auto"/>
                <w:left w:val="none" w:sz="0" w:space="0" w:color="auto"/>
                <w:bottom w:val="none" w:sz="0" w:space="0" w:color="auto"/>
                <w:right w:val="none" w:sz="0" w:space="0" w:color="auto"/>
              </w:divBdr>
            </w:div>
            <w:div w:id="193766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000787">
      <w:bodyDiv w:val="1"/>
      <w:marLeft w:val="0"/>
      <w:marRight w:val="0"/>
      <w:marTop w:val="0"/>
      <w:marBottom w:val="0"/>
      <w:divBdr>
        <w:top w:val="none" w:sz="0" w:space="0" w:color="auto"/>
        <w:left w:val="none" w:sz="0" w:space="0" w:color="auto"/>
        <w:bottom w:val="none" w:sz="0" w:space="0" w:color="auto"/>
        <w:right w:val="none" w:sz="0" w:space="0" w:color="auto"/>
      </w:divBdr>
      <w:divsChild>
        <w:div w:id="1358700569">
          <w:marLeft w:val="0"/>
          <w:marRight w:val="0"/>
          <w:marTop w:val="0"/>
          <w:marBottom w:val="0"/>
          <w:divBdr>
            <w:top w:val="none" w:sz="0" w:space="0" w:color="auto"/>
            <w:left w:val="none" w:sz="0" w:space="0" w:color="auto"/>
            <w:bottom w:val="none" w:sz="0" w:space="0" w:color="auto"/>
            <w:right w:val="none" w:sz="0" w:space="0" w:color="auto"/>
          </w:divBdr>
          <w:divsChild>
            <w:div w:id="189606040">
              <w:marLeft w:val="0"/>
              <w:marRight w:val="0"/>
              <w:marTop w:val="0"/>
              <w:marBottom w:val="0"/>
              <w:divBdr>
                <w:top w:val="none" w:sz="0" w:space="0" w:color="auto"/>
                <w:left w:val="none" w:sz="0" w:space="0" w:color="auto"/>
                <w:bottom w:val="none" w:sz="0" w:space="0" w:color="auto"/>
                <w:right w:val="none" w:sz="0" w:space="0" w:color="auto"/>
              </w:divBdr>
            </w:div>
            <w:div w:id="461075111">
              <w:marLeft w:val="0"/>
              <w:marRight w:val="0"/>
              <w:marTop w:val="0"/>
              <w:marBottom w:val="0"/>
              <w:divBdr>
                <w:top w:val="none" w:sz="0" w:space="0" w:color="auto"/>
                <w:left w:val="none" w:sz="0" w:space="0" w:color="auto"/>
                <w:bottom w:val="none" w:sz="0" w:space="0" w:color="auto"/>
                <w:right w:val="none" w:sz="0" w:space="0" w:color="auto"/>
              </w:divBdr>
            </w:div>
            <w:div w:id="519130607">
              <w:marLeft w:val="0"/>
              <w:marRight w:val="0"/>
              <w:marTop w:val="0"/>
              <w:marBottom w:val="0"/>
              <w:divBdr>
                <w:top w:val="none" w:sz="0" w:space="0" w:color="auto"/>
                <w:left w:val="none" w:sz="0" w:space="0" w:color="auto"/>
                <w:bottom w:val="none" w:sz="0" w:space="0" w:color="auto"/>
                <w:right w:val="none" w:sz="0" w:space="0" w:color="auto"/>
              </w:divBdr>
            </w:div>
            <w:div w:id="1211377152">
              <w:marLeft w:val="0"/>
              <w:marRight w:val="0"/>
              <w:marTop w:val="0"/>
              <w:marBottom w:val="0"/>
              <w:divBdr>
                <w:top w:val="none" w:sz="0" w:space="0" w:color="auto"/>
                <w:left w:val="none" w:sz="0" w:space="0" w:color="auto"/>
                <w:bottom w:val="none" w:sz="0" w:space="0" w:color="auto"/>
                <w:right w:val="none" w:sz="0" w:space="0" w:color="auto"/>
              </w:divBdr>
            </w:div>
            <w:div w:id="1386560561">
              <w:marLeft w:val="0"/>
              <w:marRight w:val="0"/>
              <w:marTop w:val="0"/>
              <w:marBottom w:val="0"/>
              <w:divBdr>
                <w:top w:val="none" w:sz="0" w:space="0" w:color="auto"/>
                <w:left w:val="none" w:sz="0" w:space="0" w:color="auto"/>
                <w:bottom w:val="none" w:sz="0" w:space="0" w:color="auto"/>
                <w:right w:val="none" w:sz="0" w:space="0" w:color="auto"/>
              </w:divBdr>
            </w:div>
            <w:div w:id="168332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581417">
      <w:bodyDiv w:val="1"/>
      <w:marLeft w:val="0"/>
      <w:marRight w:val="0"/>
      <w:marTop w:val="0"/>
      <w:marBottom w:val="0"/>
      <w:divBdr>
        <w:top w:val="none" w:sz="0" w:space="0" w:color="auto"/>
        <w:left w:val="none" w:sz="0" w:space="0" w:color="auto"/>
        <w:bottom w:val="none" w:sz="0" w:space="0" w:color="auto"/>
        <w:right w:val="none" w:sz="0" w:space="0" w:color="auto"/>
      </w:divBdr>
      <w:divsChild>
        <w:div w:id="1393386763">
          <w:marLeft w:val="0"/>
          <w:marRight w:val="0"/>
          <w:marTop w:val="0"/>
          <w:marBottom w:val="0"/>
          <w:divBdr>
            <w:top w:val="none" w:sz="0" w:space="0" w:color="auto"/>
            <w:left w:val="none" w:sz="0" w:space="0" w:color="auto"/>
            <w:bottom w:val="none" w:sz="0" w:space="0" w:color="auto"/>
            <w:right w:val="none" w:sz="0" w:space="0" w:color="auto"/>
          </w:divBdr>
          <w:divsChild>
            <w:div w:id="920722236">
              <w:marLeft w:val="0"/>
              <w:marRight w:val="0"/>
              <w:marTop w:val="0"/>
              <w:marBottom w:val="0"/>
              <w:divBdr>
                <w:top w:val="none" w:sz="0" w:space="0" w:color="auto"/>
                <w:left w:val="none" w:sz="0" w:space="0" w:color="auto"/>
                <w:bottom w:val="none" w:sz="0" w:space="0" w:color="auto"/>
                <w:right w:val="none" w:sz="0" w:space="0" w:color="auto"/>
              </w:divBdr>
              <w:divsChild>
                <w:div w:id="1409116469">
                  <w:marLeft w:val="0"/>
                  <w:marRight w:val="0"/>
                  <w:marTop w:val="0"/>
                  <w:marBottom w:val="0"/>
                  <w:divBdr>
                    <w:top w:val="none" w:sz="0" w:space="0" w:color="auto"/>
                    <w:left w:val="none" w:sz="0" w:space="0" w:color="auto"/>
                    <w:bottom w:val="none" w:sz="0" w:space="0" w:color="auto"/>
                    <w:right w:val="none" w:sz="0" w:space="0" w:color="auto"/>
                  </w:divBdr>
                  <w:divsChild>
                    <w:div w:id="931478291">
                      <w:marLeft w:val="0"/>
                      <w:marRight w:val="0"/>
                      <w:marTop w:val="0"/>
                      <w:marBottom w:val="240"/>
                      <w:divBdr>
                        <w:top w:val="single" w:sz="6" w:space="3" w:color="339966"/>
                        <w:left w:val="single" w:sz="6" w:space="3" w:color="339966"/>
                        <w:bottom w:val="single" w:sz="6" w:space="3" w:color="339966"/>
                        <w:right w:val="single" w:sz="6" w:space="3" w:color="339966"/>
                      </w:divBdr>
                      <w:divsChild>
                        <w:div w:id="2078815280">
                          <w:marLeft w:val="0"/>
                          <w:marRight w:val="0"/>
                          <w:marTop w:val="195"/>
                          <w:marBottom w:val="0"/>
                          <w:divBdr>
                            <w:top w:val="none" w:sz="0" w:space="0" w:color="auto"/>
                            <w:left w:val="none" w:sz="0" w:space="0" w:color="auto"/>
                            <w:bottom w:val="none" w:sz="0" w:space="0" w:color="auto"/>
                            <w:right w:val="none" w:sz="0" w:space="0" w:color="auto"/>
                          </w:divBdr>
                          <w:divsChild>
                            <w:div w:id="171338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0835603">
      <w:bodyDiv w:val="1"/>
      <w:marLeft w:val="0"/>
      <w:marRight w:val="0"/>
      <w:marTop w:val="0"/>
      <w:marBottom w:val="0"/>
      <w:divBdr>
        <w:top w:val="none" w:sz="0" w:space="0" w:color="auto"/>
        <w:left w:val="none" w:sz="0" w:space="0" w:color="auto"/>
        <w:bottom w:val="none" w:sz="0" w:space="0" w:color="auto"/>
        <w:right w:val="none" w:sz="0" w:space="0" w:color="auto"/>
      </w:divBdr>
      <w:divsChild>
        <w:div w:id="1267040198">
          <w:marLeft w:val="0"/>
          <w:marRight w:val="0"/>
          <w:marTop w:val="0"/>
          <w:marBottom w:val="0"/>
          <w:divBdr>
            <w:top w:val="none" w:sz="0" w:space="0" w:color="auto"/>
            <w:left w:val="none" w:sz="0" w:space="0" w:color="auto"/>
            <w:bottom w:val="none" w:sz="0" w:space="0" w:color="auto"/>
            <w:right w:val="none" w:sz="0" w:space="0" w:color="auto"/>
          </w:divBdr>
        </w:div>
      </w:divsChild>
    </w:div>
    <w:div w:id="2053577965">
      <w:bodyDiv w:val="1"/>
      <w:marLeft w:val="0"/>
      <w:marRight w:val="0"/>
      <w:marTop w:val="0"/>
      <w:marBottom w:val="0"/>
      <w:divBdr>
        <w:top w:val="none" w:sz="0" w:space="0" w:color="auto"/>
        <w:left w:val="none" w:sz="0" w:space="0" w:color="auto"/>
        <w:bottom w:val="none" w:sz="0" w:space="0" w:color="auto"/>
        <w:right w:val="none" w:sz="0" w:space="0" w:color="auto"/>
      </w:divBdr>
      <w:divsChild>
        <w:div w:id="508838926">
          <w:marLeft w:val="0"/>
          <w:marRight w:val="0"/>
          <w:marTop w:val="0"/>
          <w:marBottom w:val="0"/>
          <w:divBdr>
            <w:top w:val="none" w:sz="0" w:space="0" w:color="auto"/>
            <w:left w:val="none" w:sz="0" w:space="0" w:color="auto"/>
            <w:bottom w:val="none" w:sz="0" w:space="0" w:color="auto"/>
            <w:right w:val="none" w:sz="0" w:space="0" w:color="auto"/>
          </w:divBdr>
          <w:divsChild>
            <w:div w:id="225846274">
              <w:marLeft w:val="0"/>
              <w:marRight w:val="0"/>
              <w:marTop w:val="0"/>
              <w:marBottom w:val="0"/>
              <w:divBdr>
                <w:top w:val="none" w:sz="0" w:space="0" w:color="auto"/>
                <w:left w:val="none" w:sz="0" w:space="0" w:color="auto"/>
                <w:bottom w:val="none" w:sz="0" w:space="0" w:color="auto"/>
                <w:right w:val="none" w:sz="0" w:space="0" w:color="auto"/>
              </w:divBdr>
            </w:div>
            <w:div w:id="1007903685">
              <w:marLeft w:val="0"/>
              <w:marRight w:val="0"/>
              <w:marTop w:val="0"/>
              <w:marBottom w:val="0"/>
              <w:divBdr>
                <w:top w:val="none" w:sz="0" w:space="0" w:color="auto"/>
                <w:left w:val="none" w:sz="0" w:space="0" w:color="auto"/>
                <w:bottom w:val="none" w:sz="0" w:space="0" w:color="auto"/>
                <w:right w:val="none" w:sz="0" w:space="0" w:color="auto"/>
              </w:divBdr>
            </w:div>
            <w:div w:id="1399983372">
              <w:marLeft w:val="0"/>
              <w:marRight w:val="0"/>
              <w:marTop w:val="0"/>
              <w:marBottom w:val="0"/>
              <w:divBdr>
                <w:top w:val="none" w:sz="0" w:space="0" w:color="auto"/>
                <w:left w:val="none" w:sz="0" w:space="0" w:color="auto"/>
                <w:bottom w:val="none" w:sz="0" w:space="0" w:color="auto"/>
                <w:right w:val="none" w:sz="0" w:space="0" w:color="auto"/>
              </w:divBdr>
            </w:div>
            <w:div w:id="1700621167">
              <w:marLeft w:val="0"/>
              <w:marRight w:val="0"/>
              <w:marTop w:val="0"/>
              <w:marBottom w:val="0"/>
              <w:divBdr>
                <w:top w:val="none" w:sz="0" w:space="0" w:color="auto"/>
                <w:left w:val="none" w:sz="0" w:space="0" w:color="auto"/>
                <w:bottom w:val="none" w:sz="0" w:space="0" w:color="auto"/>
                <w:right w:val="none" w:sz="0" w:space="0" w:color="auto"/>
              </w:divBdr>
            </w:div>
            <w:div w:id="202986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609406">
      <w:bodyDiv w:val="1"/>
      <w:marLeft w:val="0"/>
      <w:marRight w:val="0"/>
      <w:marTop w:val="0"/>
      <w:marBottom w:val="0"/>
      <w:divBdr>
        <w:top w:val="none" w:sz="0" w:space="0" w:color="auto"/>
        <w:left w:val="none" w:sz="0" w:space="0" w:color="auto"/>
        <w:bottom w:val="none" w:sz="0" w:space="0" w:color="auto"/>
        <w:right w:val="none" w:sz="0" w:space="0" w:color="auto"/>
      </w:divBdr>
      <w:divsChild>
        <w:div w:id="1973516757">
          <w:marLeft w:val="0"/>
          <w:marRight w:val="0"/>
          <w:marTop w:val="0"/>
          <w:marBottom w:val="0"/>
          <w:divBdr>
            <w:top w:val="none" w:sz="0" w:space="0" w:color="auto"/>
            <w:left w:val="none" w:sz="0" w:space="0" w:color="auto"/>
            <w:bottom w:val="none" w:sz="0" w:space="0" w:color="auto"/>
            <w:right w:val="none" w:sz="0" w:space="0" w:color="auto"/>
          </w:divBdr>
          <w:divsChild>
            <w:div w:id="534079824">
              <w:marLeft w:val="0"/>
              <w:marRight w:val="0"/>
              <w:marTop w:val="0"/>
              <w:marBottom w:val="0"/>
              <w:divBdr>
                <w:top w:val="none" w:sz="0" w:space="0" w:color="auto"/>
                <w:left w:val="none" w:sz="0" w:space="0" w:color="auto"/>
                <w:bottom w:val="none" w:sz="0" w:space="0" w:color="auto"/>
                <w:right w:val="none" w:sz="0" w:space="0" w:color="auto"/>
              </w:divBdr>
            </w:div>
            <w:div w:id="1404792619">
              <w:marLeft w:val="0"/>
              <w:marRight w:val="0"/>
              <w:marTop w:val="0"/>
              <w:marBottom w:val="0"/>
              <w:divBdr>
                <w:top w:val="none" w:sz="0" w:space="0" w:color="auto"/>
                <w:left w:val="none" w:sz="0" w:space="0" w:color="auto"/>
                <w:bottom w:val="none" w:sz="0" w:space="0" w:color="auto"/>
                <w:right w:val="none" w:sz="0" w:space="0" w:color="auto"/>
              </w:divBdr>
            </w:div>
            <w:div w:id="1579097076">
              <w:marLeft w:val="0"/>
              <w:marRight w:val="0"/>
              <w:marTop w:val="0"/>
              <w:marBottom w:val="0"/>
              <w:divBdr>
                <w:top w:val="none" w:sz="0" w:space="0" w:color="auto"/>
                <w:left w:val="none" w:sz="0" w:space="0" w:color="auto"/>
                <w:bottom w:val="none" w:sz="0" w:space="0" w:color="auto"/>
                <w:right w:val="none" w:sz="0" w:space="0" w:color="auto"/>
              </w:divBdr>
            </w:div>
            <w:div w:id="1580672055">
              <w:marLeft w:val="0"/>
              <w:marRight w:val="0"/>
              <w:marTop w:val="0"/>
              <w:marBottom w:val="0"/>
              <w:divBdr>
                <w:top w:val="none" w:sz="0" w:space="0" w:color="auto"/>
                <w:left w:val="none" w:sz="0" w:space="0" w:color="auto"/>
                <w:bottom w:val="none" w:sz="0" w:space="0" w:color="auto"/>
                <w:right w:val="none" w:sz="0" w:space="0" w:color="auto"/>
              </w:divBdr>
            </w:div>
            <w:div w:id="1586454057">
              <w:marLeft w:val="0"/>
              <w:marRight w:val="0"/>
              <w:marTop w:val="0"/>
              <w:marBottom w:val="0"/>
              <w:divBdr>
                <w:top w:val="none" w:sz="0" w:space="0" w:color="auto"/>
                <w:left w:val="none" w:sz="0" w:space="0" w:color="auto"/>
                <w:bottom w:val="none" w:sz="0" w:space="0" w:color="auto"/>
                <w:right w:val="none" w:sz="0" w:space="0" w:color="auto"/>
              </w:divBdr>
            </w:div>
            <w:div w:id="1625964631">
              <w:marLeft w:val="0"/>
              <w:marRight w:val="0"/>
              <w:marTop w:val="0"/>
              <w:marBottom w:val="0"/>
              <w:divBdr>
                <w:top w:val="none" w:sz="0" w:space="0" w:color="auto"/>
                <w:left w:val="none" w:sz="0" w:space="0" w:color="auto"/>
                <w:bottom w:val="none" w:sz="0" w:space="0" w:color="auto"/>
                <w:right w:val="none" w:sz="0" w:space="0" w:color="auto"/>
              </w:divBdr>
            </w:div>
            <w:div w:id="1841576169">
              <w:marLeft w:val="0"/>
              <w:marRight w:val="0"/>
              <w:marTop w:val="0"/>
              <w:marBottom w:val="0"/>
              <w:divBdr>
                <w:top w:val="none" w:sz="0" w:space="0" w:color="auto"/>
                <w:left w:val="none" w:sz="0" w:space="0" w:color="auto"/>
                <w:bottom w:val="none" w:sz="0" w:space="0" w:color="auto"/>
                <w:right w:val="none" w:sz="0" w:space="0" w:color="auto"/>
              </w:divBdr>
            </w:div>
            <w:div w:id="190074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430751">
      <w:bodyDiv w:val="1"/>
      <w:marLeft w:val="0"/>
      <w:marRight w:val="0"/>
      <w:marTop w:val="0"/>
      <w:marBottom w:val="0"/>
      <w:divBdr>
        <w:top w:val="none" w:sz="0" w:space="0" w:color="auto"/>
        <w:left w:val="none" w:sz="0" w:space="0" w:color="auto"/>
        <w:bottom w:val="none" w:sz="0" w:space="0" w:color="auto"/>
        <w:right w:val="none" w:sz="0" w:space="0" w:color="auto"/>
      </w:divBdr>
    </w:div>
    <w:div w:id="2133749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6.xm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image" Target="media/image3.tiff"/><Relationship Id="rId17" Type="http://schemas.openxmlformats.org/officeDocument/2006/relationships/header" Target="header5.xm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7.xml"/><Relationship Id="rId29" Type="http://schemas.openxmlformats.org/officeDocument/2006/relationships/hyperlink" Target="http://en.wikipedia.org/wiki/Risk_metric"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8.em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hyperlink" Target="http://www.asampsa2.eu" TargetMode="External"/><Relationship Id="rId36" Type="http://schemas.microsoft.com/office/2011/relationships/commentsExtended" Target="commentsExtended.xml"/><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hyperlink" Target="http://www.asampsa.eu" TargetMode="External"/><Relationship Id="rId30" Type="http://schemas.openxmlformats.org/officeDocument/2006/relationships/hyperlink" Target="http://www.ursjv.gov.si/fileadmin/ujv.gov.si/pageuploads/si/Zakonodaja/SlovenskiPredpisi/osnutki__predlogi_predpisov/JV5_osnutek.pdf" TargetMode="External"/><Relationship Id="rId35" Type="http://schemas.microsoft.com/office/2011/relationships/people" Target="people.xml"/></Relationships>
</file>

<file path=word/_rels/header1.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emf"/></Relationships>
</file>

<file path=word/_rels/header6.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D43F0F-7CE9-4A0B-BB29-FB03BD5D4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128</Pages>
  <Words>52833</Words>
  <Characters>312035</Characters>
  <Application>Microsoft Office Word</Application>
  <DocSecurity>0</DocSecurity>
  <Lines>2600</Lines>
  <Paragraphs>728</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RAR</vt:lpstr>
      <vt:lpstr>RAR</vt:lpstr>
      <vt:lpstr>RAR</vt:lpstr>
    </vt:vector>
  </TitlesOfParts>
  <Company>IRSN</Company>
  <LinksUpToDate>false</LinksUpToDate>
  <CharactersWithSpaces>364140</CharactersWithSpaces>
  <SharedDoc>false</SharedDoc>
  <HLinks>
    <vt:vector size="684" baseType="variant">
      <vt:variant>
        <vt:i4>1638455</vt:i4>
      </vt:variant>
      <vt:variant>
        <vt:i4>1175</vt:i4>
      </vt:variant>
      <vt:variant>
        <vt:i4>0</vt:i4>
      </vt:variant>
      <vt:variant>
        <vt:i4>5</vt:i4>
      </vt:variant>
      <vt:variant>
        <vt:lpwstr/>
      </vt:variant>
      <vt:variant>
        <vt:lpwstr>_Toc362000685</vt:lpwstr>
      </vt:variant>
      <vt:variant>
        <vt:i4>1638455</vt:i4>
      </vt:variant>
      <vt:variant>
        <vt:i4>1169</vt:i4>
      </vt:variant>
      <vt:variant>
        <vt:i4>0</vt:i4>
      </vt:variant>
      <vt:variant>
        <vt:i4>5</vt:i4>
      </vt:variant>
      <vt:variant>
        <vt:lpwstr/>
      </vt:variant>
      <vt:variant>
        <vt:lpwstr>_Toc362000684</vt:lpwstr>
      </vt:variant>
      <vt:variant>
        <vt:i4>1703991</vt:i4>
      </vt:variant>
      <vt:variant>
        <vt:i4>1160</vt:i4>
      </vt:variant>
      <vt:variant>
        <vt:i4>0</vt:i4>
      </vt:variant>
      <vt:variant>
        <vt:i4>5</vt:i4>
      </vt:variant>
      <vt:variant>
        <vt:lpwstr/>
      </vt:variant>
      <vt:variant>
        <vt:lpwstr>_Toc362002698</vt:lpwstr>
      </vt:variant>
      <vt:variant>
        <vt:i4>1703991</vt:i4>
      </vt:variant>
      <vt:variant>
        <vt:i4>1154</vt:i4>
      </vt:variant>
      <vt:variant>
        <vt:i4>0</vt:i4>
      </vt:variant>
      <vt:variant>
        <vt:i4>5</vt:i4>
      </vt:variant>
      <vt:variant>
        <vt:lpwstr/>
      </vt:variant>
      <vt:variant>
        <vt:lpwstr>_Toc362002697</vt:lpwstr>
      </vt:variant>
      <vt:variant>
        <vt:i4>1572923</vt:i4>
      </vt:variant>
      <vt:variant>
        <vt:i4>542</vt:i4>
      </vt:variant>
      <vt:variant>
        <vt:i4>0</vt:i4>
      </vt:variant>
      <vt:variant>
        <vt:i4>5</vt:i4>
      </vt:variant>
      <vt:variant>
        <vt:lpwstr/>
      </vt:variant>
      <vt:variant>
        <vt:lpwstr>_Toc398125221</vt:lpwstr>
      </vt:variant>
      <vt:variant>
        <vt:i4>1572923</vt:i4>
      </vt:variant>
      <vt:variant>
        <vt:i4>536</vt:i4>
      </vt:variant>
      <vt:variant>
        <vt:i4>0</vt:i4>
      </vt:variant>
      <vt:variant>
        <vt:i4>5</vt:i4>
      </vt:variant>
      <vt:variant>
        <vt:lpwstr/>
      </vt:variant>
      <vt:variant>
        <vt:lpwstr>_Toc398125220</vt:lpwstr>
      </vt:variant>
      <vt:variant>
        <vt:i4>1769531</vt:i4>
      </vt:variant>
      <vt:variant>
        <vt:i4>530</vt:i4>
      </vt:variant>
      <vt:variant>
        <vt:i4>0</vt:i4>
      </vt:variant>
      <vt:variant>
        <vt:i4>5</vt:i4>
      </vt:variant>
      <vt:variant>
        <vt:lpwstr/>
      </vt:variant>
      <vt:variant>
        <vt:lpwstr>_Toc398125219</vt:lpwstr>
      </vt:variant>
      <vt:variant>
        <vt:i4>1769531</vt:i4>
      </vt:variant>
      <vt:variant>
        <vt:i4>524</vt:i4>
      </vt:variant>
      <vt:variant>
        <vt:i4>0</vt:i4>
      </vt:variant>
      <vt:variant>
        <vt:i4>5</vt:i4>
      </vt:variant>
      <vt:variant>
        <vt:lpwstr/>
      </vt:variant>
      <vt:variant>
        <vt:lpwstr>_Toc398125218</vt:lpwstr>
      </vt:variant>
      <vt:variant>
        <vt:i4>1769531</vt:i4>
      </vt:variant>
      <vt:variant>
        <vt:i4>518</vt:i4>
      </vt:variant>
      <vt:variant>
        <vt:i4>0</vt:i4>
      </vt:variant>
      <vt:variant>
        <vt:i4>5</vt:i4>
      </vt:variant>
      <vt:variant>
        <vt:lpwstr/>
      </vt:variant>
      <vt:variant>
        <vt:lpwstr>_Toc398125217</vt:lpwstr>
      </vt:variant>
      <vt:variant>
        <vt:i4>1769531</vt:i4>
      </vt:variant>
      <vt:variant>
        <vt:i4>512</vt:i4>
      </vt:variant>
      <vt:variant>
        <vt:i4>0</vt:i4>
      </vt:variant>
      <vt:variant>
        <vt:i4>5</vt:i4>
      </vt:variant>
      <vt:variant>
        <vt:lpwstr/>
      </vt:variant>
      <vt:variant>
        <vt:lpwstr>_Toc398125216</vt:lpwstr>
      </vt:variant>
      <vt:variant>
        <vt:i4>1769531</vt:i4>
      </vt:variant>
      <vt:variant>
        <vt:i4>506</vt:i4>
      </vt:variant>
      <vt:variant>
        <vt:i4>0</vt:i4>
      </vt:variant>
      <vt:variant>
        <vt:i4>5</vt:i4>
      </vt:variant>
      <vt:variant>
        <vt:lpwstr/>
      </vt:variant>
      <vt:variant>
        <vt:lpwstr>_Toc398125215</vt:lpwstr>
      </vt:variant>
      <vt:variant>
        <vt:i4>1769531</vt:i4>
      </vt:variant>
      <vt:variant>
        <vt:i4>500</vt:i4>
      </vt:variant>
      <vt:variant>
        <vt:i4>0</vt:i4>
      </vt:variant>
      <vt:variant>
        <vt:i4>5</vt:i4>
      </vt:variant>
      <vt:variant>
        <vt:lpwstr/>
      </vt:variant>
      <vt:variant>
        <vt:lpwstr>_Toc398125214</vt:lpwstr>
      </vt:variant>
      <vt:variant>
        <vt:i4>1769531</vt:i4>
      </vt:variant>
      <vt:variant>
        <vt:i4>494</vt:i4>
      </vt:variant>
      <vt:variant>
        <vt:i4>0</vt:i4>
      </vt:variant>
      <vt:variant>
        <vt:i4>5</vt:i4>
      </vt:variant>
      <vt:variant>
        <vt:lpwstr/>
      </vt:variant>
      <vt:variant>
        <vt:lpwstr>_Toc398125213</vt:lpwstr>
      </vt:variant>
      <vt:variant>
        <vt:i4>1769531</vt:i4>
      </vt:variant>
      <vt:variant>
        <vt:i4>488</vt:i4>
      </vt:variant>
      <vt:variant>
        <vt:i4>0</vt:i4>
      </vt:variant>
      <vt:variant>
        <vt:i4>5</vt:i4>
      </vt:variant>
      <vt:variant>
        <vt:lpwstr/>
      </vt:variant>
      <vt:variant>
        <vt:lpwstr>_Toc398125212</vt:lpwstr>
      </vt:variant>
      <vt:variant>
        <vt:i4>1769531</vt:i4>
      </vt:variant>
      <vt:variant>
        <vt:i4>482</vt:i4>
      </vt:variant>
      <vt:variant>
        <vt:i4>0</vt:i4>
      </vt:variant>
      <vt:variant>
        <vt:i4>5</vt:i4>
      </vt:variant>
      <vt:variant>
        <vt:lpwstr/>
      </vt:variant>
      <vt:variant>
        <vt:lpwstr>_Toc398125211</vt:lpwstr>
      </vt:variant>
      <vt:variant>
        <vt:i4>1769531</vt:i4>
      </vt:variant>
      <vt:variant>
        <vt:i4>476</vt:i4>
      </vt:variant>
      <vt:variant>
        <vt:i4>0</vt:i4>
      </vt:variant>
      <vt:variant>
        <vt:i4>5</vt:i4>
      </vt:variant>
      <vt:variant>
        <vt:lpwstr/>
      </vt:variant>
      <vt:variant>
        <vt:lpwstr>_Toc398125210</vt:lpwstr>
      </vt:variant>
      <vt:variant>
        <vt:i4>1703995</vt:i4>
      </vt:variant>
      <vt:variant>
        <vt:i4>470</vt:i4>
      </vt:variant>
      <vt:variant>
        <vt:i4>0</vt:i4>
      </vt:variant>
      <vt:variant>
        <vt:i4>5</vt:i4>
      </vt:variant>
      <vt:variant>
        <vt:lpwstr/>
      </vt:variant>
      <vt:variant>
        <vt:lpwstr>_Toc398125209</vt:lpwstr>
      </vt:variant>
      <vt:variant>
        <vt:i4>1703995</vt:i4>
      </vt:variant>
      <vt:variant>
        <vt:i4>464</vt:i4>
      </vt:variant>
      <vt:variant>
        <vt:i4>0</vt:i4>
      </vt:variant>
      <vt:variant>
        <vt:i4>5</vt:i4>
      </vt:variant>
      <vt:variant>
        <vt:lpwstr/>
      </vt:variant>
      <vt:variant>
        <vt:lpwstr>_Toc398125208</vt:lpwstr>
      </vt:variant>
      <vt:variant>
        <vt:i4>1703995</vt:i4>
      </vt:variant>
      <vt:variant>
        <vt:i4>458</vt:i4>
      </vt:variant>
      <vt:variant>
        <vt:i4>0</vt:i4>
      </vt:variant>
      <vt:variant>
        <vt:i4>5</vt:i4>
      </vt:variant>
      <vt:variant>
        <vt:lpwstr/>
      </vt:variant>
      <vt:variant>
        <vt:lpwstr>_Toc398125207</vt:lpwstr>
      </vt:variant>
      <vt:variant>
        <vt:i4>1703995</vt:i4>
      </vt:variant>
      <vt:variant>
        <vt:i4>452</vt:i4>
      </vt:variant>
      <vt:variant>
        <vt:i4>0</vt:i4>
      </vt:variant>
      <vt:variant>
        <vt:i4>5</vt:i4>
      </vt:variant>
      <vt:variant>
        <vt:lpwstr/>
      </vt:variant>
      <vt:variant>
        <vt:lpwstr>_Toc398125206</vt:lpwstr>
      </vt:variant>
      <vt:variant>
        <vt:i4>1703995</vt:i4>
      </vt:variant>
      <vt:variant>
        <vt:i4>446</vt:i4>
      </vt:variant>
      <vt:variant>
        <vt:i4>0</vt:i4>
      </vt:variant>
      <vt:variant>
        <vt:i4>5</vt:i4>
      </vt:variant>
      <vt:variant>
        <vt:lpwstr/>
      </vt:variant>
      <vt:variant>
        <vt:lpwstr>_Toc398125205</vt:lpwstr>
      </vt:variant>
      <vt:variant>
        <vt:i4>1703995</vt:i4>
      </vt:variant>
      <vt:variant>
        <vt:i4>440</vt:i4>
      </vt:variant>
      <vt:variant>
        <vt:i4>0</vt:i4>
      </vt:variant>
      <vt:variant>
        <vt:i4>5</vt:i4>
      </vt:variant>
      <vt:variant>
        <vt:lpwstr/>
      </vt:variant>
      <vt:variant>
        <vt:lpwstr>_Toc398125204</vt:lpwstr>
      </vt:variant>
      <vt:variant>
        <vt:i4>1703995</vt:i4>
      </vt:variant>
      <vt:variant>
        <vt:i4>434</vt:i4>
      </vt:variant>
      <vt:variant>
        <vt:i4>0</vt:i4>
      </vt:variant>
      <vt:variant>
        <vt:i4>5</vt:i4>
      </vt:variant>
      <vt:variant>
        <vt:lpwstr/>
      </vt:variant>
      <vt:variant>
        <vt:lpwstr>_Toc398125203</vt:lpwstr>
      </vt:variant>
      <vt:variant>
        <vt:i4>1703995</vt:i4>
      </vt:variant>
      <vt:variant>
        <vt:i4>428</vt:i4>
      </vt:variant>
      <vt:variant>
        <vt:i4>0</vt:i4>
      </vt:variant>
      <vt:variant>
        <vt:i4>5</vt:i4>
      </vt:variant>
      <vt:variant>
        <vt:lpwstr/>
      </vt:variant>
      <vt:variant>
        <vt:lpwstr>_Toc398125202</vt:lpwstr>
      </vt:variant>
      <vt:variant>
        <vt:i4>1703995</vt:i4>
      </vt:variant>
      <vt:variant>
        <vt:i4>422</vt:i4>
      </vt:variant>
      <vt:variant>
        <vt:i4>0</vt:i4>
      </vt:variant>
      <vt:variant>
        <vt:i4>5</vt:i4>
      </vt:variant>
      <vt:variant>
        <vt:lpwstr/>
      </vt:variant>
      <vt:variant>
        <vt:lpwstr>_Toc398125201</vt:lpwstr>
      </vt:variant>
      <vt:variant>
        <vt:i4>1703995</vt:i4>
      </vt:variant>
      <vt:variant>
        <vt:i4>416</vt:i4>
      </vt:variant>
      <vt:variant>
        <vt:i4>0</vt:i4>
      </vt:variant>
      <vt:variant>
        <vt:i4>5</vt:i4>
      </vt:variant>
      <vt:variant>
        <vt:lpwstr/>
      </vt:variant>
      <vt:variant>
        <vt:lpwstr>_Toc398125200</vt:lpwstr>
      </vt:variant>
      <vt:variant>
        <vt:i4>1245240</vt:i4>
      </vt:variant>
      <vt:variant>
        <vt:i4>410</vt:i4>
      </vt:variant>
      <vt:variant>
        <vt:i4>0</vt:i4>
      </vt:variant>
      <vt:variant>
        <vt:i4>5</vt:i4>
      </vt:variant>
      <vt:variant>
        <vt:lpwstr/>
      </vt:variant>
      <vt:variant>
        <vt:lpwstr>_Toc398125199</vt:lpwstr>
      </vt:variant>
      <vt:variant>
        <vt:i4>1245240</vt:i4>
      </vt:variant>
      <vt:variant>
        <vt:i4>404</vt:i4>
      </vt:variant>
      <vt:variant>
        <vt:i4>0</vt:i4>
      </vt:variant>
      <vt:variant>
        <vt:i4>5</vt:i4>
      </vt:variant>
      <vt:variant>
        <vt:lpwstr/>
      </vt:variant>
      <vt:variant>
        <vt:lpwstr>_Toc398125198</vt:lpwstr>
      </vt:variant>
      <vt:variant>
        <vt:i4>1245240</vt:i4>
      </vt:variant>
      <vt:variant>
        <vt:i4>398</vt:i4>
      </vt:variant>
      <vt:variant>
        <vt:i4>0</vt:i4>
      </vt:variant>
      <vt:variant>
        <vt:i4>5</vt:i4>
      </vt:variant>
      <vt:variant>
        <vt:lpwstr/>
      </vt:variant>
      <vt:variant>
        <vt:lpwstr>_Toc398125197</vt:lpwstr>
      </vt:variant>
      <vt:variant>
        <vt:i4>1245240</vt:i4>
      </vt:variant>
      <vt:variant>
        <vt:i4>392</vt:i4>
      </vt:variant>
      <vt:variant>
        <vt:i4>0</vt:i4>
      </vt:variant>
      <vt:variant>
        <vt:i4>5</vt:i4>
      </vt:variant>
      <vt:variant>
        <vt:lpwstr/>
      </vt:variant>
      <vt:variant>
        <vt:lpwstr>_Toc398125196</vt:lpwstr>
      </vt:variant>
      <vt:variant>
        <vt:i4>1245240</vt:i4>
      </vt:variant>
      <vt:variant>
        <vt:i4>386</vt:i4>
      </vt:variant>
      <vt:variant>
        <vt:i4>0</vt:i4>
      </vt:variant>
      <vt:variant>
        <vt:i4>5</vt:i4>
      </vt:variant>
      <vt:variant>
        <vt:lpwstr/>
      </vt:variant>
      <vt:variant>
        <vt:lpwstr>_Toc398125195</vt:lpwstr>
      </vt:variant>
      <vt:variant>
        <vt:i4>1245240</vt:i4>
      </vt:variant>
      <vt:variant>
        <vt:i4>380</vt:i4>
      </vt:variant>
      <vt:variant>
        <vt:i4>0</vt:i4>
      </vt:variant>
      <vt:variant>
        <vt:i4>5</vt:i4>
      </vt:variant>
      <vt:variant>
        <vt:lpwstr/>
      </vt:variant>
      <vt:variant>
        <vt:lpwstr>_Toc398125194</vt:lpwstr>
      </vt:variant>
      <vt:variant>
        <vt:i4>1245240</vt:i4>
      </vt:variant>
      <vt:variant>
        <vt:i4>374</vt:i4>
      </vt:variant>
      <vt:variant>
        <vt:i4>0</vt:i4>
      </vt:variant>
      <vt:variant>
        <vt:i4>5</vt:i4>
      </vt:variant>
      <vt:variant>
        <vt:lpwstr/>
      </vt:variant>
      <vt:variant>
        <vt:lpwstr>_Toc398125193</vt:lpwstr>
      </vt:variant>
      <vt:variant>
        <vt:i4>1245240</vt:i4>
      </vt:variant>
      <vt:variant>
        <vt:i4>368</vt:i4>
      </vt:variant>
      <vt:variant>
        <vt:i4>0</vt:i4>
      </vt:variant>
      <vt:variant>
        <vt:i4>5</vt:i4>
      </vt:variant>
      <vt:variant>
        <vt:lpwstr/>
      </vt:variant>
      <vt:variant>
        <vt:lpwstr>_Toc398125192</vt:lpwstr>
      </vt:variant>
      <vt:variant>
        <vt:i4>1245240</vt:i4>
      </vt:variant>
      <vt:variant>
        <vt:i4>362</vt:i4>
      </vt:variant>
      <vt:variant>
        <vt:i4>0</vt:i4>
      </vt:variant>
      <vt:variant>
        <vt:i4>5</vt:i4>
      </vt:variant>
      <vt:variant>
        <vt:lpwstr/>
      </vt:variant>
      <vt:variant>
        <vt:lpwstr>_Toc398125191</vt:lpwstr>
      </vt:variant>
      <vt:variant>
        <vt:i4>1245240</vt:i4>
      </vt:variant>
      <vt:variant>
        <vt:i4>356</vt:i4>
      </vt:variant>
      <vt:variant>
        <vt:i4>0</vt:i4>
      </vt:variant>
      <vt:variant>
        <vt:i4>5</vt:i4>
      </vt:variant>
      <vt:variant>
        <vt:lpwstr/>
      </vt:variant>
      <vt:variant>
        <vt:lpwstr>_Toc398125190</vt:lpwstr>
      </vt:variant>
      <vt:variant>
        <vt:i4>1179704</vt:i4>
      </vt:variant>
      <vt:variant>
        <vt:i4>350</vt:i4>
      </vt:variant>
      <vt:variant>
        <vt:i4>0</vt:i4>
      </vt:variant>
      <vt:variant>
        <vt:i4>5</vt:i4>
      </vt:variant>
      <vt:variant>
        <vt:lpwstr/>
      </vt:variant>
      <vt:variant>
        <vt:lpwstr>_Toc398125189</vt:lpwstr>
      </vt:variant>
      <vt:variant>
        <vt:i4>1179704</vt:i4>
      </vt:variant>
      <vt:variant>
        <vt:i4>344</vt:i4>
      </vt:variant>
      <vt:variant>
        <vt:i4>0</vt:i4>
      </vt:variant>
      <vt:variant>
        <vt:i4>5</vt:i4>
      </vt:variant>
      <vt:variant>
        <vt:lpwstr/>
      </vt:variant>
      <vt:variant>
        <vt:lpwstr>_Toc398125188</vt:lpwstr>
      </vt:variant>
      <vt:variant>
        <vt:i4>1179704</vt:i4>
      </vt:variant>
      <vt:variant>
        <vt:i4>338</vt:i4>
      </vt:variant>
      <vt:variant>
        <vt:i4>0</vt:i4>
      </vt:variant>
      <vt:variant>
        <vt:i4>5</vt:i4>
      </vt:variant>
      <vt:variant>
        <vt:lpwstr/>
      </vt:variant>
      <vt:variant>
        <vt:lpwstr>_Toc398125187</vt:lpwstr>
      </vt:variant>
      <vt:variant>
        <vt:i4>1179704</vt:i4>
      </vt:variant>
      <vt:variant>
        <vt:i4>332</vt:i4>
      </vt:variant>
      <vt:variant>
        <vt:i4>0</vt:i4>
      </vt:variant>
      <vt:variant>
        <vt:i4>5</vt:i4>
      </vt:variant>
      <vt:variant>
        <vt:lpwstr/>
      </vt:variant>
      <vt:variant>
        <vt:lpwstr>_Toc398125186</vt:lpwstr>
      </vt:variant>
      <vt:variant>
        <vt:i4>1179704</vt:i4>
      </vt:variant>
      <vt:variant>
        <vt:i4>326</vt:i4>
      </vt:variant>
      <vt:variant>
        <vt:i4>0</vt:i4>
      </vt:variant>
      <vt:variant>
        <vt:i4>5</vt:i4>
      </vt:variant>
      <vt:variant>
        <vt:lpwstr/>
      </vt:variant>
      <vt:variant>
        <vt:lpwstr>_Toc398125185</vt:lpwstr>
      </vt:variant>
      <vt:variant>
        <vt:i4>1179704</vt:i4>
      </vt:variant>
      <vt:variant>
        <vt:i4>320</vt:i4>
      </vt:variant>
      <vt:variant>
        <vt:i4>0</vt:i4>
      </vt:variant>
      <vt:variant>
        <vt:i4>5</vt:i4>
      </vt:variant>
      <vt:variant>
        <vt:lpwstr/>
      </vt:variant>
      <vt:variant>
        <vt:lpwstr>_Toc398125184</vt:lpwstr>
      </vt:variant>
      <vt:variant>
        <vt:i4>1179704</vt:i4>
      </vt:variant>
      <vt:variant>
        <vt:i4>314</vt:i4>
      </vt:variant>
      <vt:variant>
        <vt:i4>0</vt:i4>
      </vt:variant>
      <vt:variant>
        <vt:i4>5</vt:i4>
      </vt:variant>
      <vt:variant>
        <vt:lpwstr/>
      </vt:variant>
      <vt:variant>
        <vt:lpwstr>_Toc398125183</vt:lpwstr>
      </vt:variant>
      <vt:variant>
        <vt:i4>1179704</vt:i4>
      </vt:variant>
      <vt:variant>
        <vt:i4>308</vt:i4>
      </vt:variant>
      <vt:variant>
        <vt:i4>0</vt:i4>
      </vt:variant>
      <vt:variant>
        <vt:i4>5</vt:i4>
      </vt:variant>
      <vt:variant>
        <vt:lpwstr/>
      </vt:variant>
      <vt:variant>
        <vt:lpwstr>_Toc398125182</vt:lpwstr>
      </vt:variant>
      <vt:variant>
        <vt:i4>1179704</vt:i4>
      </vt:variant>
      <vt:variant>
        <vt:i4>302</vt:i4>
      </vt:variant>
      <vt:variant>
        <vt:i4>0</vt:i4>
      </vt:variant>
      <vt:variant>
        <vt:i4>5</vt:i4>
      </vt:variant>
      <vt:variant>
        <vt:lpwstr/>
      </vt:variant>
      <vt:variant>
        <vt:lpwstr>_Toc398125181</vt:lpwstr>
      </vt:variant>
      <vt:variant>
        <vt:i4>1179704</vt:i4>
      </vt:variant>
      <vt:variant>
        <vt:i4>296</vt:i4>
      </vt:variant>
      <vt:variant>
        <vt:i4>0</vt:i4>
      </vt:variant>
      <vt:variant>
        <vt:i4>5</vt:i4>
      </vt:variant>
      <vt:variant>
        <vt:lpwstr/>
      </vt:variant>
      <vt:variant>
        <vt:lpwstr>_Toc398125180</vt:lpwstr>
      </vt:variant>
      <vt:variant>
        <vt:i4>1900600</vt:i4>
      </vt:variant>
      <vt:variant>
        <vt:i4>290</vt:i4>
      </vt:variant>
      <vt:variant>
        <vt:i4>0</vt:i4>
      </vt:variant>
      <vt:variant>
        <vt:i4>5</vt:i4>
      </vt:variant>
      <vt:variant>
        <vt:lpwstr/>
      </vt:variant>
      <vt:variant>
        <vt:lpwstr>_Toc398125179</vt:lpwstr>
      </vt:variant>
      <vt:variant>
        <vt:i4>1900600</vt:i4>
      </vt:variant>
      <vt:variant>
        <vt:i4>284</vt:i4>
      </vt:variant>
      <vt:variant>
        <vt:i4>0</vt:i4>
      </vt:variant>
      <vt:variant>
        <vt:i4>5</vt:i4>
      </vt:variant>
      <vt:variant>
        <vt:lpwstr/>
      </vt:variant>
      <vt:variant>
        <vt:lpwstr>_Toc398125178</vt:lpwstr>
      </vt:variant>
      <vt:variant>
        <vt:i4>1900600</vt:i4>
      </vt:variant>
      <vt:variant>
        <vt:i4>278</vt:i4>
      </vt:variant>
      <vt:variant>
        <vt:i4>0</vt:i4>
      </vt:variant>
      <vt:variant>
        <vt:i4>5</vt:i4>
      </vt:variant>
      <vt:variant>
        <vt:lpwstr/>
      </vt:variant>
      <vt:variant>
        <vt:lpwstr>_Toc398125177</vt:lpwstr>
      </vt:variant>
      <vt:variant>
        <vt:i4>1900600</vt:i4>
      </vt:variant>
      <vt:variant>
        <vt:i4>272</vt:i4>
      </vt:variant>
      <vt:variant>
        <vt:i4>0</vt:i4>
      </vt:variant>
      <vt:variant>
        <vt:i4>5</vt:i4>
      </vt:variant>
      <vt:variant>
        <vt:lpwstr/>
      </vt:variant>
      <vt:variant>
        <vt:lpwstr>_Toc398125176</vt:lpwstr>
      </vt:variant>
      <vt:variant>
        <vt:i4>1900600</vt:i4>
      </vt:variant>
      <vt:variant>
        <vt:i4>266</vt:i4>
      </vt:variant>
      <vt:variant>
        <vt:i4>0</vt:i4>
      </vt:variant>
      <vt:variant>
        <vt:i4>5</vt:i4>
      </vt:variant>
      <vt:variant>
        <vt:lpwstr/>
      </vt:variant>
      <vt:variant>
        <vt:lpwstr>_Toc398125175</vt:lpwstr>
      </vt:variant>
      <vt:variant>
        <vt:i4>1900600</vt:i4>
      </vt:variant>
      <vt:variant>
        <vt:i4>260</vt:i4>
      </vt:variant>
      <vt:variant>
        <vt:i4>0</vt:i4>
      </vt:variant>
      <vt:variant>
        <vt:i4>5</vt:i4>
      </vt:variant>
      <vt:variant>
        <vt:lpwstr/>
      </vt:variant>
      <vt:variant>
        <vt:lpwstr>_Toc398125174</vt:lpwstr>
      </vt:variant>
      <vt:variant>
        <vt:i4>1900600</vt:i4>
      </vt:variant>
      <vt:variant>
        <vt:i4>254</vt:i4>
      </vt:variant>
      <vt:variant>
        <vt:i4>0</vt:i4>
      </vt:variant>
      <vt:variant>
        <vt:i4>5</vt:i4>
      </vt:variant>
      <vt:variant>
        <vt:lpwstr/>
      </vt:variant>
      <vt:variant>
        <vt:lpwstr>_Toc398125173</vt:lpwstr>
      </vt:variant>
      <vt:variant>
        <vt:i4>1900600</vt:i4>
      </vt:variant>
      <vt:variant>
        <vt:i4>248</vt:i4>
      </vt:variant>
      <vt:variant>
        <vt:i4>0</vt:i4>
      </vt:variant>
      <vt:variant>
        <vt:i4>5</vt:i4>
      </vt:variant>
      <vt:variant>
        <vt:lpwstr/>
      </vt:variant>
      <vt:variant>
        <vt:lpwstr>_Toc398125172</vt:lpwstr>
      </vt:variant>
      <vt:variant>
        <vt:i4>1900600</vt:i4>
      </vt:variant>
      <vt:variant>
        <vt:i4>242</vt:i4>
      </vt:variant>
      <vt:variant>
        <vt:i4>0</vt:i4>
      </vt:variant>
      <vt:variant>
        <vt:i4>5</vt:i4>
      </vt:variant>
      <vt:variant>
        <vt:lpwstr/>
      </vt:variant>
      <vt:variant>
        <vt:lpwstr>_Toc398125171</vt:lpwstr>
      </vt:variant>
      <vt:variant>
        <vt:i4>1900600</vt:i4>
      </vt:variant>
      <vt:variant>
        <vt:i4>236</vt:i4>
      </vt:variant>
      <vt:variant>
        <vt:i4>0</vt:i4>
      </vt:variant>
      <vt:variant>
        <vt:i4>5</vt:i4>
      </vt:variant>
      <vt:variant>
        <vt:lpwstr/>
      </vt:variant>
      <vt:variant>
        <vt:lpwstr>_Toc398125170</vt:lpwstr>
      </vt:variant>
      <vt:variant>
        <vt:i4>1835064</vt:i4>
      </vt:variant>
      <vt:variant>
        <vt:i4>230</vt:i4>
      </vt:variant>
      <vt:variant>
        <vt:i4>0</vt:i4>
      </vt:variant>
      <vt:variant>
        <vt:i4>5</vt:i4>
      </vt:variant>
      <vt:variant>
        <vt:lpwstr/>
      </vt:variant>
      <vt:variant>
        <vt:lpwstr>_Toc398125169</vt:lpwstr>
      </vt:variant>
      <vt:variant>
        <vt:i4>1835064</vt:i4>
      </vt:variant>
      <vt:variant>
        <vt:i4>224</vt:i4>
      </vt:variant>
      <vt:variant>
        <vt:i4>0</vt:i4>
      </vt:variant>
      <vt:variant>
        <vt:i4>5</vt:i4>
      </vt:variant>
      <vt:variant>
        <vt:lpwstr/>
      </vt:variant>
      <vt:variant>
        <vt:lpwstr>_Toc398125168</vt:lpwstr>
      </vt:variant>
      <vt:variant>
        <vt:i4>1835064</vt:i4>
      </vt:variant>
      <vt:variant>
        <vt:i4>218</vt:i4>
      </vt:variant>
      <vt:variant>
        <vt:i4>0</vt:i4>
      </vt:variant>
      <vt:variant>
        <vt:i4>5</vt:i4>
      </vt:variant>
      <vt:variant>
        <vt:lpwstr/>
      </vt:variant>
      <vt:variant>
        <vt:lpwstr>_Toc398125167</vt:lpwstr>
      </vt:variant>
      <vt:variant>
        <vt:i4>1835064</vt:i4>
      </vt:variant>
      <vt:variant>
        <vt:i4>212</vt:i4>
      </vt:variant>
      <vt:variant>
        <vt:i4>0</vt:i4>
      </vt:variant>
      <vt:variant>
        <vt:i4>5</vt:i4>
      </vt:variant>
      <vt:variant>
        <vt:lpwstr/>
      </vt:variant>
      <vt:variant>
        <vt:lpwstr>_Toc398125166</vt:lpwstr>
      </vt:variant>
      <vt:variant>
        <vt:i4>1835064</vt:i4>
      </vt:variant>
      <vt:variant>
        <vt:i4>206</vt:i4>
      </vt:variant>
      <vt:variant>
        <vt:i4>0</vt:i4>
      </vt:variant>
      <vt:variant>
        <vt:i4>5</vt:i4>
      </vt:variant>
      <vt:variant>
        <vt:lpwstr/>
      </vt:variant>
      <vt:variant>
        <vt:lpwstr>_Toc398125165</vt:lpwstr>
      </vt:variant>
      <vt:variant>
        <vt:i4>1835064</vt:i4>
      </vt:variant>
      <vt:variant>
        <vt:i4>200</vt:i4>
      </vt:variant>
      <vt:variant>
        <vt:i4>0</vt:i4>
      </vt:variant>
      <vt:variant>
        <vt:i4>5</vt:i4>
      </vt:variant>
      <vt:variant>
        <vt:lpwstr/>
      </vt:variant>
      <vt:variant>
        <vt:lpwstr>_Toc398125164</vt:lpwstr>
      </vt:variant>
      <vt:variant>
        <vt:i4>1835064</vt:i4>
      </vt:variant>
      <vt:variant>
        <vt:i4>194</vt:i4>
      </vt:variant>
      <vt:variant>
        <vt:i4>0</vt:i4>
      </vt:variant>
      <vt:variant>
        <vt:i4>5</vt:i4>
      </vt:variant>
      <vt:variant>
        <vt:lpwstr/>
      </vt:variant>
      <vt:variant>
        <vt:lpwstr>_Toc398125163</vt:lpwstr>
      </vt:variant>
      <vt:variant>
        <vt:i4>1835064</vt:i4>
      </vt:variant>
      <vt:variant>
        <vt:i4>188</vt:i4>
      </vt:variant>
      <vt:variant>
        <vt:i4>0</vt:i4>
      </vt:variant>
      <vt:variant>
        <vt:i4>5</vt:i4>
      </vt:variant>
      <vt:variant>
        <vt:lpwstr/>
      </vt:variant>
      <vt:variant>
        <vt:lpwstr>_Toc398125162</vt:lpwstr>
      </vt:variant>
      <vt:variant>
        <vt:i4>1835064</vt:i4>
      </vt:variant>
      <vt:variant>
        <vt:i4>182</vt:i4>
      </vt:variant>
      <vt:variant>
        <vt:i4>0</vt:i4>
      </vt:variant>
      <vt:variant>
        <vt:i4>5</vt:i4>
      </vt:variant>
      <vt:variant>
        <vt:lpwstr/>
      </vt:variant>
      <vt:variant>
        <vt:lpwstr>_Toc398125161</vt:lpwstr>
      </vt:variant>
      <vt:variant>
        <vt:i4>1835064</vt:i4>
      </vt:variant>
      <vt:variant>
        <vt:i4>176</vt:i4>
      </vt:variant>
      <vt:variant>
        <vt:i4>0</vt:i4>
      </vt:variant>
      <vt:variant>
        <vt:i4>5</vt:i4>
      </vt:variant>
      <vt:variant>
        <vt:lpwstr/>
      </vt:variant>
      <vt:variant>
        <vt:lpwstr>_Toc398125160</vt:lpwstr>
      </vt:variant>
      <vt:variant>
        <vt:i4>2031672</vt:i4>
      </vt:variant>
      <vt:variant>
        <vt:i4>170</vt:i4>
      </vt:variant>
      <vt:variant>
        <vt:i4>0</vt:i4>
      </vt:variant>
      <vt:variant>
        <vt:i4>5</vt:i4>
      </vt:variant>
      <vt:variant>
        <vt:lpwstr/>
      </vt:variant>
      <vt:variant>
        <vt:lpwstr>_Toc398125159</vt:lpwstr>
      </vt:variant>
      <vt:variant>
        <vt:i4>2031672</vt:i4>
      </vt:variant>
      <vt:variant>
        <vt:i4>164</vt:i4>
      </vt:variant>
      <vt:variant>
        <vt:i4>0</vt:i4>
      </vt:variant>
      <vt:variant>
        <vt:i4>5</vt:i4>
      </vt:variant>
      <vt:variant>
        <vt:lpwstr/>
      </vt:variant>
      <vt:variant>
        <vt:lpwstr>_Toc398125158</vt:lpwstr>
      </vt:variant>
      <vt:variant>
        <vt:i4>2031672</vt:i4>
      </vt:variant>
      <vt:variant>
        <vt:i4>158</vt:i4>
      </vt:variant>
      <vt:variant>
        <vt:i4>0</vt:i4>
      </vt:variant>
      <vt:variant>
        <vt:i4>5</vt:i4>
      </vt:variant>
      <vt:variant>
        <vt:lpwstr/>
      </vt:variant>
      <vt:variant>
        <vt:lpwstr>_Toc398125157</vt:lpwstr>
      </vt:variant>
      <vt:variant>
        <vt:i4>2031672</vt:i4>
      </vt:variant>
      <vt:variant>
        <vt:i4>152</vt:i4>
      </vt:variant>
      <vt:variant>
        <vt:i4>0</vt:i4>
      </vt:variant>
      <vt:variant>
        <vt:i4>5</vt:i4>
      </vt:variant>
      <vt:variant>
        <vt:lpwstr/>
      </vt:variant>
      <vt:variant>
        <vt:lpwstr>_Toc398125156</vt:lpwstr>
      </vt:variant>
      <vt:variant>
        <vt:i4>2031672</vt:i4>
      </vt:variant>
      <vt:variant>
        <vt:i4>146</vt:i4>
      </vt:variant>
      <vt:variant>
        <vt:i4>0</vt:i4>
      </vt:variant>
      <vt:variant>
        <vt:i4>5</vt:i4>
      </vt:variant>
      <vt:variant>
        <vt:lpwstr/>
      </vt:variant>
      <vt:variant>
        <vt:lpwstr>_Toc398125155</vt:lpwstr>
      </vt:variant>
      <vt:variant>
        <vt:i4>2031672</vt:i4>
      </vt:variant>
      <vt:variant>
        <vt:i4>140</vt:i4>
      </vt:variant>
      <vt:variant>
        <vt:i4>0</vt:i4>
      </vt:variant>
      <vt:variant>
        <vt:i4>5</vt:i4>
      </vt:variant>
      <vt:variant>
        <vt:lpwstr/>
      </vt:variant>
      <vt:variant>
        <vt:lpwstr>_Toc398125154</vt:lpwstr>
      </vt:variant>
      <vt:variant>
        <vt:i4>2031672</vt:i4>
      </vt:variant>
      <vt:variant>
        <vt:i4>134</vt:i4>
      </vt:variant>
      <vt:variant>
        <vt:i4>0</vt:i4>
      </vt:variant>
      <vt:variant>
        <vt:i4>5</vt:i4>
      </vt:variant>
      <vt:variant>
        <vt:lpwstr/>
      </vt:variant>
      <vt:variant>
        <vt:lpwstr>_Toc398125153</vt:lpwstr>
      </vt:variant>
      <vt:variant>
        <vt:i4>2031672</vt:i4>
      </vt:variant>
      <vt:variant>
        <vt:i4>128</vt:i4>
      </vt:variant>
      <vt:variant>
        <vt:i4>0</vt:i4>
      </vt:variant>
      <vt:variant>
        <vt:i4>5</vt:i4>
      </vt:variant>
      <vt:variant>
        <vt:lpwstr/>
      </vt:variant>
      <vt:variant>
        <vt:lpwstr>_Toc398125152</vt:lpwstr>
      </vt:variant>
      <vt:variant>
        <vt:i4>2031672</vt:i4>
      </vt:variant>
      <vt:variant>
        <vt:i4>122</vt:i4>
      </vt:variant>
      <vt:variant>
        <vt:i4>0</vt:i4>
      </vt:variant>
      <vt:variant>
        <vt:i4>5</vt:i4>
      </vt:variant>
      <vt:variant>
        <vt:lpwstr/>
      </vt:variant>
      <vt:variant>
        <vt:lpwstr>_Toc398125151</vt:lpwstr>
      </vt:variant>
      <vt:variant>
        <vt:i4>2031672</vt:i4>
      </vt:variant>
      <vt:variant>
        <vt:i4>116</vt:i4>
      </vt:variant>
      <vt:variant>
        <vt:i4>0</vt:i4>
      </vt:variant>
      <vt:variant>
        <vt:i4>5</vt:i4>
      </vt:variant>
      <vt:variant>
        <vt:lpwstr/>
      </vt:variant>
      <vt:variant>
        <vt:lpwstr>_Toc398125150</vt:lpwstr>
      </vt:variant>
      <vt:variant>
        <vt:i4>6029366</vt:i4>
      </vt:variant>
      <vt:variant>
        <vt:i4>111</vt:i4>
      </vt:variant>
      <vt:variant>
        <vt:i4>0</vt:i4>
      </vt:variant>
      <vt:variant>
        <vt:i4>5</vt:i4>
      </vt:variant>
      <vt:variant>
        <vt:lpwstr>mailto:hirata.kazuta@genanshin.jp</vt:lpwstr>
      </vt:variant>
      <vt:variant>
        <vt:lpwstr/>
      </vt:variant>
      <vt:variant>
        <vt:i4>1638449</vt:i4>
      </vt:variant>
      <vt:variant>
        <vt:i4>108</vt:i4>
      </vt:variant>
      <vt:variant>
        <vt:i4>0</vt:i4>
      </vt:variant>
      <vt:variant>
        <vt:i4>5</vt:i4>
      </vt:variant>
      <vt:variant>
        <vt:lpwstr>mailto:yamanaka.yasunori@tepco.co.jp</vt:lpwstr>
      </vt:variant>
      <vt:variant>
        <vt:lpwstr/>
      </vt:variant>
      <vt:variant>
        <vt:i4>5505084</vt:i4>
      </vt:variant>
      <vt:variant>
        <vt:i4>105</vt:i4>
      </vt:variant>
      <vt:variant>
        <vt:i4>0</vt:i4>
      </vt:variant>
      <vt:variant>
        <vt:i4>5</vt:i4>
      </vt:variant>
      <vt:variant>
        <vt:lpwstr>mailto:Michelle.Gonzalez@nrc.gov</vt:lpwstr>
      </vt:variant>
      <vt:variant>
        <vt:lpwstr/>
      </vt:variant>
      <vt:variant>
        <vt:i4>5767212</vt:i4>
      </vt:variant>
      <vt:variant>
        <vt:i4>102</vt:i4>
      </vt:variant>
      <vt:variant>
        <vt:i4>0</vt:i4>
      </vt:variant>
      <vt:variant>
        <vt:i4>5</vt:i4>
      </vt:variant>
      <vt:variant>
        <vt:lpwstr>mailto:jeanne-marie.lanore-cespi@irsn.fr</vt:lpwstr>
      </vt:variant>
      <vt:variant>
        <vt:lpwstr/>
      </vt:variant>
      <vt:variant>
        <vt:i4>7471129</vt:i4>
      </vt:variant>
      <vt:variant>
        <vt:i4>99</vt:i4>
      </vt:variant>
      <vt:variant>
        <vt:i4>0</vt:i4>
      </vt:variant>
      <vt:variant>
        <vt:i4>5</vt:i4>
      </vt:variant>
      <vt:variant>
        <vt:lpwstr>mailto:francois.armingaud@irsn.fr</vt:lpwstr>
      </vt:variant>
      <vt:variant>
        <vt:lpwstr/>
      </vt:variant>
      <vt:variant>
        <vt:i4>3407948</vt:i4>
      </vt:variant>
      <vt:variant>
        <vt:i4>96</vt:i4>
      </vt:variant>
      <vt:variant>
        <vt:i4>0</vt:i4>
      </vt:variant>
      <vt:variant>
        <vt:i4>5</vt:i4>
      </vt:variant>
      <vt:variant>
        <vt:lpwstr>mailto:vincent.rebour@irsn.fr</vt:lpwstr>
      </vt:variant>
      <vt:variant>
        <vt:lpwstr/>
      </vt:variant>
      <vt:variant>
        <vt:i4>5046329</vt:i4>
      </vt:variant>
      <vt:variant>
        <vt:i4>93</vt:i4>
      </vt:variant>
      <vt:variant>
        <vt:i4>0</vt:i4>
      </vt:variant>
      <vt:variant>
        <vt:i4>5</vt:i4>
      </vt:variant>
      <vt:variant>
        <vt:lpwstr>mailto:gabriel.georgescu@irsn.fr</vt:lpwstr>
      </vt:variant>
      <vt:variant>
        <vt:lpwstr/>
      </vt:variant>
      <vt:variant>
        <vt:i4>7995461</vt:i4>
      </vt:variant>
      <vt:variant>
        <vt:i4>90</vt:i4>
      </vt:variant>
      <vt:variant>
        <vt:i4>0</vt:i4>
      </vt:variant>
      <vt:variant>
        <vt:i4>5</vt:i4>
      </vt:variant>
      <vt:variant>
        <vt:lpwstr>mailto:jean-michel.bonnet@irsn.fr</vt:lpwstr>
      </vt:variant>
      <vt:variant>
        <vt:lpwstr/>
      </vt:variant>
      <vt:variant>
        <vt:i4>852094</vt:i4>
      </vt:variant>
      <vt:variant>
        <vt:i4>87</vt:i4>
      </vt:variant>
      <vt:variant>
        <vt:i4>0</vt:i4>
      </vt:variant>
      <vt:variant>
        <vt:i4>5</vt:i4>
      </vt:variant>
      <vt:variant>
        <vt:lpwstr>mailto:francois.corenwinder@irsn.fr</vt:lpwstr>
      </vt:variant>
      <vt:variant>
        <vt:lpwstr/>
      </vt:variant>
      <vt:variant>
        <vt:i4>7471106</vt:i4>
      </vt:variant>
      <vt:variant>
        <vt:i4>84</vt:i4>
      </vt:variant>
      <vt:variant>
        <vt:i4>0</vt:i4>
      </vt:variant>
      <vt:variant>
        <vt:i4>5</vt:i4>
      </vt:variant>
      <vt:variant>
        <vt:lpwstr>mailto:patricia.dupuy@irsn.fr</vt:lpwstr>
      </vt:variant>
      <vt:variant>
        <vt:lpwstr/>
      </vt:variant>
      <vt:variant>
        <vt:i4>5505087</vt:i4>
      </vt:variant>
      <vt:variant>
        <vt:i4>81</vt:i4>
      </vt:variant>
      <vt:variant>
        <vt:i4>0</vt:i4>
      </vt:variant>
      <vt:variant>
        <vt:i4>5</vt:i4>
      </vt:variant>
      <vt:variant>
        <vt:lpwstr>mailto:bruno.laurent@irsn.fr</vt:lpwstr>
      </vt:variant>
      <vt:variant>
        <vt:lpwstr/>
      </vt:variant>
      <vt:variant>
        <vt:i4>1048688</vt:i4>
      </vt:variant>
      <vt:variant>
        <vt:i4>78</vt:i4>
      </vt:variant>
      <vt:variant>
        <vt:i4>0</vt:i4>
      </vt:variant>
      <vt:variant>
        <vt:i4>5</vt:i4>
      </vt:variant>
      <vt:variant>
        <vt:lpwstr>mailto:thomas.durin@irsn.fr</vt:lpwstr>
      </vt:variant>
      <vt:variant>
        <vt:lpwstr/>
      </vt:variant>
      <vt:variant>
        <vt:i4>3932249</vt:i4>
      </vt:variant>
      <vt:variant>
        <vt:i4>75</vt:i4>
      </vt:variant>
      <vt:variant>
        <vt:i4>0</vt:i4>
      </vt:variant>
      <vt:variant>
        <vt:i4>5</vt:i4>
      </vt:variant>
      <vt:variant>
        <vt:lpwstr>mailto:nadia.rahni@irsn.fr</vt:lpwstr>
      </vt:variant>
      <vt:variant>
        <vt:lpwstr/>
      </vt:variant>
      <vt:variant>
        <vt:i4>917600</vt:i4>
      </vt:variant>
      <vt:variant>
        <vt:i4>72</vt:i4>
      </vt:variant>
      <vt:variant>
        <vt:i4>0</vt:i4>
      </vt:variant>
      <vt:variant>
        <vt:i4>5</vt:i4>
      </vt:variant>
      <vt:variant>
        <vt:lpwstr>mailto:yves.guigueno@irsn.fr</vt:lpwstr>
      </vt:variant>
      <vt:variant>
        <vt:lpwstr/>
      </vt:variant>
      <vt:variant>
        <vt:i4>1507451</vt:i4>
      </vt:variant>
      <vt:variant>
        <vt:i4>69</vt:i4>
      </vt:variant>
      <vt:variant>
        <vt:i4>0</vt:i4>
      </vt:variant>
      <vt:variant>
        <vt:i4>5</vt:i4>
      </vt:variant>
      <vt:variant>
        <vt:lpwstr>mailto:emmanuel.raimond@irsn.fr</vt:lpwstr>
      </vt:variant>
      <vt:variant>
        <vt:lpwstr/>
      </vt:variant>
      <vt:variant>
        <vt:i4>6553619</vt:i4>
      </vt:variant>
      <vt:variant>
        <vt:i4>66</vt:i4>
      </vt:variant>
      <vt:variant>
        <vt:i4>0</vt:i4>
      </vt:variant>
      <vt:variant>
        <vt:i4>5</vt:i4>
      </vt:variant>
      <vt:variant>
        <vt:lpwstr>mailto:frederic.menage@irsn.fr</vt:lpwstr>
      </vt:variant>
      <vt:variant>
        <vt:lpwstr/>
      </vt:variant>
      <vt:variant>
        <vt:i4>5898285</vt:i4>
      </vt:variant>
      <vt:variant>
        <vt:i4>63</vt:i4>
      </vt:variant>
      <vt:variant>
        <vt:i4>0</vt:i4>
      </vt:variant>
      <vt:variant>
        <vt:i4>5</vt:i4>
      </vt:variant>
      <vt:variant>
        <vt:lpwstr>mailto:pascal.brac@edf.fr</vt:lpwstr>
      </vt:variant>
      <vt:variant>
        <vt:lpwstr/>
      </vt:variant>
      <vt:variant>
        <vt:i4>4063313</vt:i4>
      </vt:variant>
      <vt:variant>
        <vt:i4>60</vt:i4>
      </vt:variant>
      <vt:variant>
        <vt:i4>0</vt:i4>
      </vt:variant>
      <vt:variant>
        <vt:i4>5</vt:i4>
      </vt:variant>
      <vt:variant>
        <vt:lpwstr>mailto:philippe.nonclercq@edf.fr</vt:lpwstr>
      </vt:variant>
      <vt:variant>
        <vt:lpwstr/>
      </vt:variant>
      <vt:variant>
        <vt:i4>5570597</vt:i4>
      </vt:variant>
      <vt:variant>
        <vt:i4>57</vt:i4>
      </vt:variant>
      <vt:variant>
        <vt:i4>0</vt:i4>
      </vt:variant>
      <vt:variant>
        <vt:i4>5</vt:i4>
      </vt:variant>
      <vt:variant>
        <vt:lpwstr>mailto:stephane.benzoni@edf.fr</vt:lpwstr>
      </vt:variant>
      <vt:variant>
        <vt:lpwstr/>
      </vt:variant>
      <vt:variant>
        <vt:i4>6488092</vt:i4>
      </vt:variant>
      <vt:variant>
        <vt:i4>54</vt:i4>
      </vt:variant>
      <vt:variant>
        <vt:i4>0</vt:i4>
      </vt:variant>
      <vt:variant>
        <vt:i4>5</vt:i4>
      </vt:variant>
      <vt:variant>
        <vt:lpwstr>mailto:florian.godefroy@areva.com</vt:lpwstr>
      </vt:variant>
      <vt:variant>
        <vt:lpwstr/>
      </vt:variant>
      <vt:variant>
        <vt:i4>1245291</vt:i4>
      </vt:variant>
      <vt:variant>
        <vt:i4>51</vt:i4>
      </vt:variant>
      <vt:variant>
        <vt:i4>0</vt:i4>
      </vt:variant>
      <vt:variant>
        <vt:i4>5</vt:i4>
      </vt:variant>
      <vt:variant>
        <vt:lpwstr>mailto:estelle.sauvage@areva.com</vt:lpwstr>
      </vt:variant>
      <vt:variant>
        <vt:lpwstr/>
      </vt:variant>
      <vt:variant>
        <vt:i4>655464</vt:i4>
      </vt:variant>
      <vt:variant>
        <vt:i4>48</vt:i4>
      </vt:variant>
      <vt:variant>
        <vt:i4>0</vt:i4>
      </vt:variant>
      <vt:variant>
        <vt:i4>5</vt:i4>
      </vt:variant>
      <vt:variant>
        <vt:lpwstr>mailto:laurent.michaud@areva.com</vt:lpwstr>
      </vt:variant>
      <vt:variant>
        <vt:lpwstr/>
      </vt:variant>
      <vt:variant>
        <vt:i4>6225980</vt:i4>
      </vt:variant>
      <vt:variant>
        <vt:i4>45</vt:i4>
      </vt:variant>
      <vt:variant>
        <vt:i4>0</vt:i4>
      </vt:variant>
      <vt:variant>
        <vt:i4>5</vt:i4>
      </vt:variant>
      <vt:variant>
        <vt:lpwstr>mailto:laurence.oury@gdfsuez.com</vt:lpwstr>
      </vt:variant>
      <vt:variant>
        <vt:lpwstr/>
      </vt:variant>
      <vt:variant>
        <vt:i4>655417</vt:i4>
      </vt:variant>
      <vt:variant>
        <vt:i4>42</vt:i4>
      </vt:variant>
      <vt:variant>
        <vt:i4>0</vt:i4>
      </vt:variant>
      <vt:variant>
        <vt:i4>5</vt:i4>
      </vt:variant>
      <vt:variant>
        <vt:lpwstr>mailto:brinkman@nrg.eu</vt:lpwstr>
      </vt:variant>
      <vt:variant>
        <vt:lpwstr/>
      </vt:variant>
      <vt:variant>
        <vt:i4>5177447</vt:i4>
      </vt:variant>
      <vt:variant>
        <vt:i4>39</vt:i4>
      </vt:variant>
      <vt:variant>
        <vt:i4>0</vt:i4>
      </vt:variant>
      <vt:variant>
        <vt:i4>5</vt:i4>
      </vt:variant>
      <vt:variant>
        <vt:lpwstr>mailto:bareith@nubiki.hu</vt:lpwstr>
      </vt:variant>
      <vt:variant>
        <vt:lpwstr/>
      </vt:variant>
      <vt:variant>
        <vt:i4>3866636</vt:i4>
      </vt:variant>
      <vt:variant>
        <vt:i4>36</vt:i4>
      </vt:variant>
      <vt:variant>
        <vt:i4>0</vt:i4>
      </vt:variant>
      <vt:variant>
        <vt:i4>5</vt:i4>
      </vt:variant>
      <vt:variant>
        <vt:lpwstr>mailto:siklossy@nubiki.hu</vt:lpwstr>
      </vt:variant>
      <vt:variant>
        <vt:lpwstr/>
      </vt:variant>
      <vt:variant>
        <vt:i4>1310833</vt:i4>
      </vt:variant>
      <vt:variant>
        <vt:i4>33</vt:i4>
      </vt:variant>
      <vt:variant>
        <vt:i4>0</vt:i4>
      </vt:variant>
      <vt:variant>
        <vt:i4>5</vt:i4>
      </vt:variant>
      <vt:variant>
        <vt:lpwstr>mailto:etienne.claus@gdfsuez.com</vt:lpwstr>
      </vt:variant>
      <vt:variant>
        <vt:lpwstr/>
      </vt:variant>
      <vt:variant>
        <vt:i4>1572966</vt:i4>
      </vt:variant>
      <vt:variant>
        <vt:i4>30</vt:i4>
      </vt:variant>
      <vt:variant>
        <vt:i4>0</vt:i4>
      </vt:variant>
      <vt:variant>
        <vt:i4>5</vt:i4>
      </vt:variant>
      <vt:variant>
        <vt:lpwstr>mailto:joakim.klug@scandpower.com</vt:lpwstr>
      </vt:variant>
      <vt:variant>
        <vt:lpwstr/>
      </vt:variant>
      <vt:variant>
        <vt:i4>5308474</vt:i4>
      </vt:variant>
      <vt:variant>
        <vt:i4>27</vt:i4>
      </vt:variant>
      <vt:variant>
        <vt:i4>0</vt:i4>
      </vt:variant>
      <vt:variant>
        <vt:i4>5</vt:i4>
      </vt:variant>
      <vt:variant>
        <vt:lpwstr>mailto:michael.knochenhauer@scandpower.com</vt:lpwstr>
      </vt:variant>
      <vt:variant>
        <vt:lpwstr/>
      </vt:variant>
      <vt:variant>
        <vt:i4>8192011</vt:i4>
      </vt:variant>
      <vt:variant>
        <vt:i4>24</vt:i4>
      </vt:variant>
      <vt:variant>
        <vt:i4>0</vt:i4>
      </vt:variant>
      <vt:variant>
        <vt:i4>5</vt:i4>
      </vt:variant>
      <vt:variant>
        <vt:lpwstr>mailto:gryffroy.dries@belv.be</vt:lpwstr>
      </vt:variant>
      <vt:variant>
        <vt:lpwstr/>
      </vt:variant>
      <vt:variant>
        <vt:i4>196728</vt:i4>
      </vt:variant>
      <vt:variant>
        <vt:i4>21</vt:i4>
      </vt:variant>
      <vt:variant>
        <vt:i4>0</vt:i4>
      </vt:variant>
      <vt:variant>
        <vt:i4>5</vt:i4>
      </vt:variant>
      <vt:variant>
        <vt:lpwstr>mailto:p.vestrucci@niering.it</vt:lpwstr>
      </vt:variant>
      <vt:variant>
        <vt:lpwstr/>
      </vt:variant>
      <vt:variant>
        <vt:i4>7405657</vt:i4>
      </vt:variant>
      <vt:variant>
        <vt:i4>18</vt:i4>
      </vt:variant>
      <vt:variant>
        <vt:i4>0</vt:i4>
      </vt:variant>
      <vt:variant>
        <vt:i4>5</vt:i4>
      </vt:variant>
      <vt:variant>
        <vt:lpwstr>mailto:css@iberdrola.es</vt:lpwstr>
      </vt:variant>
      <vt:variant>
        <vt:lpwstr/>
      </vt:variant>
      <vt:variant>
        <vt:i4>7143517</vt:i4>
      </vt:variant>
      <vt:variant>
        <vt:i4>15</vt:i4>
      </vt:variant>
      <vt:variant>
        <vt:i4>0</vt:i4>
      </vt:variant>
      <vt:variant>
        <vt:i4>5</vt:i4>
      </vt:variant>
      <vt:variant>
        <vt:lpwstr>mailto:sonia.morandi@rse-web.it</vt:lpwstr>
      </vt:variant>
      <vt:variant>
        <vt:lpwstr/>
      </vt:variant>
      <vt:variant>
        <vt:i4>7274496</vt:i4>
      </vt:variant>
      <vt:variant>
        <vt:i4>12</vt:i4>
      </vt:variant>
      <vt:variant>
        <vt:i4>0</vt:i4>
      </vt:variant>
      <vt:variant>
        <vt:i4>5</vt:i4>
      </vt:variant>
      <vt:variant>
        <vt:lpwstr>mailto:andreas.wielenberg@grs.de</vt:lpwstr>
      </vt:variant>
      <vt:variant>
        <vt:lpwstr/>
      </vt:variant>
      <vt:variant>
        <vt:i4>1966196</vt:i4>
      </vt:variant>
      <vt:variant>
        <vt:i4>9</vt:i4>
      </vt:variant>
      <vt:variant>
        <vt:i4>0</vt:i4>
      </vt:variant>
      <vt:variant>
        <vt:i4>5</vt:i4>
      </vt:variant>
      <vt:variant>
        <vt:lpwstr>mailto:raphael.schirrer@arexisgroup.com</vt:lpwstr>
      </vt:variant>
      <vt:variant>
        <vt:lpwstr/>
      </vt:variant>
      <vt:variant>
        <vt:i4>524385</vt:i4>
      </vt:variant>
      <vt:variant>
        <vt:i4>6</vt:i4>
      </vt:variant>
      <vt:variant>
        <vt:i4>0</vt:i4>
      </vt:variant>
      <vt:variant>
        <vt:i4>5</vt:i4>
      </vt:variant>
      <vt:variant>
        <vt:lpwstr>mailto:andrija.volkanovski@ijs.si</vt:lpwstr>
      </vt:variant>
      <vt:variant>
        <vt:lpwstr/>
      </vt:variant>
      <vt:variant>
        <vt:i4>3801091</vt:i4>
      </vt:variant>
      <vt:variant>
        <vt:i4>3</vt:i4>
      </vt:variant>
      <vt:variant>
        <vt:i4>0</vt:i4>
      </vt:variant>
      <vt:variant>
        <vt:i4>5</vt:i4>
      </vt:variant>
      <vt:variant>
        <vt:lpwstr>mailto:jirina@snus.sk</vt:lpwstr>
      </vt:variant>
      <vt:variant>
        <vt:lpwstr/>
      </vt:variant>
      <vt:variant>
        <vt:i4>5308477</vt:i4>
      </vt:variant>
      <vt:variant>
        <vt:i4>0</vt:i4>
      </vt:variant>
      <vt:variant>
        <vt:i4>0</vt:i4>
      </vt:variant>
      <vt:variant>
        <vt:i4>5</vt:i4>
      </vt:variant>
      <vt:variant>
        <vt:lpwstr>mailto:erik.cazzoli@gmx.net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RAR</dc:title>
  <dc:creator>croci-francois-sev</dc:creator>
  <cp:lastModifiedBy>RAIMOND Emmanuel</cp:lastModifiedBy>
  <cp:revision>2</cp:revision>
  <cp:lastPrinted>2016-05-11T15:06:00Z</cp:lastPrinted>
  <dcterms:created xsi:type="dcterms:W3CDTF">2017-01-27T17:04:00Z</dcterms:created>
  <dcterms:modified xsi:type="dcterms:W3CDTF">2017-01-27T17:04:00Z</dcterms:modified>
</cp:coreProperties>
</file>